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Desempeño Diagnóstico en la Codificación CIF Automatizada</w:t>
      </w:r>
    </w:p>
    <w:p>
      <w:pPr>
        <w:pStyle w:val="Normal"/>
      </w:pPr>
      <w:r>
        <w:t xml:space="preserve">Evaluación comparativa de modelos LLM bajo consenso estricto (3/3) frente al Ground Truth (114 historias clínicas, Core Set CIF de dolor crónico con 24 categorías).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1. Evaluación global de desempeño diagnóstico y validez multietiqueta según la CIF.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2"/>
        <w:gridCol w:w="3024"/>
        <w:gridCol w:w="1800"/>
        <w:gridCol w:w="1800"/>
        <w:gridCol w:w="1800"/>
      </w:tblGrid>
      <w:tr>
        <w:trPr>
          <w:trHeight w:val="360" w:hRule="auto"/>
          <w:tblHeader/>
        </w:trPr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Dimensión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Métrica / Parámetro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Gemma-4-31B-it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Gemini Flash 3.5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Gemini Flash 3.7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444444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Corpus Clínico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Historias evaluadas (N)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114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114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Espacio ontológico (114 × 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2.736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Instancias CIF reales (Soporte)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Consenso inter-iteraciones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Estricto (3/3)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Estricto (3/3)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Estricto (3/3)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444444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Matriz de Confusión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Verdaderos Positivos (TP)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458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460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458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Falsos Positivos (FP / Alucinación)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Falsos Negativos (FN / Omisión)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7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Exact Match Ratio (EMR n / 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99/114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100/114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102/114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Exact Match Ratio (EMR %)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86.84%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87.72%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89.47%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444444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Nivel Micro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Precisión Micro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0.9745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0.9746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0.9849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Recall Micro (Sensibilidad)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0.9849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Micro-F1 [IC 95% Bootstrap]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0.9797 [0.969, 0.990]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0.9819 [0.972, 0.991]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0.9849 [0.976, 0.993]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444444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Nivel Macro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Precisión Macro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0.9689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0.9694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0.9818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Recall Macro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0.9813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Macro-F1 [IC 95% Bootstrap]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0.9731 [0.956, 0.987]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0.9768 [0.962, 0.988]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0.9789 [0.964, 0.990]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222222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Nivel Weighted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Precisión Weighted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0.9775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0.9765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0.9868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Recall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9"/>
                <w:szCs w:val="19"/>
                <w:color w:val="000000"/>
              </w:rPr>
              <w:t xml:space="preserve">0.9849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9"/>
                <w:szCs w:val="19"/>
                <w:color w:val="000000"/>
              </w:rPr>
            </w:pP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Weighted-F1 [IC 95% Bootstrap]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0.9794 [0.969, 0.990]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0.9819 [0.973, 0.991]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120" w:right="12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0.9838 [0.973, 0.993]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Tabla 2. Auditoría detallada del F1-Score en las 24 categorías CIF del Core Set de Dolor Crónico.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304"/>
        <w:gridCol w:w="864"/>
        <w:gridCol w:w="3456"/>
        <w:gridCol w:w="1008"/>
        <w:gridCol w:w="1368"/>
        <w:gridCol w:w="1368"/>
        <w:gridCol w:w="1368"/>
      </w:tblGrid>
      <w:tr>
        <w:trPr>
          <w:trHeight w:val="360" w:hRule="auto"/>
          <w:tblHeader/>
        </w:trPr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Componente CIF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Código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Categoría CIF (Core Set Dolor Crónico)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Soporte (GT)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Gemma-4-31B-it (F1)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Gemini Flash 3.5 (F1)</w:t>
            </w:r>
          </w:p>
        </w:tc>
        <w:tc>
          <w:tcPr>
            <w:tcBorders>
              <w:bottom w:val="single" w:sz="6" w:space="0" w:color="444444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9"/>
                <w:szCs w:val="19"/>
                <w:color w:val="000000"/>
              </w:rPr>
              <w:t xml:space="preserve">Gemini Flash 3.7 (F1)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444444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Funciones Corporales (b)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b130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Funciones relacionadas con la energía y los impulsos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Funciones del sueño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Funciones psicomotoras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Funciones emocionales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0.9375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b1602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Contenido del pensamiento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Sensación de dolor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Tolerancia al ejercicio físico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b730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Funciones relacionadas con la fuerza muscular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b760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Control de los movimientos voluntarios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0.9000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0.9474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0.9474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6" w:space="0" w:color="444444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Actividades y Participación (d)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d175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Resolver problemas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Llevar a cabo rutinas diarias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Manejo del estrés y demandas psicológicas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Levantar y llevar objetos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Andar y desplazarse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Realizar los quehaceres de la casa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Relaciones familiares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0.9756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Relaciones íntimas y sociales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Trabajo remunerado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d920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Tiempo libre y ocio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single" w:sz="6" w:space="0" w:color="444444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 w:val="restart"/>
            <w:tcBorders>
              <w:bottom w:val="single" w:sz="12" w:space="0" w:color="222222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Factores Ambientales (e)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e1101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Medicamentos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6" w:space="0" w:color="444444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single" w:sz="12" w:space="0" w:color="222222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Familiares cercanos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0.7500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Profesionales de la salud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0.9231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e410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Actitudes individuales de miembros de la familia cercana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<w:tc>
          <w:tcPr>
            <w:vMerge/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e570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Servicios, sistemas y políticas de seguridad social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222222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60" w:before="6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1.0000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miguelvime</cp:lastModifiedBy>
  <cp:revision>9</cp:revision>
  <dcterms:created xsi:type="dcterms:W3CDTF">2017-02-28T11:18:00Z</dcterms:created>
  <dcterms:modified xsi:type="dcterms:W3CDTF">2026-08-26T14:25:25Z</dcterms:modified>
  <cp:category/>
</cp:coreProperties>
</file>