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. Análisis de Sensibilidad y Ablación de la Categoría Dominante (b280)</w:t>
      </w:r>
    </w:p>
    <w:p>
      <w:pPr>
        <w:pStyle w:val="Normal"/>
      </w:pPr>
      <w:r>
        <w:t xml:space="preserve">Evaluación comparativa del rendimiento diagnóstico en los tres modelos evaluados antes y después de excluir el código de dolor (b280).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31"/>
        <w:gridCol w:w="3373"/>
        <w:gridCol w:w="1825"/>
        <w:gridCol w:w="1842"/>
        <w:gridCol w:w="1842"/>
      </w:tblGrid>
      <w:tr>
        <w:trPr>
          <w:trHeight w:val="492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Dimensión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Métrica / Parámetro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Gemma-4-31B-it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3.5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3.7</w:t>
            </w:r>
          </w:p>
        </w:tc>
      </w:tr>
      <w:tr>
        <w:trPr>
          <w:trHeight w:val="521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Parámetros del Espacio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Número de Categorías CIF evaluadas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códigos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códigos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códigos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Soporte Real Ground Truth (menciones)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465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Prevalencia de b280 en el Corpus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92.1% (105/114)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92.1% (105/114)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92.1% (105/114)</w:t>
            </w:r>
          </w:p>
        </w:tc>
      </w:tr>
      <w:tr>
        <w:trPr>
          <w:trHeight w:val="521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Espacio Completo (Con b280)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Micro-F1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0.9797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0.9819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0.9849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Macro-F1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0.9789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Weighted-F1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0.9838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Exact Match Ratio (EMR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86.84% (99/114)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87.72% (100/114)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89.47% (102/114)</w:t>
            </w:r>
          </w:p>
        </w:tc>
      </w:tr>
      <w:tr>
        <w:trPr>
          <w:trHeight w:val="522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Matriz de Confusión (TP / FP / FN)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458 / 12 / 7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460 / 12 / 5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458 / 7 / 7</w:t>
            </w:r>
          </w:p>
        </w:tc>
      </w:tr>
      <w:tr>
        <w:trPr>
          <w:trHeight w:val="521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Ablación (Sin dolor b280)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Micro-F1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0.9738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0.9766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0.9806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Macro-F1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0.9780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Weighted-F1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0.9791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Exact Match Ratio (EMR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86.84% (99/114)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87.72% (100/114)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89.47% (102/114)</w:t>
            </w:r>
          </w:p>
        </w:tc>
      </w:tr>
      <w:tr>
        <w:trPr>
          <w:trHeight w:val="522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Matriz de Confusión (TP / FP / FN)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353 / 12 / 7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355 / 12 / 5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353 / 7 / 7</w:t>
            </w:r>
          </w:p>
        </w:tc>
      </w:tr>
      <w:tr>
        <w:trPr>
          <w:trHeight w:val="521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Variación Absoluta (Δ = Sin - Con)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Δ Micro-F1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-0.0059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-0.0052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-0.0044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Δ Macro-F1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-0.0009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Δ Weighted-F1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-0.0047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Δ EMR (%)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+0.00%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+0.00%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+0.00%</w:t>
            </w:r>
          </w:p>
        </w:tc>
      </w:tr>
      <w:tr>
        <w:trPr>
          <w:trHeight w:val="521" w:hRule="auto"/>
        </w:trPr>
        <w:tc>
          <w:tcPr>
            <w:vMerge w:val="restart"/>
            <w:tcBorders>
              <w:bottom w:val="single" w:sz="12" w:space="0" w:color="222222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Tasa de Retención (%)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Retención Micro-F1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99.40%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99.47%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99.55%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Retención Macro-F1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99.88%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99.91%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Retención Weighted-F1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99.39%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99.46%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99.52%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Retención EMR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100.00%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100.00%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100.00%</w:t>
            </w:r>
          </w:p>
        </w:tc>
      </w:tr>
    </w:tbl>
    <w:p>
      <w:pPr>
        <w:pStyle w:val="Normal"/>
      </w:pPr>
      <w:r>
        <w:t xml:space="preserve">Nota. N = 114 historias clínicas. La tasa de retención se define como [Métrica (Sin b280) / Métrica (Con b280)] × 100.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miguelvime</cp:lastModifiedBy>
  <cp:revision>9</cp:revision>
  <dcterms:created xsi:type="dcterms:W3CDTF">2017-02-28T11:18:00Z</dcterms:created>
  <dcterms:modified xsi:type="dcterms:W3CDTF">2026-08-26T14:25:32Z</dcterms:modified>
  <cp:category/>
</cp:coreProperties>
</file>