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Times New Roman" w:hAnsi="Times New Roman"/>
          <w:b/>
          <w:sz w:val="32"/>
        </w:rPr>
        <w:t>Desempeño Diagnóstico en la Codificación CIF Automatizada</w:t>
      </w:r>
    </w:p>
    <w:p>
      <w:pPr>
        <w:spacing w:after="280"/>
      </w:pPr>
      <w:r>
        <w:rPr>
          <w:i/>
          <w:color w:val="555555"/>
          <w:sz w:val="20"/>
        </w:rPr>
        <w:t>Evaluación comparativa de modelos LLM bajo criterio de consenso estricto (3/3) frente al Ground Truth (114 historias clínicas, Core Set CIF de dolor crónico con 24 categorías).</w:t>
      </w:r>
    </w:p>
    <w:p>
      <w:pPr>
        <w:spacing w:before="160" w:after="120"/>
      </w:pPr>
      <w:r>
        <w:rPr>
          <w:b/>
          <w:sz w:val="23"/>
        </w:rPr>
        <w:t>Tabla 1. Desempeño diagnóstico global y validez multietiqueta por modelo LLM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3333"/>
          <w:bottom w:val="single" w:sz="8" w:space="0" w:color="333333"/>
          <w:insideH w:val="single" w:sz="4" w:space="0" w:color="EAEAEA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3744"/>
            <w:shd w:fill="EFEFE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Variable / Métrica Clínica</w:t>
            </w:r>
          </w:p>
        </w:tc>
        <w:tc>
          <w:tcPr>
            <w:tcW w:type="dxa" w:w="2088"/>
            <w:shd w:fill="EFEFE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Gemma-4-31B-it</w:t>
            </w:r>
          </w:p>
        </w:tc>
        <w:tc>
          <w:tcPr>
            <w:tcW w:type="dxa" w:w="2088"/>
            <w:shd w:fill="EFEFE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Gemini Flash 3.5</w:t>
            </w:r>
          </w:p>
        </w:tc>
        <w:tc>
          <w:tcPr>
            <w:tcW w:type="dxa" w:w="2088"/>
            <w:shd w:fill="EFEFE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Gemini Flash 3.7</w:t>
            </w:r>
          </w:p>
        </w:tc>
      </w:tr>
      <w:tr>
        <w:tc>
          <w:tcPr>
            <w:tcW w:type="dxa" w:w="3744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PARÁMETROS DEL CORPUS CLÍNICO</w:t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Historias clínicas evaluadas (N)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114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114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114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Espacio de decisiones ontológicas (114 × 24)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2.736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2.736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2.736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Instancias CIF totales en Ground Truth (Soporte)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465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465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465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Criterio de consenso inter-iteraciones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Estricto (3/3)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Estricto (3/3)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Estricto (3/3)</w:t>
            </w:r>
          </w:p>
        </w:tc>
      </w:tr>
      <w:tr>
        <w:tc>
          <w:tcPr>
            <w:tcW w:type="dxa" w:w="3744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MATRIZ DE CONFUSIÓN Y EXACTITUD</w:t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Verdaderos Positivos (TP)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458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460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458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Falsos Positivos (FP / Alucinaciones)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Falsos Negativos (FN / Omisiones)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Exact Match Ratio - EMR (n / N)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99/114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100/114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102/114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Exact Match Ratio - EMR (%)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86.84%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87.72%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89.47%</w:t>
            </w:r>
          </w:p>
        </w:tc>
      </w:tr>
      <w:tr>
        <w:tc>
          <w:tcPr>
            <w:tcW w:type="dxa" w:w="3744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EFICACIA DIAGNÓSTICA GLOBAL (NIVEL MICRO)</w:t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Precisión Micro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0.9745 (97.45%)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0.9746 (97.46%)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0.9849 (98.49%)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Recall Micro (Sensibilidad)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0.9849 (98.49%)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0.9892 (98.92%)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0.9849 (98.49%)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Micro-F1-Score [IC 95% Bootstrap]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0.9797 [0.969, 0.990]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0.9819 [0.972, 0.991]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0.9849 [0.976, 0.993]</w:t>
            </w:r>
          </w:p>
        </w:tc>
      </w:tr>
      <w:tr>
        <w:tc>
          <w:tcPr>
            <w:tcW w:type="dxa" w:w="3744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BALANCE ANTE CÓDIGOS MINORITARIOS (NIVEL MACRO)</w:t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Precisión Macro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0.9689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0.9694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0.9818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Recall Macro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0.9821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0.9869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0.9813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Macro-F1-Score [IC 95% Bootstrap]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0.9731 [0.956, 0.987]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0.9768 [0.962, 0.988]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0.9789 [0.964, 0.990]</w:t>
            </w:r>
          </w:p>
        </w:tc>
      </w:tr>
      <w:tr>
        <w:tc>
          <w:tcPr>
            <w:tcW w:type="dxa" w:w="3744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  <w:t>PONDERACIÓN POR PREVALENCIA REAL (NIVEL WEIGHTED)</w:t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  <w:tc>
          <w:tcPr>
            <w:tcW w:type="dxa" w:w="2088"/>
            <w:shd w:fill="F7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F4E79"/>
                <w:sz w:val="18"/>
              </w:rPr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Precisión Weighted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0.9775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0.9765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0.9868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Recall Weighted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0.9849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0.9892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0.9849</w:t>
            </w:r>
          </w:p>
        </w:tc>
      </w:tr>
      <w:tr>
        <w:tc>
          <w:tcPr>
            <w:tcW w:type="dxa" w:w="374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Weighted-F1-Score [IC 95% Bootstrap]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0.9794 [0.969, 0.990]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0.9819 [0.973, 0.991]</w:t>
            </w:r>
          </w:p>
        </w:tc>
        <w:tc>
          <w:tcPr>
            <w:tcW w:type="dxa" w:w="208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0.9838 [0.973, 0.993]</w:t>
            </w:r>
          </w:p>
        </w:tc>
      </w:tr>
    </w:tbl>
    <w:p>
      <w:pPr>
        <w:spacing w:after="320"/>
      </w:pPr>
    </w:p>
    <w:p>
      <w:pPr>
        <w:spacing w:before="240" w:after="120"/>
      </w:pPr>
      <w:r>
        <w:rPr>
          <w:b/>
          <w:sz w:val="23"/>
        </w:rPr>
        <w:t>Tabla 2. Auditoría detallada per class en las 24 categorías CIF del Core Set de Dolor Crónico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3333"/>
          <w:bottom w:val="single" w:sz="8" w:space="0" w:color="333333"/>
          <w:insideH w:val="single" w:sz="4" w:space="0" w:color="EAEAEA"/>
          <w:insideV w:val="none"/>
          <w:left w:val="none"/>
          <w:right w:val="none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792"/>
            <w:shd w:fill="EFEFE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Código CIF</w:t>
            </w:r>
          </w:p>
        </w:tc>
        <w:tc>
          <w:tcPr>
            <w:tcW w:type="dxa" w:w="3096"/>
            <w:shd w:fill="EFEFE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Categoría CIF (Core Set)</w:t>
            </w:r>
          </w:p>
        </w:tc>
        <w:tc>
          <w:tcPr>
            <w:tcW w:type="dxa" w:w="648"/>
            <w:shd w:fill="EFEFE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Soporte (GT)</w:t>
            </w:r>
          </w:p>
        </w:tc>
        <w:tc>
          <w:tcPr>
            <w:tcW w:type="dxa" w:w="792"/>
            <w:shd w:fill="EFEFE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Gemma Prec.</w:t>
            </w:r>
          </w:p>
        </w:tc>
        <w:tc>
          <w:tcPr>
            <w:tcW w:type="dxa" w:w="792"/>
            <w:shd w:fill="EFEFE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Gemma Rec.</w:t>
            </w:r>
          </w:p>
        </w:tc>
        <w:tc>
          <w:tcPr>
            <w:tcW w:type="dxa" w:w="792"/>
            <w:shd w:fill="EFEFE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Gemma F1</w:t>
            </w:r>
          </w:p>
        </w:tc>
        <w:tc>
          <w:tcPr>
            <w:tcW w:type="dxa" w:w="792"/>
            <w:shd w:fill="EFEFE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Flash 3.7 Prec.</w:t>
            </w:r>
          </w:p>
        </w:tc>
        <w:tc>
          <w:tcPr>
            <w:tcW w:type="dxa" w:w="792"/>
            <w:shd w:fill="EFEFE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Flash 3.7 Rec.</w:t>
            </w:r>
          </w:p>
        </w:tc>
        <w:tc>
          <w:tcPr>
            <w:tcW w:type="dxa" w:w="792"/>
            <w:shd w:fill="EFEFE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Flash 3.7 F1</w:t>
            </w:r>
          </w:p>
        </w:tc>
        <w:tc>
          <w:tcPr>
            <w:tcW w:type="dxa" w:w="792"/>
            <w:shd w:fill="EFEFE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Flash 3.5 F1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b130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Funciones relacionadas con la energía y los impulsos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b134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Funciones del sueño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b147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Funciones psicomotoras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b152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Funciones emocionales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0.9375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0.9677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0.8824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0.9375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0.9091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b1602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Contenido del pensamiento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21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b280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Sensación de dolor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b455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Tolerancia al ejercicio físico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b730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Funciones relacionadas con la fuerza muscular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b760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Control de los movimientos voluntarios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0.8182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0.9474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0.9474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d175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Resolver problemas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d230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Llevar a cabo rutinas diarias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0.8824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0.9375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0.9375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d240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Manejo del estrés y demandas psicológicas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21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0.9524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0.9756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d430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Levantar y llevar objetos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d450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Andar y desplazarse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d640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Realizar los quehaceres de la casa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d760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Relaciones familiares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21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0.9524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0.9524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0.9524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0.9524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0.9756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0.9524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d770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Relaciones íntimas y sociales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0.9231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0.9600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0.9231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0.9600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0.9600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d850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Trabajo remunerado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0.9231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0.9600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d920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Tiempo libre y ocio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27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e1101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Medicamentos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21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e310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Familiares cercanos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0.6667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0.6000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0.7500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0.8148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e355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Profesionales de la salud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0.8182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0.8571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0.9231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0.9231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e410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Actitudes individuales de miembros de la familia cercana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  <w:tr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6"/>
              </w:rPr>
              <w:t>e570</w:t>
            </w:r>
          </w:p>
        </w:tc>
        <w:tc>
          <w:tcPr>
            <w:tcW w:type="dxa" w:w="30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Servicios, sistemas y políticas de seguridad social</w:t>
            </w:r>
          </w:p>
        </w:tc>
        <w:tc>
          <w:tcPr>
            <w:tcW w:type="dxa" w:w="64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7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</w:tr>
    </w:tbl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