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Apartado 5.3: Características del conjunto de datos</w:t>
      </w:r>
    </w:p>
    <w:p>
      <w:pPr>
        <w:pStyle w:val="Normal"/>
      </w:pPr>
      <w:r>
        <w:t xml:space="preserve">Tabla . Características métricas del conjunto de datos sintético generado.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Textos clínicos (N)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Códigos ICF extraídos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Códigos ICF únicos identificados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Códigos por texto clínico (Media ± 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4.08 ± 1.48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Códigos por texto clínico (Mediana)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4.0</w:t>
            </w:r>
          </w:p>
        </w:tc>
      </w:tr>
    </w:tbl>
    <w:p>
      <w:pPr>
        <w:pStyle w:val="Normal"/>
      </w:pPr>
      <w:r>
        <w:t xml:space="preserve">Nota. DE: Desviación estándar. ICF: Clasificación Internacional del Funcionamiento, de la Discapacidad y de la Salud (CIF / OMS).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miguelvime</cp:lastModifiedBy>
  <cp:revision>9</cp:revision>
  <dcterms:created xsi:type="dcterms:W3CDTF">2017-02-28T11:18:00Z</dcterms:created>
  <dcterms:modified xsi:type="dcterms:W3CDTF">2026-09-03T11:21:50Z</dcterms:modified>
  <cp:category/>
</cp:coreProperties>
</file>