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Confiabilidad y Reproducibilidad Inter-Iteraciones de los Modelos LLM</w:t>
      </w:r>
    </w:p>
    <w:p>
      <w:pPr>
        <w:pStyle w:val="Normal"/>
      </w:pPr>
      <w:r>
        <w:t xml:space="preserve">Evaluación del acuerdo intra-modelo a través de 3 iteraciones independientes bajo temperatura controlada (114 historias clínicas, espacio de 2.736 decisiones ontológicas).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Formato Transpuesto (Modelos en Columnas)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Confiabilidad y reproducibilidad inter-iteraciones en la codificación CIF.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6"/>
        <w:gridCol w:w="3456"/>
        <w:gridCol w:w="1800"/>
        <w:gridCol w:w="1800"/>
        <w:gridCol w:w="1800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Dimensión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Métrica de Reproducibilidad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Gemma-4-31B-it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3.5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Gemini Flash 3.7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Corpus Clínico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Historias Clínicas Evaluadas (N)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Iteraciones Independientes (K)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Espacio de Decisiones Binarias (114 × 24)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2.736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2.736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2.736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Multietiqueta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Exacto Consensuado 3/3 (n / N)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107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102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108 / 114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6" w:space="0" w:color="444444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Exact Match Ratio (EMR %)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93.86%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89.47%</w:t>
            </w:r>
          </w:p>
        </w:tc>
        <w:tc>
          <w:tcPr>
            <w:tcBorders>
              <w:bottom w:val="single" w:sz="6" w:space="0" w:color="444444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94.74%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12" w:space="0" w:color="222222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Confiabilidad Ajustada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Acuerdo Observado Po (%)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99.8294%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99.6589%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99.8538%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none" w:sz="0" w:space="0" w:color="000000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Coeficiente Gwet's AC1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0.9980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Alpha de Krippendorff (α)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0.9940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0.9882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0.9948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Formato Clásico (Modelos en Filas)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Métricas de consistencia y confiabilidad inter-iteraciones por modelo LLM.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92"/>
        <w:gridCol w:w="1296"/>
        <w:gridCol w:w="1296"/>
        <w:gridCol w:w="1296"/>
        <w:gridCol w:w="1296"/>
        <w:gridCol w:w="1296"/>
        <w:gridCol w:w="1296"/>
      </w:tblGrid>
      <w:tr>
        <w:trPr>
          <w:trHeight w:val="360" w:hRule="auto"/>
          <w:tblHeader/>
        </w:trPr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Modelo LLM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Historias (N)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Acuerdo 3/3 (n)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Exact Match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Acuerdo Po (%)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Gwet's AC1</w:t>
            </w:r>
          </w:p>
        </w:tc>
        <w:tc>
          <w:tcPr>
            <w:tcBorders>
              <w:bottom w:val="single" w:sz="6" w:space="0" w:color="444444"/>
              <w:top w:val="single" w:sz="12" w:space="0" w:color="222222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Krippendorff α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Gemma-4-31B-it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107 / 114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93.86%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99.8294%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0.9976</w:t>
            </w:r>
          </w:p>
        </w:tc>
        <w:tc>
          <w:tcPr>
            <w:tcBorders>
              <w:bottom w:val="none" w:sz="0" w:space="0" w:color="000000"/>
              <w:top w:val="single" w:sz="6" w:space="0" w:color="444444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0.9940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102 / 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89.47%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99.6589%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0.9882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9"/>
                <w:szCs w:val="19"/>
                <w:color w:val="000000"/>
              </w:rPr>
              <w:t xml:space="preserve">Gemini Flash 3.7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114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108 / 114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94.74%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99.8538%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0.9980</w:t>
            </w:r>
          </w:p>
        </w:tc>
        <w:tc>
          <w:tcPr>
            <w:tcBorders>
              <w:bottom w:val="single" w:sz="12" w:space="0" w:color="222222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2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9"/>
                <w:szCs w:val="19"/>
                <w:color w:val="000000"/>
              </w:rPr>
              <w:t xml:space="preserve">0.9948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miguelvime</cp:lastModifiedBy>
  <cp:revision>9</cp:revision>
  <dcterms:created xsi:type="dcterms:W3CDTF">2017-02-28T11:18:00Z</dcterms:created>
  <dcterms:modified xsi:type="dcterms:W3CDTF">2026-09-03T11:21:56Z</dcterms:modified>
  <cp:category/>
</cp:coreProperties>
</file>