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. Análisis de Sensibilidad y Ablación de la Categoría Dominante (b280)</w:t>
      </w:r>
    </w:p>
    <w:p>
      <w:pPr>
        <w:pStyle w:val="Normal"/>
      </w:pPr>
      <w:r>
        <w:t xml:space="preserve">Evaluación comparativa del rendimiento diagnóstico en los tres modelos evaluados antes y después de excluir el código de dolor (b280).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1"/>
        <w:gridCol w:w="3373"/>
        <w:gridCol w:w="1825"/>
        <w:gridCol w:w="1842"/>
        <w:gridCol w:w="1842"/>
      </w:tblGrid>
      <w:tr>
        <w:trPr>
          <w:trHeight w:val="492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Dimensión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Métrica / Parámetro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Gemma-4-31B-it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3.5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3.7</w:t>
            </w:r>
          </w:p>
        </w:tc>
      </w:tr>
      <w:tr>
        <w:trPr>
          <w:trHeight w:val="521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Parámetros del Espacio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Número de Categorías CIF evaluadas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códigos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códigos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códigos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Soporte Real Ground Truth (menciones)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465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Prevalencia de b280 en el Corpus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 (105/114)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 (105/114)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 (105/114)</w:t>
            </w:r>
          </w:p>
        </w:tc>
      </w:tr>
      <w:tr>
        <w:trPr>
          <w:trHeight w:val="521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Espacio Completo (Con b280)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Micro-F1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0.9797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0.9849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Macro-F1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0.9789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0.9838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Exact Match Ratio (EMR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86.84% (99/114)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87.72% (100/114)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89.47% (102/114)</w:t>
            </w:r>
          </w:p>
        </w:tc>
      </w:tr>
      <w:tr>
        <w:trPr>
          <w:trHeight w:val="522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Matriz de Confusión (TP / FP / FN)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 / 12 / 7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460 / 12 / 5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 / 7 / 7</w:t>
            </w:r>
          </w:p>
        </w:tc>
      </w:tr>
      <w:tr>
        <w:trPr>
          <w:trHeight w:val="521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Ablación (Sin dolor b280)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Micro-F1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0.9738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0.9766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0.9806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Macro-F1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0.9780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0.9791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Exact Match Ratio (EMR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86.84% (99/114)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87.72% (100/114)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89.47% (102/114)</w:t>
            </w:r>
          </w:p>
        </w:tc>
      </w:tr>
      <w:tr>
        <w:trPr>
          <w:trHeight w:val="522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Matriz de Confusión (TP / FP / FN)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 / 12 / 7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355 / 12 / 5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 / 7 / 7</w:t>
            </w:r>
          </w:p>
        </w:tc>
      </w:tr>
      <w:tr>
        <w:trPr>
          <w:trHeight w:val="521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Variación Absoluta (Δ = Sin - Con)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Micro-F1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-0.0052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-0.0044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Macro-F1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-0.0009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Weighted-F1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-0.0047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EMR (%)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+0.00%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+0.00%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+0.00%</w:t>
            </w:r>
          </w:p>
        </w:tc>
      </w:tr>
      <w:tr>
        <w:trPr>
          <w:trHeight w:val="521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Tasa de Retención (%)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Retención Micro-F1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99.40%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99.47%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99.55%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Retención Macro-F1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99.91%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Retención Weighted-F1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99.52%</w:t>
            </w:r>
          </w:p>
        </w:tc>
      </w:tr>
      <w:tr>
        <w:trPr>
          <w:trHeight w:val="521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Retención EMR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100.00%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100.00%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100.00%</w:t>
            </w:r>
          </w:p>
        </w:tc>
      </w:tr>
    </w:tbl>
    <w:p>
      <w:pPr>
        <w:pStyle w:val="Normal"/>
      </w:pPr>
      <w:r>
        <w:t xml:space="preserve">Nota. N = 114 historias clínicas. La tasa de retención se define como [Métrica (Sin b280) / Métrica (Con b280)] × 100.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2026-09-03T11:22:06Z</dcterms:modified>
  <cp:category/>
</cp:coreProperties>
</file>