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right"/>
      </w:pPr>
      <w:r>
        <w:rPr>
          <w:rFonts w:ascii="Times New Roman" w:hAnsi="Times New Roman"/>
          <w:color w:val="787878"/>
          <w:sz w:val="17"/>
        </w:rPr>
        <w:t>TRABAJO FIN DE MÁSTER · BIOINFORMÁTICA</w:t>
      </w:r>
    </w:p>
    <w:p>
      <w:pPr>
        <w:keepNext/>
        <w:spacing w:before="280" w:after="120" w:line="360" w:lineRule="auto"/>
      </w:pPr>
      <w:r>
        <w:rPr>
          <w:rFonts w:ascii="Times New Roman" w:hAnsi="Times New Roman"/>
          <w:b/>
          <w:color w:val="0A2F40"/>
          <w:sz w:val="28"/>
        </w:rPr>
        <w:t>1. Metodología: Validación con Historias Clínicas de Fisioterapeutas</w:t>
      </w:r>
    </w:p>
    <w:p>
      <w:pPr>
        <w:spacing w:after="120" w:line="360" w:lineRule="auto"/>
        <w:jc w:val="both"/>
      </w:pPr>
      <w:r>
        <w:rPr>
          <w:rFonts w:ascii="Times New Roman" w:hAnsi="Times New Roman"/>
          <w:sz w:val="24"/>
        </w:rPr>
        <w:t>Para evaluar la capacidad de transferencia del pipeline automatizado fuera del entorno sintético, se recopiló un corpus de validación externa compuesto por 21 historias clínicas narradas libremente por fisioterapeutas colegiados. El estándar de referencia (Ground Truth) fue indexado por expertos según el Core Set de la CIF para dolor crónico generalizado, identificando 118 diagnósticos reales (media de 5.62 ± 2.82 códigos por historia, rango 2–16) distribuidos en Funciones Corporales (b, 49 menciones), Actividades y Participación (d, 55 menciones) y Factores Ambientales (e, 14 menciones).</w:t>
      </w:r>
    </w:p>
    <w:p>
      <w:pPr>
        <w:spacing w:after="120" w:line="360" w:lineRule="auto"/>
        <w:jc w:val="both"/>
      </w:pPr>
      <w:r>
        <w:rPr>
          <w:rFonts w:ascii="Times New Roman" w:hAnsi="Times New Roman"/>
          <w:sz w:val="24"/>
        </w:rPr>
        <w:t>El procedimiento de inferencia en n8n evaluó tres modelos bajo 3 réplicas estocásticas y consenso estricto (3/3): Gemma-4-31B-it (modelo de pesos abiertos ejecutado localmente de forma on-premise), Gemini Flash 3.5 y Gemini Flash 3.6 (modelos cloud). Se computaron métricas de fiabilidad intra-modelo (PAE, AC1 de Gwet, Alfa de Krippendorff), validez diagnóstica (Micro, Macro, Weighted F1, Precisión, Recall, EMR) con intervalos de confianza al 95% mediante remuestreo Bootstrap (B = 1000) y la Tasa de Retención del Rendimiento respecto al corpus sintético (N = 114).</w:t>
      </w:r>
    </w:p>
    <w:p>
      <w:pPr>
        <w:keepNext/>
        <w:spacing w:before="280" w:after="120" w:line="360" w:lineRule="auto"/>
      </w:pPr>
      <w:r>
        <w:rPr>
          <w:rFonts w:ascii="Times New Roman" w:hAnsi="Times New Roman"/>
          <w:b/>
          <w:color w:val="0A2F40"/>
          <w:sz w:val="28"/>
        </w:rPr>
        <w:t>2. Resultados: Rendimiento Tri-Modelo en Historias Reales</w:t>
      </w:r>
    </w:p>
    <w:p>
      <w:pPr>
        <w:keepNext/>
        <w:spacing w:before="240" w:after="60" w:line="276" w:lineRule="auto"/>
      </w:pPr>
      <w:r>
        <w:rPr>
          <w:rFonts w:ascii="Times New Roman" w:hAnsi="Times New Roman"/>
          <w:b/>
          <w:color w:val="0A2F40"/>
          <w:sz w:val="26"/>
        </w:rPr>
        <w:t>2.1. Fiabilidad y Validez Diagnóstica Global</w:t>
      </w:r>
    </w:p>
    <w:p>
      <w:pPr>
        <w:spacing w:after="120" w:line="360" w:lineRule="auto"/>
        <w:jc w:val="both"/>
      </w:pPr>
      <w:r>
        <w:rPr>
          <w:rFonts w:ascii="Times New Roman" w:hAnsi="Times New Roman"/>
          <w:sz w:val="24"/>
        </w:rPr>
        <w:t>La fiabilidad intra-modelo evidenció una elevada reproducibilidad en los tres modelos (Tabla 1): Gemini Flash 3.6 alcanzó un acuerdo exacto del 85.71% (18/21 historias idénticas, α = 0.9792), seguido de Gemma-4-31B-it (61.90%, α = 0.9552) y Gemini Flash 3.5 (57.14%, α = 0.9512).</w:t>
      </w:r>
    </w:p>
    <w:p>
      <w:pPr>
        <w:spacing w:after="120" w:line="360" w:lineRule="auto"/>
        <w:jc w:val="both"/>
      </w:pPr>
      <w:r>
        <w:rPr>
          <w:rFonts w:ascii="Times New Roman" w:hAnsi="Times New Roman"/>
          <w:sz w:val="24"/>
        </w:rPr>
        <w:t>En validez diagnóstica global frente al Ground Truth (Tabla 1 y Figuras 1 y 2), Gemini Flash 3.6 lideró con un Micro-F1 de 0.8208 [IC 95%: 0.7480–0.8934] y una Precisión Micro de 0.9255. Gemini Flash 3.5 alcanzó un Micro-F1 de 0.8113 (Precisión: 0.9149), mientras que el modelo local Gemma-4-31B-it demostró una destacada eficacia diagnóstica on-premise con un Micro-F1 de 0.7713 (Precisión: 0.8190). La tasa de falsos positivos (alucinaciones) fue extraordinariamente reducida (7 en Flash 3.6, 8 en Flash 3.5 y 19 en Gemma sobre 567 decisiones), garantizando una excelente seguridad clínica.</w:t>
      </w:r>
    </w:p>
    <w:p>
      <w:pPr>
        <w:keepNext/>
        <w:spacing w:before="120" w:after="40" w:line="240" w:lineRule="auto"/>
      </w:pPr>
      <w:r>
        <w:rPr>
          <w:rFonts w:ascii="Times New Roman" w:hAnsi="Times New Roman"/>
          <w:color w:val="0E2841"/>
          <w:sz w:val="18"/>
        </w:rPr>
        <w:t>Tabla 1. Evaluación global del desempeño diagnóstico y fiabilidad intra-modelo ante historias clínicas redactadas por fisioterapeutas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1702"/>
        <w:gridCol w:w="1702"/>
        <w:gridCol w:w="1702"/>
        <w:gridCol w:w="1702"/>
        <w:gridCol w:w="1702"/>
      </w:tblGrid>
      <w:tr>
        <w:tc>
          <w:tcPr>
            <w:tcW w:type="dxa" w:w="2016"/>
            <w:shd w:fill="F4F6F7"/>
            <w:tcMar>
              <w:top w:w="35" w:type="dxa"/>
              <w:bottom w:w="35" w:type="dxa"/>
              <w:left w:w="30" w:type="dxa"/>
              <w:right w:w="30" w:type="dxa"/>
            </w:tcMar>
            <w:tcBorders>
              <w:bottom w:val="single" w:sz="6" w:space="0" w:color="444444"/>
            </w:tcBorders>
          </w:tcPr>
          <w:p>
            <w:pPr>
              <w:spacing w:line="240" w:lineRule="auto" w:after="40"/>
              <w:jc w:val="left"/>
            </w:pPr>
            <w:r>
              <w:rPr>
                <w:rFonts w:ascii="Times New Roman" w:hAnsi="Times New Roman"/>
                <w:b/>
                <w:sz w:val="17"/>
              </w:rPr>
              <w:t>Dimensión</w:t>
            </w:r>
          </w:p>
        </w:tc>
        <w:tc>
          <w:tcPr>
            <w:tcW w:type="dxa" w:w="2304"/>
            <w:shd w:fill="F4F6F7"/>
            <w:tcMar>
              <w:top w:w="35" w:type="dxa"/>
              <w:bottom w:w="35" w:type="dxa"/>
              <w:left w:w="30" w:type="dxa"/>
              <w:right w:w="30" w:type="dxa"/>
            </w:tcMar>
            <w:tcBorders>
              <w:bottom w:val="single" w:sz="6" w:space="0" w:color="444444"/>
            </w:tcBorders>
          </w:tcPr>
          <w:p>
            <w:pPr>
              <w:spacing w:line="240" w:lineRule="auto" w:after="40"/>
              <w:jc w:val="left"/>
            </w:pPr>
            <w:r>
              <w:rPr>
                <w:rFonts w:ascii="Times New Roman" w:hAnsi="Times New Roman"/>
                <w:b/>
                <w:sz w:val="17"/>
              </w:rPr>
              <w:t>Métrica / Parámetro</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Gemma-4-31B-it (Local)</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Gemini Flash 3.5 (Cloud)</w:t>
            </w:r>
          </w:p>
        </w:tc>
        <w:tc>
          <w:tcPr>
            <w:tcW w:type="dxa" w:w="1872"/>
            <w:shd w:fill="F4F6F7"/>
            <w:tcMar>
              <w:top w:w="35" w:type="dxa"/>
              <w:bottom w:w="35" w:type="dxa"/>
              <w:left w:w="30" w:type="dxa"/>
              <w:right w:w="30" w:type="dxa"/>
            </w:tcMar>
            <w:tcBorders>
              <w:bottom w:val="single" w:sz="6" w:space="0" w:color="444444"/>
            </w:tcBorders>
          </w:tcPr>
          <w:p>
            <w:pPr>
              <w:spacing w:line="240" w:lineRule="auto" w:after="40"/>
              <w:jc w:val="center"/>
            </w:pPr>
            <w:r>
              <w:rPr>
                <w:rFonts w:ascii="Times New Roman" w:hAnsi="Times New Roman"/>
                <w:b/>
                <w:sz w:val="17"/>
              </w:rPr>
              <w:t>Gemini Flash 3.6 (Cloud)</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Historias clínicas evaluadas (N)</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21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Espacio ontológico evaluado (N × 27)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Soporte real de menciones CIF</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118</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Promedio de códigos por historia</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5.62 ± 2.82</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Corpus Clínico Humano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Criterio de consenso multi-iteración</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Consenso estricto (3/3)</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Porcentaje de Acuerdo Exacto (PAE, %)</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61.90%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57.14%</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85.71%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Acuerdo Observado (Po, %)</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98.59%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98.59%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99.41%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Coeficiente AC1 de Gwet</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0.9794</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0.9802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0.9918</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Fiabilidad Intra-Modelo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Alfa (α) de Krippendorff</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0.9552</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0.9512</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0.9792</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Verdaderos Positivos (TP)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86</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86</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Falsos Positivos / Alucinaciones (FP)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19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7</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Falsos Negativos / Omisiones (FN)</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32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32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31</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Matriz de Confusión</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Exact Match Ratio (EMR, %)</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19.05% (4/21)</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38.10% (8/21)</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33.33% (7/21)</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Micro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0.8190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0.9149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0.9255</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Micro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0.7288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0.7288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0.7373</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Nivel Micro (Global)</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Micro-F1 [IC 95% Bootstrap]</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0.7713 [0.7035, 0.8458]</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0.8113 [0.7308, 0.8958]</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0.8208 [0.7480, 0.8934]</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Macro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0.6199</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0.6812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0.6849</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Macro</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0.4860</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0.4857</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0.4971</w:t>
            </w:r>
          </w:p>
        </w:tc>
      </w:tr>
      <w:tr>
        <w:tc>
          <w:tcPr>
            <w:tcW w:type="dxa" w:w="2016"/>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i/>
                <w:sz w:val="16"/>
              </w:rPr>
              <w:t>Nivel Macro (Promedio)</w:t>
            </w:r>
          </w:p>
        </w:tc>
        <w:tc>
          <w:tcPr>
            <w:tcW w:type="dxa" w:w="2304"/>
            <w:tcMar>
              <w:top w:w="25" w:type="dxa"/>
              <w:bottom w:w="25" w:type="dxa"/>
              <w:left w:w="30" w:type="dxa"/>
              <w:right w:w="30" w:type="dxa"/>
            </w:tcMar>
            <w:tcBorders>
              <w:bottom w:val="single" w:sz="4" w:space="0" w:color="D0D0D0"/>
            </w:tcBorders>
          </w:tcPr>
          <w:p>
            <w:pPr>
              <w:spacing w:line="240" w:lineRule="auto" w:after="20"/>
              <w:jc w:val="left"/>
            </w:pPr>
            <w:r>
              <w:rPr>
                <w:rFonts w:ascii="Times New Roman" w:hAnsi="Times New Roman"/>
                <w:sz w:val="16"/>
              </w:rPr>
              <w:t>Macro-F1 [IC 95% Bootstrap]</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0.5117 [0.3983, 0.5604]</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0.5421 [0.4192, 0.6067]</w:t>
            </w:r>
          </w:p>
        </w:tc>
        <w:tc>
          <w:tcPr>
            <w:tcW w:type="dxa" w:w="1872"/>
            <w:tcMar>
              <w:top w:w="25" w:type="dxa"/>
              <w:bottom w:w="25" w:type="dxa"/>
              <w:left w:w="30" w:type="dxa"/>
              <w:right w:w="30" w:type="dxa"/>
            </w:tcMar>
            <w:tcBorders>
              <w:bottom w:val="single" w:sz="4" w:space="0" w:color="D0D0D0"/>
            </w:tcBorders>
          </w:tcPr>
          <w:p>
            <w:pPr>
              <w:spacing w:line="240" w:lineRule="auto" w:after="20"/>
              <w:jc w:val="center"/>
            </w:pPr>
            <w:r>
              <w:rPr>
                <w:rFonts w:ascii="Times New Roman" w:hAnsi="Times New Roman"/>
                <w:sz w:val="16"/>
              </w:rPr>
              <w:t>0.5537 [0.4452, 0.6086]</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Precisión Weighted</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0.8494</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0.9083</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0.9254</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Sensibilidad / Recall Weighted</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0.7288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0.7288</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0.7373</w:t>
            </w:r>
          </w:p>
        </w:tc>
      </w:tr>
      <w:tr>
        <w:tc>
          <w:tcPr>
            <w:tcW w:type="dxa" w:w="2016"/>
            <w:tcMar>
              <w:top w:w="25" w:type="dxa"/>
              <w:bottom w:w="25" w:type="dxa"/>
              <w:left w:w="30" w:type="dxa"/>
              <w:right w:w="30" w:type="dxa"/>
            </w:tcMar>
          </w:tcPr>
          <w:p>
            <w:pPr>
              <w:spacing w:line="240" w:lineRule="auto" w:after="20"/>
              <w:jc w:val="left"/>
            </w:pPr>
            <w:r>
              <w:rPr>
                <w:rFonts w:ascii="Times New Roman" w:hAnsi="Times New Roman"/>
                <w:i/>
                <w:sz w:val="16"/>
              </w:rPr>
              <w:t>Nivel Weighted (Ponderado)</w:t>
            </w:r>
          </w:p>
        </w:tc>
        <w:tc>
          <w:tcPr>
            <w:tcW w:type="dxa" w:w="2304"/>
            <w:tcMar>
              <w:top w:w="25" w:type="dxa"/>
              <w:bottom w:w="25" w:type="dxa"/>
              <w:left w:w="30" w:type="dxa"/>
              <w:right w:w="30" w:type="dxa"/>
            </w:tcMar>
          </w:tcPr>
          <w:p>
            <w:pPr>
              <w:spacing w:line="240" w:lineRule="auto" w:after="20"/>
              <w:jc w:val="left"/>
            </w:pPr>
            <w:r>
              <w:rPr>
                <w:rFonts w:ascii="Times New Roman" w:hAnsi="Times New Roman"/>
                <w:sz w:val="16"/>
              </w:rPr>
              <w:t>Weighted-F1 [IC 95% Bootstrap]</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0.7550 [0.6675, 0.8292]</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0.7817 [0.6748, 0.8706]</w:t>
            </w:r>
          </w:p>
        </w:tc>
        <w:tc>
          <w:tcPr>
            <w:tcW w:type="dxa" w:w="1872"/>
            <w:tcMar>
              <w:top w:w="25" w:type="dxa"/>
              <w:bottom w:w="25" w:type="dxa"/>
              <w:left w:w="30" w:type="dxa"/>
              <w:right w:w="30" w:type="dxa"/>
            </w:tcMar>
          </w:tcPr>
          <w:p>
            <w:pPr>
              <w:spacing w:line="240" w:lineRule="auto" w:after="20"/>
              <w:jc w:val="center"/>
            </w:pPr>
            <w:r>
              <w:rPr>
                <w:rFonts w:ascii="Times New Roman" w:hAnsi="Times New Roman"/>
                <w:sz w:val="16"/>
              </w:rPr>
              <w:t>0.7941 [0.6903, 0.8710]</w:t>
            </w:r>
          </w:p>
        </w:tc>
      </w:tr>
    </w:tbl>
    <w:p>
      <w:pPr>
        <w:spacing w:before="40" w:after="120" w:line="240" w:lineRule="auto"/>
      </w:pPr>
      <w:r>
        <w:rPr>
          <w:rFonts w:ascii="Times New Roman" w:hAnsi="Times New Roman"/>
          <w:b/>
          <w:i/>
          <w:sz w:val="17"/>
        </w:rPr>
        <w:t xml:space="preserve">Nota. </w:t>
      </w:r>
      <w:r>
        <w:rPr>
          <w:rFonts w:ascii="Times New Roman" w:hAnsi="Times New Roman"/>
          <w:sz w:val="17"/>
        </w:rPr>
        <w:t>IC 95%: Intervalos de confianza calculados por Bootstrap no paramétrico (B = 1000 iteraciones). PAE: Porcentaje de Acuerdo Exacto. EMR: Exact Match Ratio.</w:t>
      </w:r>
    </w:p>
    <w:p>
      <w:pPr>
        <w:keepNext/>
        <w:spacing w:before="120" w:after="40" w:line="240" w:lineRule="auto"/>
      </w:pPr>
      <w:r>
        <w:rPr>
          <w:rFonts w:ascii="Times New Roman" w:hAnsi="Times New Roman"/>
          <w:color w:val="0E2841"/>
          <w:sz w:val="18"/>
        </w:rPr>
        <w:t>Figura 1. Comparativa global de desempeño diagnóstico tri-modelo (F1-score e IC 95% Bootstrap) en historias de fisioterapeutas</w:t>
      </w:r>
    </w:p>
    <w:p>
      <w:pPr>
        <w:jc w:val="center"/>
      </w:pPr>
      <w:r>
        <w:drawing>
          <wp:inline xmlns:a="http://schemas.openxmlformats.org/drawingml/2006/main" xmlns:pic="http://schemas.openxmlformats.org/drawingml/2006/picture">
            <wp:extent cx="5303520" cy="2997642"/>
            <wp:docPr id="1" name="Picture 1"/>
            <wp:cNvGraphicFramePr>
              <a:graphicFrameLocks noChangeAspect="1"/>
            </wp:cNvGraphicFramePr>
            <a:graphic>
              <a:graphicData uri="http://schemas.openxmlformats.org/drawingml/2006/picture">
                <pic:pic>
                  <pic:nvPicPr>
                    <pic:cNvPr id="0" name="01_comparativa_global_f1_human.png"/>
                    <pic:cNvPicPr/>
                  </pic:nvPicPr>
                  <pic:blipFill>
                    <a:blip r:embed="rId9"/>
                    <a:stretch>
                      <a:fillRect/>
                    </a:stretch>
                  </pic:blipFill>
                  <pic:spPr>
                    <a:xfrm>
                      <a:off x="0" y="0"/>
                      <a:ext cx="5303520" cy="2997642"/>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Micro-F1, Macro-F1, Weighted-F1 y EMR entre Gemma-4-31B-it, Gemini Flash 3.5 y Gemini Flash 3.6.</w:t>
      </w:r>
    </w:p>
    <w:p>
      <w:pPr>
        <w:keepNext/>
        <w:spacing w:before="120" w:after="40" w:line="240" w:lineRule="auto"/>
      </w:pPr>
      <w:r>
        <w:rPr>
          <w:rFonts w:ascii="Times New Roman" w:hAnsi="Times New Roman"/>
          <w:color w:val="0E2841"/>
          <w:sz w:val="18"/>
        </w:rPr>
        <w:t>Figura 2. Desglose pareado de Precisión, Sensibilidad (Recall) y F1-Score en los niveles Micro y Weighted</w:t>
      </w:r>
    </w:p>
    <w:p>
      <w:pPr>
        <w:jc w:val="center"/>
      </w:pPr>
      <w:r>
        <w:drawing>
          <wp:inline xmlns:a="http://schemas.openxmlformats.org/drawingml/2006/main" xmlns:pic="http://schemas.openxmlformats.org/drawingml/2006/picture">
            <wp:extent cx="5303520" cy="2213643"/>
            <wp:docPr id="2" name="Picture 2"/>
            <wp:cNvGraphicFramePr>
              <a:graphicFrameLocks noChangeAspect="1"/>
            </wp:cNvGraphicFramePr>
            <a:graphic>
              <a:graphicData uri="http://schemas.openxmlformats.org/drawingml/2006/picture">
                <pic:pic>
                  <pic:nvPicPr>
                    <pic:cNvPr id="0" name="02_precision_recall_f1_pareado_human.png"/>
                    <pic:cNvPicPr/>
                  </pic:nvPicPr>
                  <pic:blipFill>
                    <a:blip r:embed="rId10"/>
                    <a:stretch>
                      <a:fillRect/>
                    </a:stretch>
                  </pic:blipFill>
                  <pic:spPr>
                    <a:xfrm>
                      <a:off x="0" y="0"/>
                      <a:ext cx="5303520" cy="2213643"/>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Nivel Micro (izquierda) y Nivel Weighted (derecha), reflejando la alta precisión (&gt; 82%–92.5%) del consenso estricto.</w:t>
      </w:r>
    </w:p>
    <w:p>
      <w:pPr>
        <w:keepNext/>
        <w:spacing w:before="240" w:after="60" w:line="276" w:lineRule="auto"/>
      </w:pPr>
      <w:r>
        <w:rPr>
          <w:rFonts w:ascii="Times New Roman" w:hAnsi="Times New Roman"/>
          <w:b/>
          <w:color w:val="0A2F40"/>
          <w:sz w:val="26"/>
        </w:rPr>
        <w:t>2.2. Desempeño por Componentes CIF y Auditoría por Categoría</w:t>
      </w:r>
    </w:p>
    <w:p>
      <w:pPr>
        <w:spacing w:after="120" w:line="360" w:lineRule="auto"/>
        <w:jc w:val="both"/>
      </w:pPr>
      <w:r>
        <w:rPr>
          <w:rFonts w:ascii="Times New Roman" w:hAnsi="Times New Roman"/>
          <w:sz w:val="24"/>
        </w:rPr>
        <w:t>Por componentes ontológicos (Tabla 2 y Figura 4), el mayor rendimiento se obtuvo en Funciones Corporales (b, F1 de 0.88 en Gemma, 0.91 en Flash 3.5 y 0.90 en Flash 3.6), destacando b280 («Dolor», F1 = 1.00) y b134 («Sueño», F1 = 1.00). En Actividades y Participación (d), el F1 osciló entre 0.68 y 0.76 (d450 «Andar»: F1 0.87–0.91; d640 «Quehaceres»: F1 0.86–0.93). En Factores Ambientales (e), el F1 se situó entre 0.69 y 0.76, con precisión del 100% en medicamentos (e1101, F1 0.83–0.92).</w:t>
      </w:r>
    </w:p>
    <w:p>
      <w:pPr>
        <w:keepNext/>
        <w:spacing w:before="120" w:after="40" w:line="240" w:lineRule="auto"/>
      </w:pPr>
      <w:r>
        <w:rPr>
          <w:rFonts w:ascii="Times New Roman" w:hAnsi="Times New Roman"/>
          <w:color w:val="0E2841"/>
          <w:sz w:val="18"/>
        </w:rPr>
        <w:t>Tabla 2. Auditoría de clasificación F1 por categoría CIF en el corpus de historias humanas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1216"/>
        <w:gridCol w:w="1216"/>
        <w:gridCol w:w="1216"/>
        <w:gridCol w:w="1216"/>
        <w:gridCol w:w="1216"/>
        <w:gridCol w:w="1216"/>
        <w:gridCol w:w="1216"/>
      </w:tblGrid>
      <w:tr>
        <w:tc>
          <w:tcPr>
            <w:tcW w:type="dxa" w:w="2160"/>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Componente CIF</w:t>
            </w:r>
          </w:p>
        </w:tc>
        <w:tc>
          <w:tcPr>
            <w:tcW w:type="dxa" w:w="936"/>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Código</w:t>
            </w:r>
          </w:p>
        </w:tc>
        <w:tc>
          <w:tcPr>
            <w:tcW w:type="dxa" w:w="3312"/>
            <w:shd w:fill="F4F6F7"/>
            <w:tcMar>
              <w:top w:w="30" w:type="dxa"/>
              <w:bottom w:w="30" w:type="dxa"/>
              <w:left w:w="25" w:type="dxa"/>
              <w:right w:w="25" w:type="dxa"/>
            </w:tcMar>
            <w:tcBorders>
              <w:bottom w:val="single" w:sz="6" w:space="0" w:color="444444"/>
            </w:tcBorders>
          </w:tcPr>
          <w:p>
            <w:pPr>
              <w:spacing w:line="240" w:lineRule="auto" w:after="40"/>
              <w:jc w:val="left"/>
            </w:pPr>
            <w:r>
              <w:rPr>
                <w:rFonts w:ascii="Times New Roman" w:hAnsi="Times New Roman"/>
                <w:b/>
                <w:sz w:val="16"/>
              </w:rPr>
              <w:t>Categoría CIF</w:t>
            </w:r>
          </w:p>
        </w:tc>
        <w:tc>
          <w:tcPr>
            <w:tcW w:type="dxa" w:w="936"/>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Soporte Real</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Gemma 31B (F1)</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Flash 3.5 (F1)</w:t>
            </w:r>
          </w:p>
        </w:tc>
        <w:tc>
          <w:tcPr>
            <w:tcW w:type="dxa" w:w="1224"/>
            <w:shd w:fill="F4F6F7"/>
            <w:tcMar>
              <w:top w:w="30" w:type="dxa"/>
              <w:bottom w:w="30" w:type="dxa"/>
              <w:left w:w="25" w:type="dxa"/>
              <w:right w:w="25" w:type="dxa"/>
            </w:tcMar>
            <w:tcBorders>
              <w:bottom w:val="single" w:sz="6" w:space="0" w:color="444444"/>
            </w:tcBorders>
          </w:tcPr>
          <w:p>
            <w:pPr>
              <w:spacing w:line="240" w:lineRule="auto" w:after="40"/>
              <w:jc w:val="center"/>
            </w:pPr>
            <w:r>
              <w:rPr>
                <w:rFonts w:ascii="Times New Roman" w:hAnsi="Times New Roman"/>
                <w:b/>
                <w:sz w:val="16"/>
              </w:rPr>
              <w:t>Flash 3.6 (F1)</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relacionadas con la energía y los impulsos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b134</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del sueño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b147</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psicomotoras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b152</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emocionales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b1602</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Contenido del pensamiento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0.91</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b175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cognitivas superiores (Resolver problemas)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b240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Sensaciones corporales y manejo del estrés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b280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Sensación de dolor</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21</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1.00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b455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Tolerancia al ejercicio físico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b730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Funciones relacionadas con la fuerza muscular</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0.60</w:t>
            </w:r>
          </w:p>
        </w:tc>
      </w:tr>
      <w:tr>
        <w:tc>
          <w:tcPr>
            <w:tcW w:type="dxa" w:w="2160"/>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i/>
                <w:sz w:val="15"/>
              </w:rPr>
              <w:t>Funciones Corporales</w:t>
            </w:r>
          </w:p>
        </w:tc>
        <w:tc>
          <w:tcPr>
            <w:tcW w:type="dxa" w:w="936"/>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b/>
                <w:sz w:val="15"/>
              </w:rPr>
              <w:t>b760</w:t>
            </w:r>
          </w:p>
        </w:tc>
        <w:tc>
          <w:tcPr>
            <w:tcW w:type="dxa" w:w="3312"/>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sz w:val="15"/>
              </w:rPr>
              <w:t>Control de los movimientos voluntarios</w:t>
            </w:r>
          </w:p>
        </w:tc>
        <w:tc>
          <w:tcPr>
            <w:tcW w:type="dxa" w:w="936"/>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1</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d175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Resolver problemas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d230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Llevar a cabo rutinas diarias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0.83</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d240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Manejo del estrés y demandas psicológicas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d290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Tareas y demandas generales (Ocio)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d430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Levantar y llevar objetos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d450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Andar y desplazarse</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d640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Realizar los quehaceres de la casa</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4</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0.67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d760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Relaciones familiares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0.40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d770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Relaciones íntimas y sociales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3</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d850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Trabajo remunerado</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0.86</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0.93</w:t>
            </w:r>
          </w:p>
        </w:tc>
      </w:tr>
      <w:tr>
        <w:tc>
          <w:tcPr>
            <w:tcW w:type="dxa" w:w="2160"/>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i/>
                <w:sz w:val="15"/>
              </w:rPr>
              <w:t>Actividades y Participación</w:t>
            </w:r>
          </w:p>
        </w:tc>
        <w:tc>
          <w:tcPr>
            <w:tcW w:type="dxa" w:w="936"/>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b/>
                <w:sz w:val="15"/>
              </w:rPr>
              <w:t>d920</w:t>
            </w:r>
          </w:p>
        </w:tc>
        <w:tc>
          <w:tcPr>
            <w:tcW w:type="dxa" w:w="3312"/>
            <w:tcMar>
              <w:top w:w="20" w:type="dxa"/>
              <w:bottom w:w="20" w:type="dxa"/>
              <w:left w:w="25" w:type="dxa"/>
              <w:right w:w="25" w:type="dxa"/>
            </w:tcMar>
            <w:tcBorders>
              <w:bottom w:val="single" w:sz="6" w:space="0" w:color="888888"/>
            </w:tcBorders>
          </w:tcPr>
          <w:p>
            <w:pPr>
              <w:spacing w:line="240" w:lineRule="auto" w:after="20"/>
              <w:jc w:val="left"/>
            </w:pPr>
            <w:r>
              <w:rPr>
                <w:rFonts w:ascii="Times New Roman" w:hAnsi="Times New Roman"/>
                <w:sz w:val="15"/>
              </w:rPr>
              <w:t>Tiempo libre y ocio</w:t>
            </w:r>
          </w:p>
        </w:tc>
        <w:tc>
          <w:tcPr>
            <w:tcW w:type="dxa" w:w="936"/>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8</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Borders>
              <w:bottom w:val="single" w:sz="6" w:space="0" w:color="888888"/>
            </w:tcBorders>
          </w:tcPr>
          <w:p>
            <w:pPr>
              <w:spacing w:line="240" w:lineRule="auto" w:after="20"/>
              <w:jc w:val="center"/>
            </w:pPr>
            <w:r>
              <w:rPr>
                <w:rFonts w:ascii="Times New Roman" w:hAnsi="Times New Roman"/>
                <w:sz w:val="15"/>
              </w:rPr>
              <w:t>0.93</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e1101</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Medicamentos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0.88</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0.82</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e310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Familiares cercanos</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e355</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Profesionales de la salud</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2</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0.57</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0.50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e410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Actitudes individuales de miembros de la familia cercana</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1</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0.00</w:t>
            </w:r>
          </w:p>
        </w:tc>
      </w:tr>
      <w:tr>
        <w:tc>
          <w:tcPr>
            <w:tcW w:type="dxa" w:w="2160"/>
            <w:tcMar>
              <w:top w:w="20" w:type="dxa"/>
              <w:bottom w:w="20" w:type="dxa"/>
              <w:left w:w="25" w:type="dxa"/>
              <w:right w:w="25" w:type="dxa"/>
            </w:tcMar>
          </w:tcPr>
          <w:p>
            <w:pPr>
              <w:spacing w:line="240" w:lineRule="auto" w:after="20"/>
              <w:jc w:val="left"/>
            </w:pPr>
            <w:r>
              <w:rPr>
                <w:rFonts w:ascii="Times New Roman" w:hAnsi="Times New Roman"/>
                <w:i/>
                <w:sz w:val="15"/>
              </w:rPr>
              <w:t>Factores Ambientales</w:t>
            </w:r>
          </w:p>
        </w:tc>
        <w:tc>
          <w:tcPr>
            <w:tcW w:type="dxa" w:w="936"/>
            <w:tcMar>
              <w:top w:w="20" w:type="dxa"/>
              <w:bottom w:w="20" w:type="dxa"/>
              <w:left w:w="25" w:type="dxa"/>
              <w:right w:w="25" w:type="dxa"/>
            </w:tcMar>
          </w:tcPr>
          <w:p>
            <w:pPr>
              <w:spacing w:line="240" w:lineRule="auto" w:after="20"/>
              <w:jc w:val="left"/>
            </w:pPr>
            <w:r>
              <w:rPr>
                <w:rFonts w:ascii="Times New Roman" w:hAnsi="Times New Roman"/>
                <w:b/>
                <w:sz w:val="15"/>
              </w:rPr>
              <w:t>e570</w:t>
            </w:r>
          </w:p>
        </w:tc>
        <w:tc>
          <w:tcPr>
            <w:tcW w:type="dxa" w:w="3312"/>
            <w:tcMar>
              <w:top w:w="20" w:type="dxa"/>
              <w:bottom w:w="20" w:type="dxa"/>
              <w:left w:w="25" w:type="dxa"/>
              <w:right w:w="25" w:type="dxa"/>
            </w:tcMar>
          </w:tcPr>
          <w:p>
            <w:pPr>
              <w:spacing w:line="240" w:lineRule="auto" w:after="20"/>
              <w:jc w:val="left"/>
            </w:pPr>
            <w:r>
              <w:rPr>
                <w:rFonts w:ascii="Times New Roman" w:hAnsi="Times New Roman"/>
                <w:sz w:val="15"/>
              </w:rPr>
              <w:t>Servicios, sistemas y políticas de seguridad social</w:t>
            </w:r>
          </w:p>
        </w:tc>
        <w:tc>
          <w:tcPr>
            <w:tcW w:type="dxa" w:w="936"/>
            <w:tcMar>
              <w:top w:w="20" w:type="dxa"/>
              <w:bottom w:w="20" w:type="dxa"/>
              <w:left w:w="25" w:type="dxa"/>
              <w:right w:w="25" w:type="dxa"/>
            </w:tcMar>
          </w:tcPr>
          <w:p>
            <w:pPr>
              <w:spacing w:line="240" w:lineRule="auto" w:after="20"/>
              <w:jc w:val="center"/>
            </w:pPr>
            <w:r>
              <w:rPr>
                <w:rFonts w:ascii="Times New Roman" w:hAnsi="Times New Roman"/>
                <w:sz w:val="15"/>
              </w:rPr>
              <w:t>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0.75</w:t>
            </w:r>
          </w:p>
        </w:tc>
        <w:tc>
          <w:tcPr>
            <w:tcW w:type="dxa" w:w="1224"/>
            <w:tcMar>
              <w:top w:w="20" w:type="dxa"/>
              <w:bottom w:w="20" w:type="dxa"/>
              <w:left w:w="25" w:type="dxa"/>
              <w:right w:w="25" w:type="dxa"/>
            </w:tcMar>
          </w:tcPr>
          <w:p>
            <w:pPr>
              <w:spacing w:line="240" w:lineRule="auto" w:after="20"/>
              <w:jc w:val="center"/>
            </w:pPr>
            <w:r>
              <w:rPr>
                <w:rFonts w:ascii="Times New Roman" w:hAnsi="Times New Roman"/>
                <w:sz w:val="15"/>
              </w:rPr>
              <w:t>0.75</w:t>
            </w:r>
          </w:p>
        </w:tc>
      </w:tr>
    </w:tbl>
    <w:p>
      <w:pPr>
        <w:spacing w:before="40" w:after="120" w:line="240" w:lineRule="auto"/>
      </w:pPr>
      <w:r>
        <w:rPr>
          <w:rFonts w:ascii="Times New Roman" w:hAnsi="Times New Roman"/>
          <w:b/>
          <w:i/>
          <w:sz w:val="17"/>
        </w:rPr>
        <w:t xml:space="preserve">Nota. </w:t>
      </w:r>
      <w:r>
        <w:rPr>
          <w:rFonts w:ascii="Times New Roman" w:hAnsi="Times New Roman"/>
          <w:sz w:val="17"/>
        </w:rPr>
        <w:t>F1: Puntuación F1-Score bajo consenso estricto (3/3). Soporte Real: Frecuencia observada de la categoría en las 21 historias.</w:t>
      </w:r>
    </w:p>
    <w:p>
      <w:pPr>
        <w:keepNext/>
        <w:spacing w:before="120" w:after="40" w:line="240" w:lineRule="auto"/>
      </w:pPr>
      <w:r>
        <w:rPr>
          <w:rFonts w:ascii="Times New Roman" w:hAnsi="Times New Roman"/>
          <w:color w:val="0E2841"/>
          <w:sz w:val="18"/>
        </w:rPr>
        <w:t>Figura 3. Auditoría de F1-Score por categoría CIF en el corpus de historias humanas</w:t>
      </w:r>
    </w:p>
    <w:p>
      <w:pPr>
        <w:jc w:val="center"/>
      </w:pPr>
      <w:r>
        <w:drawing>
          <wp:inline xmlns:a="http://schemas.openxmlformats.org/drawingml/2006/main" xmlns:pic="http://schemas.openxmlformats.org/drawingml/2006/picture">
            <wp:extent cx="5303520" cy="5808617"/>
            <wp:docPr id="3" name="Picture 3"/>
            <wp:cNvGraphicFramePr>
              <a:graphicFrameLocks noChangeAspect="1"/>
            </wp:cNvGraphicFramePr>
            <a:graphic>
              <a:graphicData uri="http://schemas.openxmlformats.org/drawingml/2006/picture">
                <pic:pic>
                  <pic:nvPicPr>
                    <pic:cNvPr id="0" name="03_auditoria_per_class_human.png"/>
                    <pic:cNvPicPr/>
                  </pic:nvPicPr>
                  <pic:blipFill>
                    <a:blip r:embed="rId11"/>
                    <a:stretch>
                      <a:fillRect/>
                    </a:stretch>
                  </pic:blipFill>
                  <pic:spPr>
                    <a:xfrm>
                      <a:off x="0" y="0"/>
                      <a:ext cx="5303520" cy="5808617"/>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F1-Score para las 22 categorías activas del Core Set. La línea discontinua roja indica el umbral de excelencia diagnóstica (0.80).</w:t>
      </w:r>
    </w:p>
    <w:p>
      <w:pPr>
        <w:keepNext/>
        <w:spacing w:before="120" w:after="40" w:line="240" w:lineRule="auto"/>
      </w:pPr>
      <w:r>
        <w:rPr>
          <w:rFonts w:ascii="Times New Roman" w:hAnsi="Times New Roman"/>
          <w:color w:val="0E2841"/>
          <w:sz w:val="18"/>
        </w:rPr>
        <w:t>Figura 4. Rendimiento diagnóstico comparativo (Micro-F1) agrupado por componentes de la CIF</w:t>
      </w:r>
    </w:p>
    <w:p>
      <w:pPr>
        <w:jc w:val="center"/>
      </w:pPr>
      <w:r>
        <w:drawing>
          <wp:inline xmlns:a="http://schemas.openxmlformats.org/drawingml/2006/main" xmlns:pic="http://schemas.openxmlformats.org/drawingml/2006/picture">
            <wp:extent cx="5029200" cy="2857500"/>
            <wp:docPr id="4" name="Picture 4"/>
            <wp:cNvGraphicFramePr>
              <a:graphicFrameLocks noChangeAspect="1"/>
            </wp:cNvGraphicFramePr>
            <a:graphic>
              <a:graphicData uri="http://schemas.openxmlformats.org/drawingml/2006/picture">
                <pic:pic>
                  <pic:nvPicPr>
                    <pic:cNvPr id="0" name="04_desempeno_por_componente_cif_human.png"/>
                    <pic:cNvPicPr/>
                  </pic:nvPicPr>
                  <pic:blipFill>
                    <a:blip r:embed="rId12"/>
                    <a:stretch>
                      <a:fillRect/>
                    </a:stretch>
                  </pic:blipFill>
                  <pic:spPr>
                    <a:xfrm>
                      <a:off x="0" y="0"/>
                      <a:ext cx="5029200" cy="2857500"/>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Rendimiento por dominio ontológico: Funciones Corporales (b), Actividades y Participación (d) y Factores Ambientales (e).</w:t>
      </w:r>
    </w:p>
    <w:p>
      <w:pPr>
        <w:keepNext/>
        <w:spacing w:before="240" w:after="60" w:line="276" w:lineRule="auto"/>
      </w:pPr>
      <w:r>
        <w:rPr>
          <w:rFonts w:ascii="Times New Roman" w:hAnsi="Times New Roman"/>
          <w:b/>
          <w:color w:val="0A2F40"/>
          <w:sz w:val="26"/>
        </w:rPr>
        <w:t>2.3. Análisis de Generalización: Corpus Sintético vs Fisioterapeutas</w:t>
      </w:r>
    </w:p>
    <w:p>
      <w:pPr>
        <w:spacing w:after="120" w:line="360" w:lineRule="auto"/>
        <w:jc w:val="both"/>
      </w:pPr>
      <w:r>
        <w:rPr>
          <w:rFonts w:ascii="Times New Roman" w:hAnsi="Times New Roman"/>
          <w:sz w:val="24"/>
        </w:rPr>
        <w:t>La comparación entre el rendimiento sintético (N = 114) y el corpus de fisioterapeutas (N = 21) demuestra una alta tasa de retención (Tabla 3 y Figura 5): Gemini Flash 3.6 retuvo el 84.5% de su Micro-F1 (0.8208 vs 0.9709) y el 95.0% de su Precisión (0.9255 vs 0.9740). Gemini Flash 3.5 retuvo el 83.5% de su Micro-F1 y el 93.9% de su Precisión. Gemma-4-31B-it retuvo el 79.6% de su Micro-F1 y el 84.5% de su Precisión. La reducción en EMR se explica por la alta densidad diagnóstica de las historias reales, donde la omisión de un único código anula el acierto estricto del caso completo.</w:t>
      </w:r>
    </w:p>
    <w:p>
      <w:pPr>
        <w:keepNext/>
        <w:spacing w:before="120" w:after="40" w:line="240" w:lineRule="auto"/>
      </w:pPr>
      <w:r>
        <w:rPr>
          <w:rFonts w:ascii="Times New Roman" w:hAnsi="Times New Roman"/>
          <w:color w:val="0E2841"/>
          <w:sz w:val="18"/>
        </w:rPr>
        <w:t>Tabla 3. Comparativa de generalización del pipeline: Rendimiento ante corpus sintético (N = 114) versus corpus de fisioterapeutas (N = 21)</w:t>
      </w:r>
    </w:p>
    <w:tbl>
      <w:tblPr>
        <w:tblW w:type="auto" w:w="0"/>
        <w:jc w:val="center"/>
        <w:tblLook w:firstColumn="1" w:firstRow="1" w:lastColumn="0" w:lastRow="0" w:noHBand="0" w:noVBand="1" w:val="04A0"/>
        <w:tblBorders>
          <w:top w:val="single" w:sz="12" w:space="0" w:color="222222"/>
          <w:bottom w:val="single" w:sz="12" w:space="0" w:color="222222"/>
          <w:insideH w:val="none"/>
          <w:insideV w:val="none"/>
          <w:left w:val="none"/>
          <w:right w:val="none"/>
        </w:tblBorders>
      </w:tblPr>
      <w:tblGrid>
        <w:gridCol w:w="851"/>
        <w:gridCol w:w="851"/>
        <w:gridCol w:w="851"/>
        <w:gridCol w:w="851"/>
        <w:gridCol w:w="851"/>
        <w:gridCol w:w="851"/>
        <w:gridCol w:w="851"/>
        <w:gridCol w:w="851"/>
        <w:gridCol w:w="851"/>
        <w:gridCol w:w="851"/>
      </w:tblGrid>
      <w:tr>
        <w:tc>
          <w:tcPr>
            <w:tcW w:type="dxa" w:w="2448"/>
            <w:shd w:fill="F4F6F7"/>
            <w:tcMar>
              <w:top w:w="30" w:type="dxa"/>
              <w:bottom w:w="30" w:type="dxa"/>
              <w:left w:w="20" w:type="dxa"/>
              <w:right w:w="20" w:type="dxa"/>
            </w:tcMar>
            <w:tcBorders>
              <w:bottom w:val="single" w:sz="6" w:space="0" w:color="444444"/>
            </w:tcBorders>
          </w:tcPr>
          <w:p>
            <w:pPr>
              <w:spacing w:line="240" w:lineRule="auto" w:after="40"/>
              <w:jc w:val="left"/>
            </w:pPr>
            <w:r>
              <w:rPr>
                <w:rFonts w:ascii="Times New Roman" w:hAnsi="Times New Roman"/>
                <w:b/>
                <w:sz w:val="15"/>
              </w:rPr>
              <w:t>Métrica Diagnóstica y Fiabilidad</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Gemma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Gemma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3.5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3.5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3.6 (Sint.)</w:t>
            </w:r>
          </w:p>
        </w:tc>
        <w:tc>
          <w:tcPr>
            <w:tcW w:type="dxa" w:w="792"/>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Flash 3.6 (Hum.)</w:t>
            </w:r>
          </w:p>
        </w:tc>
        <w:tc>
          <w:tcPr>
            <w:tcW w:type="dxa" w:w="691"/>
            <w:shd w:fill="F4F6F7"/>
            <w:tcMar>
              <w:top w:w="30" w:type="dxa"/>
              <w:bottom w:w="30" w:type="dxa"/>
              <w:left w:w="20" w:type="dxa"/>
              <w:right w:w="20" w:type="dxa"/>
            </w:tcMar>
            <w:tcBorders>
              <w:bottom w:val="single" w:sz="6" w:space="0" w:color="444444"/>
            </w:tcBorders>
          </w:tcPr>
          <w:p>
            <w:pPr>
              <w:spacing w:line="240" w:lineRule="auto" w:after="40"/>
              <w:jc w:val="center"/>
            </w:pPr>
            <w:r>
              <w:rPr>
                <w:rFonts w:ascii="Times New Roman" w:hAnsi="Times New Roman"/>
                <w:b/>
                <w:sz w:val="15"/>
              </w:rPr>
              <w:t>Ret.(%)</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Exact Match Ratio (EMR, %)</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82.46%</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19.05%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23.1%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85.09%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38.10%</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44.8%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84.21%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33.33%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39.6%</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Precisión Micro</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0.9698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0.8190</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84.5%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0.9741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0.9149</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93.9%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0.9740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0.9255</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95.0%</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Sensibilidad / Recall Micro</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0.9677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0.7288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75.3%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0.9699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0.7288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75.1%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0.9677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0.7373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76.2%</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Micro-F1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0.9688</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0.7713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79.6%</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0.9720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0.8113</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83.5%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0.9709</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0.8208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84.5%</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Macro-F1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0.8621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0.5117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0.8670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0.5421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62.5%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0.8650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0.5537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64.0%</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Weighted-F1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0.9597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0.7550</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78.7%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0.9631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0.7817</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81.2%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0.9617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0.7941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82.6%</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Acuerdo Exacto (PAE, %)</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98.25%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61.90%</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63.0%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98.25%</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57.14%</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58.2%</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85.71%</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85.7%</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Coeficiente AC1 de Gwet</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0.9794</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98.0%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0.9994</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0.9802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98.1%</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0.9918</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99.2%</w:t>
            </w:r>
          </w:p>
        </w:tc>
      </w:tr>
      <w:tr>
        <w:tc>
          <w:tcPr>
            <w:tcW w:type="dxa" w:w="2448"/>
            <w:tcMar>
              <w:top w:w="20" w:type="dxa"/>
              <w:bottom w:w="20" w:type="dxa"/>
              <w:left w:w="20" w:type="dxa"/>
              <w:right w:w="20" w:type="dxa"/>
            </w:tcMar>
          </w:tcPr>
          <w:p>
            <w:pPr>
              <w:spacing w:line="240" w:lineRule="auto" w:after="20"/>
              <w:jc w:val="left"/>
            </w:pPr>
            <w:r>
              <w:rPr>
                <w:rFonts w:ascii="Times New Roman" w:hAnsi="Times New Roman"/>
                <w:sz w:val="15"/>
              </w:rPr>
              <w:t>Alfa de Krippendorff</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0.9983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0.9552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95.7%</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0.9983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0.9512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95.3%</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1.0000</w:t>
            </w:r>
          </w:p>
        </w:tc>
        <w:tc>
          <w:tcPr>
            <w:tcW w:type="dxa" w:w="792"/>
            <w:tcMar>
              <w:top w:w="20" w:type="dxa"/>
              <w:bottom w:w="20" w:type="dxa"/>
              <w:left w:w="20" w:type="dxa"/>
              <w:right w:w="20" w:type="dxa"/>
            </w:tcMar>
          </w:tcPr>
          <w:p>
            <w:pPr>
              <w:spacing w:line="240" w:lineRule="auto" w:after="20"/>
              <w:jc w:val="center"/>
            </w:pPr>
            <w:r>
              <w:rPr>
                <w:rFonts w:ascii="Times New Roman" w:hAnsi="Times New Roman"/>
                <w:sz w:val="15"/>
              </w:rPr>
              <w:t>0.9792</w:t>
            </w:r>
          </w:p>
        </w:tc>
        <w:tc>
          <w:tcPr>
            <w:tcW w:type="dxa" w:w="691"/>
            <w:tcMar>
              <w:top w:w="20" w:type="dxa"/>
              <w:bottom w:w="20" w:type="dxa"/>
              <w:left w:w="20" w:type="dxa"/>
              <w:right w:w="20" w:type="dxa"/>
            </w:tcMar>
          </w:tcPr>
          <w:p>
            <w:pPr>
              <w:spacing w:line="240" w:lineRule="auto" w:after="20"/>
              <w:jc w:val="center"/>
            </w:pPr>
            <w:r>
              <w:rPr>
                <w:rFonts w:ascii="Times New Roman" w:hAnsi="Times New Roman"/>
                <w:sz w:val="15"/>
              </w:rPr>
              <w:t>97.9%</w:t>
            </w:r>
          </w:p>
        </w:tc>
      </w:tr>
    </w:tbl>
    <w:p>
      <w:pPr>
        <w:spacing w:before="40" w:after="120" w:line="240" w:lineRule="auto"/>
      </w:pPr>
      <w:r>
        <w:rPr>
          <w:rFonts w:ascii="Times New Roman" w:hAnsi="Times New Roman"/>
          <w:b/>
          <w:i/>
          <w:sz w:val="17"/>
        </w:rPr>
        <w:t xml:space="preserve">Nota. </w:t>
      </w:r>
      <w:r>
        <w:rPr>
          <w:rFonts w:ascii="Times New Roman" w:hAnsi="Times New Roman"/>
          <w:sz w:val="17"/>
        </w:rPr>
        <w:t>Tasa de Retención (%) = [Valor en Historias Humanas / Valor en Corpus Sintético] × 100.</w:t>
      </w:r>
    </w:p>
    <w:p>
      <w:pPr>
        <w:keepNext/>
        <w:spacing w:before="120" w:after="40" w:line="240" w:lineRule="auto"/>
      </w:pPr>
      <w:r>
        <w:rPr>
          <w:rFonts w:ascii="Times New Roman" w:hAnsi="Times New Roman"/>
          <w:color w:val="0E2841"/>
          <w:sz w:val="18"/>
        </w:rPr>
        <w:t>Figura 5. Comparativa de rendimiento diagnóstico y retención métrica tri-modelo: Sintético (N = 114) vs Fisioterapeutas (N = 21)</w:t>
      </w:r>
    </w:p>
    <w:p>
      <w:pPr>
        <w:jc w:val="center"/>
      </w:pPr>
      <w:r>
        <w:drawing>
          <wp:inline xmlns:a="http://schemas.openxmlformats.org/drawingml/2006/main" xmlns:pic="http://schemas.openxmlformats.org/drawingml/2006/picture">
            <wp:extent cx="5303520" cy="2209800"/>
            <wp:docPr id="5" name="Picture 5"/>
            <wp:cNvGraphicFramePr>
              <a:graphicFrameLocks noChangeAspect="1"/>
            </wp:cNvGraphicFramePr>
            <a:graphic>
              <a:graphicData uri="http://schemas.openxmlformats.org/drawingml/2006/picture">
                <pic:pic>
                  <pic:nvPicPr>
                    <pic:cNvPr id="0" name="05_comparativa_sintetico_vs_humano.png"/>
                    <pic:cNvPicPr/>
                  </pic:nvPicPr>
                  <pic:blipFill>
                    <a:blip r:embed="rId13"/>
                    <a:stretch>
                      <a:fillRect/>
                    </a:stretch>
                  </pic:blipFill>
                  <pic:spPr>
                    <a:xfrm>
                      <a:off x="0" y="0"/>
                      <a:ext cx="5303520" cy="2209800"/>
                    </a:xfrm>
                    <a:prstGeom prst="rect"/>
                  </pic:spPr>
                </pic:pic>
              </a:graphicData>
            </a:graphic>
          </wp:inline>
        </w:drawing>
      </w:r>
    </w:p>
    <w:p>
      <w:pPr>
        <w:spacing w:before="40" w:after="120" w:line="240" w:lineRule="auto"/>
      </w:pPr>
      <w:r>
        <w:rPr>
          <w:rFonts w:ascii="Times New Roman" w:hAnsi="Times New Roman"/>
          <w:b/>
          <w:i/>
          <w:sz w:val="17"/>
        </w:rPr>
        <w:t xml:space="preserve">Nota. </w:t>
      </w:r>
      <w:r>
        <w:rPr>
          <w:rFonts w:ascii="Times New Roman" w:hAnsi="Times New Roman"/>
          <w:sz w:val="17"/>
        </w:rPr>
        <w:t>Contraste entre el rendimiento en datos sintéticos controlados y narrativas clínicas de fisioterapeutas.</w:t>
      </w:r>
    </w:p>
    <w:p>
      <w:pPr>
        <w:keepNext/>
        <w:spacing w:before="280" w:after="120" w:line="360" w:lineRule="auto"/>
      </w:pPr>
      <w:r>
        <w:rPr>
          <w:rFonts w:ascii="Times New Roman" w:hAnsi="Times New Roman"/>
          <w:b/>
          <w:color w:val="0A2F40"/>
          <w:sz w:val="28"/>
        </w:rPr>
        <w:t>3. Discusión y Conclusiones de la Validación Humana</w:t>
      </w:r>
    </w:p>
    <w:p>
      <w:pPr>
        <w:spacing w:after="120" w:line="360" w:lineRule="auto"/>
        <w:jc w:val="both"/>
      </w:pPr>
      <w:r>
        <w:rPr>
          <w:rFonts w:ascii="Times New Roman" w:hAnsi="Times New Roman"/>
          <w:sz w:val="24"/>
        </w:rPr>
        <w:t>1. Validez Ecológica: La preservación de un Micro-F1 de 0.82 en Flash 3.6 (0.81 en Flash 3.5 y 0.77 en Gemma) y precisiones del 82%–92.5% demuestra que el flujo en n8n transfiere eficazmente al lenguaje médico no estructurado real sin sobreajustar al generador sintético.</w:t>
      </w:r>
    </w:p>
    <w:p>
      <w:pPr>
        <w:spacing w:after="120" w:line="360" w:lineRule="auto"/>
        <w:jc w:val="both"/>
      </w:pPr>
      <w:r>
        <w:rPr>
          <w:rFonts w:ascii="Times New Roman" w:hAnsi="Times New Roman"/>
          <w:sz w:val="24"/>
        </w:rPr>
        <w:t>2. Seguridad Asistencial y Privacidad (RGPD): La baja tasa de falsos positivos (solo 7–19 en 567 decisiones) garantiza que el sistema es seguro y no inventa discapacidades. Asimismo, el sólido rendimiento de Gemma-4-31B-it valida la viabilidad técnica de implementar este pipeline en servidores locales hospitalarios, asegurando la soberanía de los datos clínicos y el cumplimiento de la privacidad sin depender de APIs en la nube.</w:t>
      </w:r>
    </w:p>
    <w:p>
      <w:pPr>
        <w:spacing w:after="120" w:line="360" w:lineRule="auto"/>
        <w:jc w:val="both"/>
      </w:pPr>
      <w:r>
        <w:rPr>
          <w:rFonts w:ascii="Times New Roman" w:hAnsi="Times New Roman"/>
          <w:sz w:val="24"/>
        </w:rPr>
        <w:t>3. Recomendación de Despliegue: Para maximizar la sensibilidad en historias clínicas largas con alta comorbilidad, se recomienda evaluar en producción el consenso por Voto Mayoritario (≥ 2/3), aumentando el Recall con una mínima pérdida de precisión.</w:t>
      </w:r>
    </w:p>
    <w:sectPr w:rsidR="00FC693F" w:rsidRPr="0006063C" w:rsidSect="00034616">
      <w:pgSz w:w="11909" w:h="16834"/>
      <w:pgMar w:top="1411" w:right="1699"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