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Eficiencia Computacional y Estrategias de Inferencia</w:t>
      </w:r>
    </w:p>
    <w:p>
      <w:pPr>
        <w:pStyle w:val="Normal"/>
      </w:pPr>
      <w:r>
        <w:t xml:space="preserve">Evaluación comparativa del rendimiento diagnóstico (F1-Score y Exact Match Ratio) frente al coste y latencia computacional.</w:t>
      </w:r>
    </w:p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Eficiencia operativa y rendimiento diagnóstico según la estrategia de consenso (K=1 frente a K=3).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2"/>
        <w:gridCol w:w="2880"/>
        <w:gridCol w:w="1152"/>
        <w:gridCol w:w="1008"/>
        <w:gridCol w:w="1008"/>
        <w:gridCol w:w="1008"/>
        <w:gridCol w:w="1008"/>
        <w:gridCol w:w="1008"/>
        <w:gridCol w:w="1008"/>
      </w:tblGrid>
      <w:tr>
        <w:trPr>
          <w:trHeight w:val="360" w:hRule="auto"/>
          <w:tblHeader/>
        </w:trPr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Régimen de Inferencia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Estrategia de Decisión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Coste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Gemma-4-31B-it (F1)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Gemma (EMR)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Gemini Flash 3.5 (F1)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Flash 3.5 (EMR)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Gemini Flash 3.6 (F1)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Flash 3.6 (EMR)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444444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Pase Único (K=1)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Iteración 1 (Pase Primario)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1x (Óptimo)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0.9699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83.33%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0.9709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84.21%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0.9709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84.21%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Iteración 2 (Segunda Corrida)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82.46%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84.21%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84.21%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Iteración 3 (Tercera Corrida)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1x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0.9677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81.58%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0.9709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84.21%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0.9709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84.21%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2" w:space="0" w:color="222222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Multi-Pase (K=3)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Consenso Estricto (3/3 Unánime)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3x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0.9688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82.46%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0.9720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85.09%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0.9709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84.21%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Voto Mayoritario (≥ 2/3)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82.46%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84.21%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84.21%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Unión / Sensibilidad (≥ 1/3)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3x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0.9689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82.46%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0.9699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83.33%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0.9709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84.21%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miguelvime</cp:lastModifiedBy>
  <cp:revision>9</cp:revision>
  <dcterms:created xsi:type="dcterms:W3CDTF">2017-02-28T11:18:00Z</dcterms:created>
  <dcterms:modified xsi:type="dcterms:W3CDTF">2026-08-20T20:31:55Z</dcterms:modified>
  <cp:category/>
</cp:coreProperties>
</file>