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Eficiencia Operativa y Estrategias de Inferencia (Pase Único vs Consenso Multi-Pase)</w:t>
      </w:r>
    </w:p>
    <w:p>
      <w:pPr>
        <w:pStyle w:val="Normal"/>
      </w:pPr>
      <w:r>
        <w:t xml:space="preserve">Comparativa de exactitud diagnóstica (Micro-F1 y EMR) frente al coste computacional y latencia en historias clínicas.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Tabla. Análisis de coste-efectividad y rendimiento diagnóstico según la estrategia de consenso (K=1 vs K=3).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2880"/>
        <w:gridCol w:w="1152"/>
        <w:gridCol w:w="936"/>
        <w:gridCol w:w="936"/>
        <w:gridCol w:w="936"/>
        <w:gridCol w:w="936"/>
        <w:gridCol w:w="936"/>
        <w:gridCol w:w="936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Régimen de Inferencia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Estrategia de Decisión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Coste Relativo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 (EMR)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3.5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3.5 (EMR)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3.6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Flash 3.6 (EMR)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Pase Único (K=1)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Iteración 1 (Pase Primario)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 (Óptimo)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0.9699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83.33%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Iteración 2 (Segunda Corrida)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Iteración 3 (Tercera Corrida)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1x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0.9677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81.58%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Multi-Pase (K=3)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Consenso Estricto (3/3 Unánime)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0.9688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0.9720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85.09%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Voto Mayoritario (≥ 2/3)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Unión / Sensibilidad (≥ 1/3)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3x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0.9689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82.46%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0.9699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83.33%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0.9709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84.21%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2026-08-24T11:12:07Z</dcterms:modified>
  <cp:category/>
</cp:coreProperties>
</file>