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Cardo-bold.ttf" ContentType="application/x-font-ttf"/>
  <Override PartName="/word/fonts/Cardo-italic.ttf" ContentType="application/x-font-ttf"/>
  <Override PartName="/word/fonts/Cardo-regular.ttf" ContentType="application/x-font-ttf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13D9">
      <w:pPr>
        <w:pStyle w:val="Heading2"/>
        <w:spacing w:after="240" w:before="240" w:lineRule="auto"/>
        <w:rPr>
          <w:sz w:val="24"/>
          <w:szCs w:val="24"/>
        </w:rPr>
      </w:pPr>
      <w:bookmarkStart w:colFirst="0" w:colLast="0" w:name="_w1vgsm4t8icv" w:id="218"/>
      <w:bookmarkEnd w:id="218"/>
      <w:r w:rsidDel="00000000" w:rsidR="00000000" w:rsidRPr="00000000">
        <w:rPr>
          <w:rtl w:val="0"/>
        </w:rPr>
        <w:t xml:space="preserve">Appendix I.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Data Requirements</w:t>
      </w:r>
    </w:p>
    <w:p w:rsidR="00000000" w:rsidDel="00000000" w:rsidP="00000000" w:rsidRDefault="00000000" w:rsidRPr="00000000" w14:paraId="000013DA">
      <w:pPr>
        <w:pStyle w:val="Heading2"/>
        <w:spacing w:after="240" w:before="240" w:lineRule="auto"/>
        <w:rPr/>
      </w:pPr>
      <w:bookmarkStart w:colFirst="0" w:colLast="0" w:name="_uh29zoiicy3e" w:id="219"/>
      <w:bookmarkEnd w:id="219"/>
      <w:r w:rsidDel="00000000" w:rsidR="00000000" w:rsidRPr="00000000">
        <w:rPr>
          <w:rtl w:val="0"/>
        </w:rPr>
        <w:t xml:space="preserve">Appendix I.</w:t>
      </w:r>
      <w:r w:rsidDel="00000000" w:rsidR="00000000" w:rsidRPr="00000000">
        <w:rPr>
          <w:rtl w:val="0"/>
        </w:rPr>
        <w:t xml:space="preserve">1. </w:t>
      </w:r>
      <w:r w:rsidDel="00000000" w:rsidR="00000000" w:rsidRPr="00000000">
        <w:rPr>
          <w:sz w:val="24"/>
          <w:szCs w:val="24"/>
          <w:rtl w:val="0"/>
        </w:rPr>
        <w:t xml:space="preserve">Data to be collected and sources</w:t>
      </w:r>
      <w:r w:rsidDel="00000000" w:rsidR="00000000" w:rsidRPr="00000000">
        <w:rPr>
          <w:rtl w:val="0"/>
        </w:rPr>
      </w:r>
    </w:p>
    <w:tbl>
      <w:tblPr>
        <w:tblStyle w:val="Table70"/>
        <w:tblW w:w="8715.0" w:type="dxa"/>
        <w:jc w:val="left"/>
        <w:tblInd w:w="70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90"/>
        <w:gridCol w:w="1815"/>
        <w:gridCol w:w="1770"/>
        <w:gridCol w:w="1770"/>
        <w:gridCol w:w="1770"/>
        <w:tblGridChange w:id="0">
          <w:tblGrid>
            <w:gridCol w:w="1590"/>
            <w:gridCol w:w="1815"/>
            <w:gridCol w:w="1770"/>
            <w:gridCol w:w="1770"/>
            <w:gridCol w:w="1770"/>
          </w:tblGrid>
        </w:tblGridChange>
      </w:tblGrid>
      <w:tr>
        <w:trPr>
          <w:cantSplit w:val="0"/>
          <w:trHeight w:val="902.9296875" w:hRule="atLeast"/>
          <w:tblHeader w:val="0"/>
        </w:trPr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13D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Data Category</w:t>
            </w:r>
          </w:p>
        </w:tc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13D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Key Fields</w:t>
            </w:r>
          </w:p>
        </w:tc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13D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Primary Source Role</w:t>
            </w:r>
          </w:p>
        </w:tc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13D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Existing System (AS-IS)</w:t>
            </w:r>
          </w:p>
        </w:tc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13D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Use for Monitoring and Analytics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E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Student identity + program profile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E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Student name; ID number; program/track; year level; AY entry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E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Staff/Admin; Student (for verification)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E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Student Monitoring Excel Sheet (AC-STUDENT-MONITORING-Template.xlsx)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E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Baseline linking key across coursework + research monitoring; supports cohort grouping and drill-down views.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E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Coursework / enrollment monitoring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E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AY entry; subjects/codes; unit totals; standing/progress markers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E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Staff/Admin; Coordinator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E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Student Monitoring Excel Sheet (AC-STUDENT-MONITORING-Template.xlsx)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E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Enables “coursework-to-research readiness” monitoring where applicable.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E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Admission monitoring (status signals)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E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Requirements submitted date; application status; handoff confirmation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E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Admission Office; Graduate School Staff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E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AIMS + email-based handoff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E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Completes lifecycle coverage from admission without replacing AIMS.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E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Enrollment confirmation / term activation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F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Enrollment confirmation status per term; timestamp; active/inactive/stop-start signals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F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Graduate School Staff; Academic Coordinator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F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Email-based triggers + enrollment platform status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F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Prevents “gap in enrollment” visibility; supports continuity monitoring.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F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Curriculum tagging and study plan generation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F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Curriculum ID/version; student–curriculum tag date; required subjects; planned AY/Sem mapping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F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Academic Coordinator; Staff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F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Curriculum records + Student Monitoring Excel Sheet (AC-STUDENT-MONITORING-Template.xlsx) / study plan form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F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Enables per-student course audit and cohort-based monitoring for offerings and readiness.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F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Class offerings decision-support inputs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F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Eligible student counts per subject; pending prerequisites; planned offerings summary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F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Academic Coordinator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F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Student Monitoring Excel Sheet (AC-STUDENT-MONITORING-Template.xlsx) + curriculum mapping outputs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F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Supports “subjects to offer next semester” decision support.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F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LOA application monitoring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F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LOA request date; approval status; LOA start/end; LOA expiry marker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0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Graduate School Staff; Dean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0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Email-based routing + LOA tracking record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0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Adds visibility and escalation signals for LOA.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0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Readmission monitoring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0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Readmission request date; decision outcome; return term; conditions (if any)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0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Graduate School Staff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0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Email/manual records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0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Tracks re-entry pathway after LOA; supports continuity/readiness checks.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0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Residency monitoring signals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0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Residency clock start; pause/resume markers; nearing limit flags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0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Graduate School Staff/Coordinator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0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Derived monitoring record (policy-confirmed parameters)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0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Supports residency monitoring without changing policy.</w:t>
            </w:r>
          </w:p>
        </w:tc>
      </w:tr>
      <w:tr>
        <w:trPr>
          <w:cantSplit w:val="0"/>
          <w:trHeight w:val="1520.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0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Research case profile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0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AY first enrolled in thesis/dissertation; current AY; semester; program; adviser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0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Staff/Admin; Coordinator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1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Thesis Student Research Monitoring Sheet (Student-Research-Monitoring.xlsx)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1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Timeline anchor for time-in-stage, residency indicators, and exception tracking.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1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Adviser assignment + eligibility constraints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1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Adviser name; appointment status; date appointed; adviser load indicator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1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Research leadership/Admin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1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Research Protocol (Form 3 / 3.1) + spreadsheet reflections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1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Supports routing/accountability and adviser load monitoring.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1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Title defense workflow events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1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Endorsement; schedule date; approved title; decision outcome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1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Student; Coordinator; Panel Chair; Admin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1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Thesis Student Research Monitoring Sheet (Student-Research-Monitoring.xlsx) (Forms 1–2)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1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Captures early bottlenecks (endorsement + scheduling).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1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Proposal defense readiness + gate requirements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1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Endorsement; schedule; technical clearance; statistician consult (conditional)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1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Student; Adviser; Statistician; Admin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1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Thesis Student Research Monitoring Sheet (Student-Research-Monitoring.xlsx) (Forms 4, 4.1, 5)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2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Detects readiness blocks and scheduling bottlenecks.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2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Ethics review and clearance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2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Ethics submission; clearance date/status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2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Student; Ethics Office/Admin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2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Thesis Student Research Monitoring Sheet (Student-Research-Monitoring.xlsx) (Form 5.2)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2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Enables stop-the-clock/restart tracking around ethics review.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2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Final defense workflow events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2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Endorsement; schedule; outcome (pass/minor/major); re-defense status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2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Student; Adviser; Panel; Admin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2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Thesis Student Research Monitoring Sheet (Student-Research-Monitoring.xlsx) (Forms 6–8)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2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Captures revision cycles/decision states for bottleneck identification.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2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Public defense + publication/completion tagging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2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Public defense schedule; Turnitin cert; editor cert; final approval sheet; publication step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2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Student; Adviser; Admin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2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Thesis Student Research Monitoring Sheet (Student-Research-Monitoring.xlsx) (Forms 9–10) + Turnitin step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2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Converts endgame requirements into a traceable checklist; supports stuck-case detection.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3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Scheduling state and constraints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3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Proposed/confirmed dates; reschedules; mode; venue reservation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3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Admin/Staff; Panel Chair; Student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3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Email-based coordination + protocol steps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3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Measures scheduling cycle time and repeated back-and-forth.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3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Decision records + comment consolidation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3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Outcomes; consolidated comment sheet; approvals/release certs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3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Panel Chair; Panel Members; Adviser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3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Research Protocol (Form 5 consolidation; Form 5.1; Form 6/7)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3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Reduces version confusion; strengthens traceability/accountability.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3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Workload and operational queues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3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Pending endorsements; overdue items; aging cases; adviser/panel load counts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3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Admin; Coordinator; Leadership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3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Derived from milestone events + role assignments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3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Core decision-support layer for escalation and workload balancing.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3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Authority + audit signals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4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RBAC; access boundaries; change logs; retention rules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4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Admin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4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Thesis Student Research Monitoring Sheet (Student-Research-Monitoring.xlsx) (Forms 1–2)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4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Supports privacy-aligned handling and auditability for sensitive documents.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4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Practicum/OJT monitoring (if applicable)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4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Required hours; schedule; completion status; evidence checklist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4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Program Coordinator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4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Manual logs / certificates (MOA/certifications)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4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Included only when the program requires it; treated as completion signals.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4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Withdrawal monitoring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4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Withdrawal request/confirmation; effective term; reason (if allowed)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4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Graduate School Staff; Dean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4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Email/manual records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4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Tracks stop pathway formally for attrition reporting where allowed.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4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Graduation endorsement monitoring (Graduate School side)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4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Endorsed-to-graduate date; requirements complete flag; evidence checklist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5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Graduate School Staff; Academic Coordinator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5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Endorsed list + manual checklist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5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Supports graduating list preparation without replacing registrar processing.</w:t>
            </w:r>
          </w:p>
        </w:tc>
      </w:tr>
    </w:tbl>
    <w:sectPr>
      <w:headerReference r:id="rId103" w:type="default"/>
      <w:headerReference r:id="rId104" w:type="first"/>
      <w:footerReference r:id="rId105" w:type="default"/>
      <w:footerReference r:id="rId106" w:type="first"/>
      <w:pgSz w:h="15840" w:w="12240" w:orient="portrait"/>
      <w:pgMar w:bottom="1440" w:top="1440" w:left="1440" w:right="1440" w:header="720" w:footer="720"/>
      <w:pgNumType w:start="0"/>
      <w:titlePg w:val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Myrine Rena Princess Tumbaga" w:id="9" w:date="2026-03-16T05:41:07Z">
    <w:p w:rsidR="00000000" w:rsidDel="00000000" w:rsidP="00000000" w:rsidRDefault="00000000" w:rsidRPr="00000000" w14:paraId="00001D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updated</w:t>
      </w:r>
    </w:p>
  </w:comment>
  <w:comment w:author="Miguel Joaquin Sanson" w:id="10" w:date="2026-03-25T03:24:16Z">
    <w:p w:rsidR="00000000" w:rsidDel="00000000" w:rsidP="00000000" w:rsidRDefault="00000000" w:rsidRPr="00000000" w14:paraId="00001D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noted</w:t>
      </w:r>
    </w:p>
  </w:comment>
  <w:comment w:author="Myrine Rena Princess Tumbaga" w:id="7" w:date="2026-03-16T05:39:59Z">
    <w:p w:rsidR="00000000" w:rsidDel="00000000" w:rsidP="00000000" w:rsidRDefault="00000000" w:rsidRPr="00000000" w14:paraId="00001D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updated</w:t>
      </w:r>
    </w:p>
  </w:comment>
  <w:comment w:author="Miguel Joaquin Sanson" w:id="8" w:date="2026-03-25T03:24:12Z">
    <w:p w:rsidR="00000000" w:rsidDel="00000000" w:rsidP="00000000" w:rsidRDefault="00000000" w:rsidRPr="00000000" w14:paraId="00001D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noted</w:t>
      </w:r>
    </w:p>
  </w:comment>
  <w:comment w:author="Myrine Rena Princess Tumbaga" w:id="11" w:date="2026-03-16T05:44:52Z">
    <w:p w:rsidR="00000000" w:rsidDel="00000000" w:rsidP="00000000" w:rsidRDefault="00000000" w:rsidRPr="00000000" w14:paraId="00001D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updated</w:t>
      </w:r>
    </w:p>
  </w:comment>
  <w:comment w:author="Miguel Joaquin Sanson" w:id="12" w:date="2026-03-25T03:24:21Z">
    <w:p w:rsidR="00000000" w:rsidDel="00000000" w:rsidP="00000000" w:rsidRDefault="00000000" w:rsidRPr="00000000" w14:paraId="00001D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noted</w:t>
      </w:r>
    </w:p>
  </w:comment>
  <w:comment w:author="Myrine Rena Princess Tumbaga" w:id="13" w:date="2026-03-16T05:44:52Z">
    <w:p w:rsidR="00000000" w:rsidDel="00000000" w:rsidP="00000000" w:rsidRDefault="00000000" w:rsidRPr="00000000" w14:paraId="00001D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updated</w:t>
      </w:r>
    </w:p>
  </w:comment>
  <w:comment w:author="Miguel Joaquin Sanson" w:id="14" w:date="2026-03-25T03:24:21Z">
    <w:p w:rsidR="00000000" w:rsidDel="00000000" w:rsidP="00000000" w:rsidRDefault="00000000" w:rsidRPr="00000000" w14:paraId="00001D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noted</w:t>
      </w:r>
    </w:p>
  </w:comment>
  <w:comment w:author="Myrine Rena Princess Tumbaga" w:id="15" w:date="2026-03-16T05:44:46Z">
    <w:p w:rsidR="00000000" w:rsidDel="00000000" w:rsidP="00000000" w:rsidRDefault="00000000" w:rsidRPr="00000000" w14:paraId="00001D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updated</w:t>
      </w:r>
    </w:p>
  </w:comment>
  <w:comment w:author="Miguel Joaquin Sanson" w:id="16" w:date="2026-03-25T03:24:31Z">
    <w:p w:rsidR="00000000" w:rsidDel="00000000" w:rsidP="00000000" w:rsidRDefault="00000000" w:rsidRPr="00000000" w14:paraId="00001D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noted</w:t>
      </w:r>
    </w:p>
  </w:comment>
  <w:comment w:author="Myrine Rena Princess Tumbaga" w:id="21" w:date="2026-03-16T05:48:14Z">
    <w:p w:rsidR="00000000" w:rsidDel="00000000" w:rsidP="00000000" w:rsidRDefault="00000000" w:rsidRPr="00000000" w14:paraId="00001D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updated</w:t>
      </w:r>
    </w:p>
  </w:comment>
  <w:comment w:author="Miguel Joaquin Sanson" w:id="22" w:date="2026-03-25T03:24:56Z">
    <w:p w:rsidR="00000000" w:rsidDel="00000000" w:rsidP="00000000" w:rsidRDefault="00000000" w:rsidRPr="00000000" w14:paraId="00001D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noted</w:t>
      </w:r>
    </w:p>
  </w:comment>
  <w:comment w:author="Miguel Joaquin Sanson" w:id="25" w:date="2026-03-15T16:28:23Z">
    <w:p w:rsidR="00000000" w:rsidDel="00000000" w:rsidP="00000000" w:rsidRDefault="00000000" w:rsidRPr="00000000" w14:paraId="00001D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 lack a specific concept to relate to</w:t>
      </w:r>
    </w:p>
  </w:comment>
  <w:comment w:author="Myrine Rena Princess Tumbaga" w:id="17" w:date="2026-03-22T11:58:29Z">
    <w:p w:rsidR="00000000" w:rsidDel="00000000" w:rsidP="00000000" w:rsidRDefault="00000000" w:rsidRPr="00000000" w14:paraId="00001D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Updated na based on comment</w:t>
      </w:r>
    </w:p>
    <w:p w:rsidR="00000000" w:rsidDel="00000000" w:rsidP="00000000" w:rsidRDefault="00000000" w:rsidRPr="00000000" w14:paraId="00001D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Explain what decisions are made and what data are needed to make decisions that would require data analytics.</w:t>
      </w:r>
    </w:p>
    <w:p w:rsidR="00000000" w:rsidDel="00000000" w:rsidP="00000000" w:rsidRDefault="00000000" w:rsidRPr="00000000" w14:paraId="00001D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decisions are questions</w:t>
      </w:r>
    </w:p>
    <w:p w:rsidR="00000000" w:rsidDel="00000000" w:rsidP="00000000" w:rsidRDefault="00000000" w:rsidRPr="00000000" w14:paraId="00001D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need to enumerate</w:t>
      </w:r>
    </w:p>
    <w:p w:rsidR="00000000" w:rsidDel="00000000" w:rsidP="00000000" w:rsidRDefault="00000000" w:rsidRPr="00000000" w14:paraId="00001D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why you need analytics not reports</w:t>
      </w:r>
    </w:p>
  </w:comment>
  <w:comment w:author="Miguel Joaquin Sanson" w:id="18" w:date="2026-03-25T03:24:39Z">
    <w:p w:rsidR="00000000" w:rsidDel="00000000" w:rsidP="00000000" w:rsidRDefault="00000000" w:rsidRPr="00000000" w14:paraId="00001D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noted</w:t>
      </w:r>
    </w:p>
  </w:comment>
  <w:comment w:author="Myrine Rena Princess Tumbaga" w:id="0" w:date="2026-03-20T11:33:29Z">
    <w:p w:rsidR="00000000" w:rsidDel="00000000" w:rsidP="00000000" w:rsidRDefault="00000000" w:rsidRPr="00000000" w14:paraId="00001D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Paragraph explaining the concept</w:t>
      </w:r>
    </w:p>
    <w:p w:rsidR="00000000" w:rsidDel="00000000" w:rsidP="00000000" w:rsidRDefault="00000000" w:rsidRPr="00000000" w14:paraId="00001E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Concept - what kind of solution it is (web portal/gateway etc.)</w:t>
      </w:r>
    </w:p>
  </w:comment>
  <w:comment w:author="Miguel Joaquin Sanson" w:id="1" w:date="2026-03-25T03:23:01Z">
    <w:p w:rsidR="00000000" w:rsidDel="00000000" w:rsidP="00000000" w:rsidRDefault="00000000" w:rsidRPr="00000000" w14:paraId="00001E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noted</w:t>
      </w:r>
    </w:p>
  </w:comment>
  <w:comment w:author="Khloe Cassandra Osena" w:id="4" w:date="2026-03-25T07:34:51Z">
    <w:p w:rsidR="00000000" w:rsidDel="00000000" w:rsidP="00000000" w:rsidRDefault="00000000" w:rsidRPr="00000000" w14:paraId="00001E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has this been updated to match the problems in ishikawa</w:t>
      </w:r>
    </w:p>
  </w:comment>
  <w:comment w:author="Khloe Cassandra Osena" w:id="5" w:date="2026-03-25T07:34:58Z">
    <w:p w:rsidR="00000000" w:rsidDel="00000000" w:rsidP="00000000" w:rsidRDefault="00000000" w:rsidRPr="00000000" w14:paraId="00001E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@myrine_tumbaga@dlsu.edu.ph</w:t>
      </w:r>
    </w:p>
  </w:comment>
  <w:comment w:author="Myrine Rena Princess Tumbaga" w:id="6" w:date="2026-03-25T11:11:59Z">
    <w:p w:rsidR="00000000" w:rsidDel="00000000" w:rsidP="00000000" w:rsidRDefault="00000000" w:rsidRPr="00000000" w14:paraId="00001E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updated na</w:t>
      </w:r>
    </w:p>
  </w:comment>
  <w:comment w:author="Myrine Rena Princess Tumbaga" w:id="19" w:date="2026-03-20T11:47:50Z">
    <w:p w:rsidR="00000000" w:rsidDel="00000000" w:rsidP="00000000" w:rsidRDefault="00000000" w:rsidRPr="00000000" w14:paraId="00001E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updated, mentioned it is an opportunity</w:t>
      </w:r>
    </w:p>
    <w:p w:rsidR="00000000" w:rsidDel="00000000" w:rsidP="00000000" w:rsidRDefault="00000000" w:rsidRPr="00000000" w14:paraId="00001E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did not add specifics (explained in design architecture)</w:t>
      </w:r>
    </w:p>
  </w:comment>
  <w:comment w:author="Miguel Joaquin Sanson" w:id="20" w:date="2026-03-25T03:24:43Z">
    <w:p w:rsidR="00000000" w:rsidDel="00000000" w:rsidP="00000000" w:rsidRDefault="00000000" w:rsidRPr="00000000" w14:paraId="00001E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noted</w:t>
      </w:r>
    </w:p>
  </w:comment>
  <w:comment w:author="Myrine Rena Princess Tumbaga" w:id="23" w:date="2026-03-20T12:00:08Z">
    <w:p w:rsidR="00000000" w:rsidDel="00000000" w:rsidP="00000000" w:rsidRDefault="00000000" w:rsidRPr="00000000" w14:paraId="00001E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updated to match final modules</w:t>
      </w:r>
    </w:p>
  </w:comment>
  <w:comment w:author="Miguel Joaquin Sanson" w:id="24" w:date="2026-03-25T03:26:24Z">
    <w:p w:rsidR="00000000" w:rsidDel="00000000" w:rsidP="00000000" w:rsidRDefault="00000000" w:rsidRPr="00000000" w14:paraId="00001E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noted</w:t>
      </w:r>
    </w:p>
  </w:comment>
  <w:comment w:author="Khloe Cassandra Osena" w:id="27" w:date="2026-03-16T04:46:30Z">
    <w:p w:rsidR="00000000" w:rsidDel="00000000" w:rsidP="00000000" w:rsidRDefault="00000000" w:rsidRPr="00000000" w14:paraId="00001E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check just added this</w:t>
      </w:r>
    </w:p>
  </w:comment>
  <w:comment w:author="Myrine Rena Princess Tumbaga" w:id="28" w:date="2026-03-16T08:17:59Z">
    <w:p w:rsidR="00000000" w:rsidDel="00000000" w:rsidP="00000000" w:rsidRDefault="00000000" w:rsidRPr="00000000" w14:paraId="00001E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more specific</w:t>
      </w:r>
    </w:p>
  </w:comment>
  <w:comment w:author="Khloe Cassandra Osena" w:id="29" w:date="2026-03-25T10:14:19Z">
    <w:p w:rsidR="00000000" w:rsidDel="00000000" w:rsidP="00000000" w:rsidRDefault="00000000" w:rsidRPr="00000000" w14:paraId="00001E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 openai correct</w:t>
      </w:r>
    </w:p>
  </w:comment>
  <w:comment w:author="Khloe Cassandra Osena" w:id="31" w:date="2026-03-15T08:29:37Z">
    <w:p w:rsidR="00000000" w:rsidDel="00000000" w:rsidP="00000000" w:rsidRDefault="00000000" w:rsidRPr="00000000" w14:paraId="00001E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check</w:t>
      </w:r>
    </w:p>
  </w:comment>
  <w:comment w:author="Khloe Cassandra Osena" w:id="32" w:date="2026-03-25T10:13:19Z">
    <w:p w:rsidR="00000000" w:rsidDel="00000000" w:rsidP="00000000" w:rsidRDefault="00000000" w:rsidRPr="00000000" w14:paraId="00001E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 this correct</w:t>
      </w:r>
    </w:p>
  </w:comment>
  <w:comment w:author="Natalie Mendoza" w:id="2" w:date="2026-03-24T10:59:43Z">
    <w:p w:rsidR="00000000" w:rsidDel="00000000" w:rsidP="00000000" w:rsidRDefault="00000000" w:rsidRPr="00000000" w14:paraId="00001E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updated (w sir oli revisions)</w:t>
      </w:r>
    </w:p>
  </w:comment>
  <w:comment w:author="Miguel Joaquin Sanson" w:id="3" w:date="2026-03-25T03:24:03Z">
    <w:p w:rsidR="00000000" w:rsidDel="00000000" w:rsidP="00000000" w:rsidRDefault="00000000" w:rsidRPr="00000000" w14:paraId="00001E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noted</w:t>
      </w:r>
    </w:p>
  </w:comment>
  <w:comment w:author="Khloe Cassandra Osena" w:id="26" w:date="2026-03-15T08:13:41Z">
    <w:p w:rsidR="00000000" w:rsidDel="00000000" w:rsidP="00000000" w:rsidRDefault="00000000" w:rsidRPr="00000000" w14:paraId="00001E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check</w:t>
      </w:r>
    </w:p>
  </w:comment>
  <w:comment w:author="Khloe Cassandra Osena" w:id="30" w:date="2026-03-15T08:29:07Z">
    <w:p w:rsidR="00000000" w:rsidDel="00000000" w:rsidP="00000000" w:rsidRDefault="00000000" w:rsidRPr="00000000" w14:paraId="00001E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check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ungsuh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DE8">
    <w:pPr>
      <w:jc w:val="right"/>
      <w:rPr>
        <w:rFonts w:ascii="Times New Roman" w:cs="Times New Roman" w:eastAsia="Times New Roman" w:hAnsi="Times New Roman"/>
        <w:sz w:val="24"/>
        <w:szCs w:val="24"/>
      </w:rPr>
    </w:pPr>
    <w:r w:rsidDel="00000000" w:rsidR="00000000" w:rsidRPr="00000000"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DEA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DE6">
    <w:pPr>
      <w:spacing w:line="240" w:lineRule="auto"/>
      <w:rPr>
        <w:rFonts w:ascii="Times New Roman" w:cs="Times New Roman" w:eastAsia="Times New Roman" w:hAnsi="Times New Roman"/>
        <w:sz w:val="24"/>
        <w:szCs w:val="24"/>
      </w:rPr>
    </w:pPr>
    <w:r w:rsidDel="00000000" w:rsidR="00000000" w:rsidRPr="00000000">
      <w:rPr>
        <w:sz w:val="24"/>
        <w:szCs w:val="24"/>
      </w:rPr>
      <w:drawing>
        <wp:inline distB="0" distT="0" distL="0" distR="0">
          <wp:extent cx="1809750" cy="914400"/>
          <wp:effectExtent b="0" l="0" r="0" t="0"/>
          <wp:docPr descr="Image result for dlsu ccs logo" id="87" name="image21.png"/>
          <a:graphic>
            <a:graphicData uri="http://schemas.openxmlformats.org/drawingml/2006/picture">
              <pic:pic>
                <pic:nvPicPr>
                  <pic:cNvPr descr="Image result for dlsu ccs logo" id="0" name="image2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809750" cy="9144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1DE7">
    <w:pPr>
      <w:spacing w:line="240" w:lineRule="auto"/>
      <w:rPr>
        <w:sz w:val="24"/>
        <w:szCs w:val="24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DE9">
    <w:pPr>
      <w:spacing w:line="240" w:lineRule="auto"/>
      <w:rPr/>
    </w:pPr>
    <w:r w:rsidDel="00000000" w:rsidR="00000000" w:rsidRPr="00000000">
      <w:rPr>
        <w:sz w:val="24"/>
        <w:szCs w:val="24"/>
      </w:rPr>
      <w:drawing>
        <wp:inline distB="0" distT="0" distL="0" distR="0">
          <wp:extent cx="1809750" cy="914400"/>
          <wp:effectExtent b="0" l="0" r="0" t="0"/>
          <wp:docPr descr="Image result for dlsu ccs logo" id="32" name="image21.png"/>
          <a:graphic>
            <a:graphicData uri="http://schemas.openxmlformats.org/drawingml/2006/picture">
              <pic:pic>
                <pic:nvPicPr>
                  <pic:cNvPr descr="Image result for dlsu ccs logo" id="0" name="image2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809750" cy="9144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864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864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864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480" w:lineRule="auto"/>
      <w:jc w:val="center"/>
    </w:pPr>
    <w:rPr>
      <w:rFonts w:ascii="Times New Roman" w:cs="Times New Roman" w:eastAsia="Times New Roman" w:hAnsi="Times New Roman"/>
      <w:b w:val="1"/>
      <w:bCs w:val="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lineRule="auto"/>
    </w:pPr>
    <w:rPr>
      <w:rFonts w:ascii="Times New Roman" w:cs="Times New Roman" w:eastAsia="Times New Roman" w:hAnsi="Times New Roman"/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240" w:before="240" w:lineRule="auto"/>
    </w:pPr>
    <w:rPr>
      <w:rFonts w:ascii="Times New Roman" w:cs="Times New Roman" w:eastAsia="Times New Roman" w:hAnsi="Times New Roman"/>
      <w:b w:val="1"/>
      <w:bCs w:val="1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240" w:before="240" w:lineRule="auto"/>
    </w:pPr>
    <w:rPr>
      <w:rFonts w:ascii="Times New Roman" w:cs="Times New Roman" w:eastAsia="Times New Roman" w:hAnsi="Times New Roman"/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240" w:before="240" w:lineRule="auto"/>
      <w:jc w:val="center"/>
    </w:pPr>
    <w:rPr>
      <w:rFonts w:ascii="Times New Roman" w:cs="Times New Roman" w:eastAsia="Times New Roman" w:hAnsi="Times New Roman"/>
      <w:i w:val="1"/>
      <w:iCs w:val="1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before="480" w:lineRule="auto"/>
      <w:jc w:val="center"/>
    </w:pPr>
    <w:rPr>
      <w:rFonts w:ascii="Times New Roman" w:cs="Times New Roman" w:eastAsia="Times New Roman" w:hAnsi="Times New Roman"/>
      <w:b w:val="1"/>
      <w:bCs w:val="1"/>
      <w:sz w:val="32"/>
      <w:szCs w:val="3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  <w:style w:type="table" w:styleId="Table20">
    <w:basedOn w:val="TableNormal"/>
    <w:tblPr>
      <w:tblStyleRowBandSize w:val="1"/>
      <w:tblStyleColBandSize w:val="1"/>
    </w:tblPr>
  </w:style>
  <w:style w:type="table" w:styleId="Table21">
    <w:basedOn w:val="TableNormal"/>
    <w:tblPr>
      <w:tblStyleRowBandSize w:val="1"/>
      <w:tblStyleColBandSize w:val="1"/>
    </w:tblPr>
  </w:style>
  <w:style w:type="table" w:styleId="Table22">
    <w:basedOn w:val="TableNormal"/>
    <w:tblPr>
      <w:tblStyleRowBandSize w:val="1"/>
      <w:tblStyleColBandSize w:val="1"/>
    </w:tblPr>
  </w:style>
  <w:style w:type="table" w:styleId="Table23">
    <w:basedOn w:val="TableNormal"/>
    <w:tblPr>
      <w:tblStyleRowBandSize w:val="1"/>
      <w:tblStyleColBandSize w:val="1"/>
    </w:tblPr>
  </w:style>
  <w:style w:type="table" w:styleId="Table24">
    <w:basedOn w:val="TableNormal"/>
    <w:tblPr>
      <w:tblStyleRowBandSize w:val="1"/>
      <w:tblStyleColBandSize w:val="1"/>
    </w:tblPr>
  </w:style>
  <w:style w:type="table" w:styleId="Table25">
    <w:basedOn w:val="TableNormal"/>
    <w:tblPr>
      <w:tblStyleRowBandSize w:val="1"/>
      <w:tblStyleColBandSize w:val="1"/>
    </w:tblPr>
  </w:style>
  <w:style w:type="table" w:styleId="Table26">
    <w:basedOn w:val="TableNormal"/>
    <w:tblPr>
      <w:tblStyleRowBandSize w:val="1"/>
      <w:tblStyleColBandSize w:val="1"/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9">
    <w:basedOn w:val="TableNormal"/>
    <w:tblPr>
      <w:tblStyleRowBandSize w:val="1"/>
      <w:tblStyleColBandSize w:val="1"/>
    </w:tblPr>
  </w:style>
  <w:style w:type="table" w:styleId="Table60">
    <w:basedOn w:val="TableNormal"/>
    <w:tblPr>
      <w:tblStyleRowBandSize w:val="1"/>
      <w:tblStyleColBandSize w:val="1"/>
    </w:tblPr>
  </w:style>
  <w:style w:type="table" w:styleId="Table61">
    <w:basedOn w:val="TableNormal"/>
    <w:tblPr>
      <w:tblStyleRowBandSize w:val="1"/>
      <w:tblStyleColBandSize w:val="1"/>
    </w:tblPr>
  </w:style>
  <w:style w:type="table" w:styleId="Table62">
    <w:basedOn w:val="TableNormal"/>
    <w:tblPr>
      <w:tblStyleRowBandSize w:val="1"/>
      <w:tblStyleColBandSize w:val="1"/>
    </w:tblPr>
  </w:style>
  <w:style w:type="table" w:styleId="Table63">
    <w:basedOn w:val="TableNormal"/>
    <w:tblPr>
      <w:tblStyleRowBandSize w:val="1"/>
      <w:tblStyleColBandSize w:val="1"/>
    </w:tblPr>
  </w:style>
  <w:style w:type="table" w:styleId="Table64">
    <w:basedOn w:val="TableNormal"/>
    <w:tblPr>
      <w:tblStyleRowBandSize w:val="1"/>
      <w:tblStyleColBandSize w:val="1"/>
    </w:tblPr>
  </w:style>
  <w:style w:type="table" w:styleId="Table65">
    <w:basedOn w:val="TableNormal"/>
    <w:tblPr>
      <w:tblStyleRowBandSize w:val="1"/>
      <w:tblStyleColBandSize w:val="1"/>
    </w:tblPr>
  </w:style>
  <w:style w:type="table" w:styleId="Table66">
    <w:basedOn w:val="TableNormal"/>
    <w:tblPr>
      <w:tblStyleRowBandSize w:val="1"/>
      <w:tblStyleColBandSize w:val="1"/>
    </w:tblPr>
  </w:style>
  <w:style w:type="table" w:styleId="Table67">
    <w:basedOn w:val="TableNormal"/>
    <w:tblPr>
      <w:tblStyleRowBandSize w:val="1"/>
      <w:tblStyleColBandSize w:val="1"/>
    </w:tblPr>
  </w:style>
  <w:style w:type="table" w:styleId="Table68">
    <w:basedOn w:val="TableNormal"/>
    <w:tblPr>
      <w:tblStyleRowBandSize w:val="1"/>
      <w:tblStyleColBandSize w:val="1"/>
    </w:tblPr>
  </w:style>
  <w:style w:type="table" w:styleId="Table69">
    <w:basedOn w:val="TableNormal"/>
    <w:tblPr>
      <w:tblStyleRowBandSize w:val="1"/>
      <w:tblStyleColBandSize w:val="1"/>
    </w:tblPr>
  </w:style>
  <w:style w:type="table" w:styleId="Table70">
    <w:basedOn w:val="TableNormal"/>
    <w:tblPr>
      <w:tblStyleRowBandSize w:val="1"/>
      <w:tblStyleColBandSize w:val="1"/>
    </w:tblPr>
  </w:style>
  <w:style w:type="table" w:styleId="Table71">
    <w:basedOn w:val="TableNormal"/>
    <w:tblPr>
      <w:tblStyleRowBandSize w:val="1"/>
      <w:tblStyleColBandSize w:val="1"/>
    </w:tblPr>
  </w:style>
  <w:style w:type="table" w:styleId="Table72">
    <w:basedOn w:val="TableNormal"/>
    <w:tblPr>
      <w:tblStyleRowBandSize w:val="1"/>
      <w:tblStyleColBandSize w:val="1"/>
    </w:tblPr>
  </w:style>
  <w:style w:type="table" w:styleId="Table73">
    <w:basedOn w:val="TableNormal"/>
    <w:tblPr>
      <w:tblStyleRowBandSize w:val="1"/>
      <w:tblStyleColBandSize w:val="1"/>
    </w:tblPr>
  </w:style>
  <w:style w:type="table" w:styleId="Table74">
    <w:basedOn w:val="TableNormal"/>
    <w:tblPr>
      <w:tblStyleRowBandSize w:val="1"/>
      <w:tblStyleColBandSize w:val="1"/>
    </w:tblPr>
  </w:style>
  <w:style w:type="table" w:styleId="Table75">
    <w:basedOn w:val="TableNormal"/>
    <w:tblPr>
      <w:tblStyleRowBandSize w:val="1"/>
      <w:tblStyleColBandSize w:val="1"/>
    </w:tblPr>
  </w:style>
  <w:style w:type="table" w:styleId="Table76">
    <w:basedOn w:val="TableNormal"/>
    <w:tblPr>
      <w:tblStyleRowBandSize w:val="1"/>
      <w:tblStyleColBandSize w:val="1"/>
    </w:tblPr>
  </w:style>
  <w:style w:type="table" w:styleId="Table77">
    <w:basedOn w:val="TableNormal"/>
    <w:tblPr>
      <w:tblStyleRowBandSize w:val="1"/>
      <w:tblStyleColBandSize w:val="1"/>
    </w:tblPr>
  </w:style>
  <w:style w:type="table" w:styleId="Table78">
    <w:basedOn w:val="TableNormal"/>
    <w:tblPr>
      <w:tblStyleRowBandSize w:val="1"/>
      <w:tblStyleColBandSize w:val="1"/>
    </w:tblPr>
  </w:style>
  <w:style w:type="table" w:styleId="Table79">
    <w:basedOn w:val="TableNormal"/>
    <w:tblPr>
      <w:tblStyleRowBandSize w:val="1"/>
      <w:tblStyleColBandSize w:val="1"/>
    </w:tblPr>
  </w:style>
  <w:style w:type="table" w:styleId="Table80">
    <w:basedOn w:val="TableNormal"/>
    <w:tblPr>
      <w:tblStyleRowBandSize w:val="1"/>
      <w:tblStyleColBandSize w:val="1"/>
    </w:tblPr>
  </w:style>
  <w:style w:type="table" w:styleId="Table81">
    <w:basedOn w:val="TableNormal"/>
    <w:tblPr>
      <w:tblStyleRowBandSize w:val="1"/>
      <w:tblStyleColBandSize w:val="1"/>
    </w:tblPr>
  </w:style>
  <w:style w:type="table" w:styleId="Table8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06" Type="http://schemas.openxmlformats.org/officeDocument/2006/relationships/footer" Target="footer2.xml"/><Relationship Id="rId105" Type="http://schemas.openxmlformats.org/officeDocument/2006/relationships/footer" Target="footer1.xml"/><Relationship Id="rId104" Type="http://schemas.openxmlformats.org/officeDocument/2006/relationships/header" Target="header2.xml"/><Relationship Id="rId103" Type="http://schemas.openxmlformats.org/officeDocument/2006/relationships/header" Target="header1.xml"/><Relationship Id="rId91" Type="http://schemas.openxmlformats.org/officeDocument/2006/relationships/hyperlink" Target="https://doi.org/10.1371/journal.pone.0242334" TargetMode="External"/><Relationship Id="rId93" Type="http://schemas.openxmlformats.org/officeDocument/2006/relationships/hyperlink" Target="https://doi.org/10.3390/educsci14030292" TargetMode="External"/><Relationship Id="rId92" Type="http://schemas.openxmlformats.org/officeDocument/2006/relationships/hyperlink" Target="https://expressjs.com/" TargetMode="External"/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CAP-2521-IT CAP1 Appendix I: Appendix I. Data Requirements</dc:title>
  <cp:lastModifiedBy>python-docx</cp:lastModifiedBy>
  <cp:revision>1</cp:revision>
  <dcterms:modified xsi:type="dcterms:W3CDTF">2026-07-27T18:44:47Z</dcterms:modified>
  <dc:subject>CAP-2521-IT CAP1 submission</dc:subject>
</cp:coreProperties>
</file>