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34">
      <w:pPr>
        <w:pStyle w:val="Heading3"/>
        <w:rPr/>
      </w:pPr>
      <w:bookmarkStart w:colFirst="0" w:colLast="0" w:name="_b06c3ank430" w:id="225"/>
      <w:bookmarkEnd w:id="225"/>
      <w:r w:rsidDel="00000000" w:rsidR="00000000" w:rsidRPr="00000000">
        <w:rPr>
          <w:rtl w:val="0"/>
        </w:rPr>
        <w:t xml:space="preserve">Appendix N. Core tables and their purpose</w:t>
      </w:r>
      <w:r w:rsidDel="00000000" w:rsidR="00000000" w:rsidRPr="00000000">
        <w:rPr>
          <w:rtl w:val="0"/>
        </w:rPr>
      </w:r>
    </w:p>
    <w:tbl>
      <w:tblPr>
        <w:tblStyle w:val="Table75"/>
        <w:tblW w:w="7890.0" w:type="dxa"/>
        <w:jc w:val="left"/>
        <w:tblInd w:w="14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508.3333333333335"/>
        <w:gridCol w:w="3866.666666666667"/>
        <w:tblGridChange w:id="0">
          <w:tblGrid>
            <w:gridCol w:w="1515"/>
            <w:gridCol w:w="2508.3333333333335"/>
            <w:gridCol w:w="3866.666666666667"/>
          </w:tblGrid>
        </w:tblGridChange>
      </w:tblGrid>
      <w:tr>
        <w:trPr>
          <w:cantSplit w:val="1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15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 in the system</w:t>
            </w:r>
          </w:p>
        </w:tc>
      </w:tr>
      <w:tr>
        <w:trPr>
          <w:cantSplit w:val="1"/>
          <w:trHeight w:val="1481.9062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Identity and Access Management (IAM)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the primary student monitoring identity and program entry context (e.g., cohort/AY entry, program/track).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UserAccount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login identities for staff, coordinators, adviser/panel roles, and students (permitted views).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3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system roles used for RBAC.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UserRole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Assigns system roles to users (supports RBAC enforcement).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AdviserAssignment / PanelAssignment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 advisers and panel members to students for scoped access and review responsibilities.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Core lifecycle &amp; milestone tracking (monitoring layer)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StudentLifecycle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program/track fields and references to program-dependent settings notes.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MilestoneDefinition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milestone requirements by lifecycle stage, expected durations, and criticality.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StudentMilestoneStatus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4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milestone progress status and due/completion timestamps at the student level.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Workflow routing &amp; decisions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Represents actionable workflow items (pending/overdue), ownership, due dates, and recommended next action fields.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DecisionLog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Captures decisions made on tasks (approve/revise/return) with decision actor and timestamp.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RoutingRule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Defines rule-based routing for next owner roles and follow-up task generation.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lifecycle tracking (monitoring signals)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program/track information and references for program-dependent settings.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5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academic year/term identifiers (start/end dates where needed).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TermEnrollment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per-term enrollment monitoring signals (confirmation timestamps, allowed status signals).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list of course code/title/units.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CourseEnrollment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Links term enrollment to courses and stores monitoring signals (e.g., in-progress/completed/incomplete markers).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Curriculum identifier/version information per program.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StudyPlanItem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planned/required subjects per curriculum (and recommended term where applicable).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StudentCurriculumTag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Maps a student to a curriculum version/tag (e.g., revised plan/bridging).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 pipeline tracking (case-and-event)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ResearchCase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container for thesis/capstone engagements linked to a student.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MilestoneEvent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Records milestone execution as timestamped events (occurredAt, outcome, ownerRole, decision actor, notes) and may reference related workflow tasks.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Evidence, scheduling, and traceability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required-document checklist items per student/milestone, including review status and outstanding revisions count.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uploaded file versions (file reference, uploadedBy, timestamps) linked to DocumentRecord.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7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RevisionNote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0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revision comments/required changes and resolution status linked to DocumentRecord and/or DocumentVersion.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scheduling requests tied to a student (requestedBy, preferred dates, status).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6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Collects availability windows from users for a ScheduleRequest.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ScheduleEvent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9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schedule outcomes (confirmed/rescheduled/cancelled) with timestamps and decision actor.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protocol-driven forms with submitted/endorsed/approved timestamps and routing state.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ClearanceRecord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8F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Tracks clearance submission/outcome dates where applicable.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1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TimelineEvent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2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a consolidated “what happened” feed by recording key events and linking to related entities.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3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Monitoring actions and alerts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4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AlertThreshold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5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configured monitoring thresholds (e.g., prolonged stage, delayed scheduling) used by the monitoring engine.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7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NotificationAlert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8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Logs notifications sent (recipient, reason, timestamp, success metadata).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A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Intervention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B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Stores follow-up actions with owner, timestamps, and closure evidence.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C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D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AuditLog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159E">
            <w:pPr>
              <w:spacing w:after="48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Append-only log of key events (access attempts, decisions, transitions, uploads, configuration changes).</w:t>
            </w:r>
          </w:p>
        </w:tc>
      </w:tr>
    </w:tbl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N: Appendix N. Core tables and their purpose</dc:title>
  <cp:lastModifiedBy>python-docx</cp:lastModifiedBy>
  <cp:revision>1</cp:revision>
  <dcterms:modified xsi:type="dcterms:W3CDTF">2026-07-27T18:45:01Z</dcterms:modified>
  <dc:subject>CAP-2521-IT CAP1 submission</dc:subject>
</cp:coreProperties>
</file>