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4BB">
      <w:pPr>
        <w:pStyle w:val="Heading1"/>
        <w:spacing w:before="480" w:line="360" w:lineRule="auto"/>
        <w:rPr/>
      </w:pPr>
      <w:bookmarkStart w:colFirst="0" w:colLast="0" w:name="_uj3xqj77ddjj" w:id="89"/>
      <w:bookmarkEnd w:id="89"/>
      <w:commentRangeStart w:id="25"/>
      <w:r w:rsidDel="00000000" w:rsidR="00000000" w:rsidRPr="00000000">
        <w:rPr>
          <w:rtl w:val="0"/>
        </w:rPr>
        <w:t xml:space="preserve">Chapter 2 – Review of Related Literature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4BC">
      <w:pPr>
        <w:pStyle w:val="Heading2"/>
        <w:spacing w:after="80" w:line="360" w:lineRule="auto"/>
        <w:jc w:val="both"/>
        <w:rPr/>
      </w:pPr>
      <w:bookmarkStart w:colFirst="0" w:colLast="0" w:name="_47rmiipwg33c" w:id="90"/>
      <w:bookmarkEnd w:id="90"/>
      <w:r w:rsidDel="00000000" w:rsidR="00000000" w:rsidRPr="00000000">
        <w:rPr>
          <w:rtl w:val="0"/>
        </w:rPr>
        <w:t xml:space="preserve">2.1 Review of Related Concepts</w:t>
      </w:r>
    </w:p>
    <w:p w:rsidR="00000000" w:rsidDel="00000000" w:rsidP="00000000" w:rsidRDefault="00000000" w:rsidRPr="00000000" w14:paraId="000004BD">
      <w:pPr>
        <w:pStyle w:val="Heading3"/>
        <w:spacing w:line="360" w:lineRule="auto"/>
        <w:ind w:left="720" w:firstLine="0"/>
        <w:rPr/>
      </w:pPr>
      <w:bookmarkStart w:colFirst="0" w:colLast="0" w:name="_5balhyweuqe3" w:id="91"/>
      <w:bookmarkEnd w:id="91"/>
      <w:r w:rsidDel="00000000" w:rsidR="00000000" w:rsidRPr="00000000">
        <w:rPr>
          <w:rtl w:val="0"/>
        </w:rPr>
        <w:t xml:space="preserve">2.1.1 </w:t>
      </w:r>
      <w:r w:rsidDel="00000000" w:rsidR="00000000" w:rsidRPr="00000000">
        <w:rPr>
          <w:rtl w:val="0"/>
        </w:rPr>
        <w:t xml:space="preserve">Key Terms/Scope Labels</w:t>
      </w:r>
      <w:r w:rsidDel="00000000" w:rsidR="00000000" w:rsidRPr="00000000">
        <w:rPr>
          <w:rtl w:val="0"/>
        </w:rPr>
      </w:r>
    </w:p>
    <w:p w:rsidR="00000000" w:rsidDel="00000000" w:rsidP="00000000" w:rsidRDefault="00000000" w:rsidRPr="00000000" w14:paraId="000004BE">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manuscript readable, this proposal uses five simple scope labels to organize the review of literature and the stakeholder-validated workflow analysis. These labels are not included to sound technical; they are used to group related operational issues and to clarify what the system is (and is not) intended to cover. Any technical term introduced later will be defined the first time it is used.</w:t>
      </w:r>
    </w:p>
    <w:p w:rsidR="00000000" w:rsidDel="00000000" w:rsidP="00000000" w:rsidRDefault="00000000" w:rsidRPr="00000000" w14:paraId="000004BF">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Graduate Student Lifecycle &amp; Progression Tracking</w:t>
      </w:r>
      <w:r w:rsidDel="00000000" w:rsidR="00000000" w:rsidRPr="00000000">
        <w:rPr>
          <w:rFonts w:ascii="Times New Roman" w:cs="Times New Roman" w:eastAsia="Times New Roman" w:hAnsi="Times New Roman"/>
          <w:sz w:val="24"/>
          <w:szCs w:val="24"/>
          <w:rtl w:val="0"/>
        </w:rPr>
        <w:t xml:space="preserve"> refers to monitoring the student’s overall journey from entry/admission, through coursework progression, into research milestones, up to completion, so the institution can see where a student is “right now” without manual reconstruction across multiple tools.</w:t>
      </w:r>
    </w:p>
    <w:p w:rsidR="00000000" w:rsidDel="00000000" w:rsidP="00000000" w:rsidRDefault="00000000" w:rsidRPr="00000000" w14:paraId="000004C0">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Thesis/Dissertation Pipeline Operations</w:t>
      </w:r>
      <w:r w:rsidDel="00000000" w:rsidR="00000000" w:rsidRPr="00000000">
        <w:rPr>
          <w:rFonts w:ascii="Times New Roman" w:cs="Times New Roman" w:eastAsia="Times New Roman" w:hAnsi="Times New Roman"/>
          <w:sz w:val="24"/>
          <w:szCs w:val="24"/>
          <w:rtl w:val="0"/>
        </w:rPr>
        <w:t xml:space="preserve"> refers to the step-by-step research workflow (forms, endorsements, defenses, revisions, clearances, and completion tagging) that requires coordination among multiple roles and produces official decision artifacts.</w:t>
      </w:r>
    </w:p>
    <w:p w:rsidR="00000000" w:rsidDel="00000000" w:rsidP="00000000" w:rsidRDefault="00000000" w:rsidRPr="00000000" w14:paraId="000004C1">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Time-to-Degree, Residency, Delay &amp; Attrition</w:t>
      </w:r>
      <w:r w:rsidDel="00000000" w:rsidR="00000000" w:rsidRPr="00000000">
        <w:rPr>
          <w:rFonts w:ascii="Times New Roman" w:cs="Times New Roman" w:eastAsia="Times New Roman" w:hAnsi="Times New Roman"/>
          <w:sz w:val="24"/>
          <w:szCs w:val="24"/>
          <w:rtl w:val="0"/>
        </w:rPr>
        <w:t xml:space="preserve"> refers to time-based indicators derived from lifecycle and milestone timestamps (e.g., time-in-program, time-in-stage, delayed/inactive status rules, completion vs non-completion patterns).</w:t>
      </w:r>
    </w:p>
    <w:p w:rsidR="00000000" w:rsidDel="00000000" w:rsidP="00000000" w:rsidRDefault="00000000" w:rsidRPr="00000000" w14:paraId="000004C2">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Academic Operations (Decision Support) </w:t>
      </w:r>
      <w:r w:rsidDel="00000000" w:rsidR="00000000" w:rsidRPr="00000000">
        <w:rPr>
          <w:rFonts w:ascii="Times New Roman" w:cs="Times New Roman" w:eastAsia="Times New Roman" w:hAnsi="Times New Roman"/>
          <w:sz w:val="24"/>
          <w:szCs w:val="24"/>
          <w:rtl w:val="0"/>
        </w:rPr>
        <w:t xml:space="preserve">refers to operational reporting that helps offices make term-by-term decisions using counts and turnaround-time measures (e.g., pending queues, aging cases, adviser/panel load, bottlenecks).</w:t>
      </w:r>
    </w:p>
    <w:p w:rsidR="00000000" w:rsidDel="00000000" w:rsidP="00000000" w:rsidRDefault="00000000" w:rsidRPr="00000000" w14:paraId="000004C3">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Data Privacy &amp; Role-Based Access</w:t>
      </w:r>
      <w:r w:rsidDel="00000000" w:rsidR="00000000" w:rsidRPr="00000000">
        <w:rPr>
          <w:rFonts w:ascii="Times New Roman" w:cs="Times New Roman" w:eastAsia="Times New Roman" w:hAnsi="Times New Roman"/>
          <w:sz w:val="24"/>
          <w:szCs w:val="24"/>
          <w:rtl w:val="0"/>
        </w:rPr>
        <w:t xml:space="preserve"> refers to limiting visibility and actions based on role (e.g., student vs adviser vs panel vs office) and ensuring that sensitive records and evaluation artifacts are handled with appropriate access boundaries, logging, and retention rules.</w:t>
      </w:r>
      <w:r w:rsidDel="00000000" w:rsidR="00000000" w:rsidRPr="00000000">
        <w:rPr>
          <w:rtl w:val="0"/>
        </w:rPr>
      </w:r>
    </w:p>
    <w:p w:rsidR="00000000" w:rsidDel="00000000" w:rsidP="00000000" w:rsidRDefault="00000000" w:rsidRPr="00000000" w14:paraId="000004C4">
      <w:pPr>
        <w:numPr>
          <w:ilvl w:val="0"/>
          <w:numId w:val="6"/>
        </w:numPr>
        <w:spacing w:after="0" w:afterAutospacing="0" w:line="360" w:lineRule="auto"/>
        <w:ind w:left="2160" w:hanging="360"/>
        <w:jc w:val="both"/>
        <w:rPr>
          <w:rFonts w:ascii="Times New Roman" w:cs="Times New Roman" w:eastAsia="Times New Roman" w:hAnsi="Times New Roman"/>
          <w:sz w:val="24"/>
          <w:szCs w:val="24"/>
          <w:u w:val="none"/>
        </w:rPr>
      </w:pPr>
      <w:commentRangeStart w:id="26"/>
      <w:r w:rsidDel="00000000" w:rsidR="00000000" w:rsidRPr="00000000">
        <w:rPr>
          <w:rFonts w:ascii="Times New Roman" w:cs="Times New Roman" w:eastAsia="Times New Roman" w:hAnsi="Times New Roman"/>
          <w:b w:val="1"/>
          <w:bCs w:val="1"/>
          <w:sz w:val="24"/>
          <w:szCs w:val="24"/>
          <w:rtl w:val="0"/>
        </w:rPr>
        <w:t xml:space="preserve">Retrieval-Augmented Generation for Policy-Grounded AI Systems</w:t>
      </w:r>
      <w:r w:rsidDel="00000000" w:rsidR="00000000" w:rsidRPr="00000000">
        <w:rPr>
          <w:rFonts w:ascii="Times New Roman" w:cs="Times New Roman" w:eastAsia="Times New Roman" w:hAnsi="Times New Roman"/>
          <w:sz w:val="24"/>
          <w:szCs w:val="24"/>
          <w:rtl w:val="0"/>
        </w:rPr>
        <w:t xml:space="preserve"> refers to an AI approach where a language model generates responses using information retrieved from trusted institutional documents such as policies, guidelines, and previous decisions. By grounding the AI’s responses in official records, RAG helps ensure that recommendations or summaries follow university rules and provide consistent decision support rather than relying solely on the model’s general knowledge.</w:t>
      </w:r>
    </w:p>
    <w:p w:rsidR="00000000" w:rsidDel="00000000" w:rsidP="00000000" w:rsidRDefault="00000000" w:rsidRPr="00000000" w14:paraId="000004C5">
      <w:pPr>
        <w:numPr>
          <w:ilvl w:val="0"/>
          <w:numId w:val="6"/>
        </w:numPr>
        <w:spacing w:after="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API-Based System Integration in Academic Information System</w:t>
      </w:r>
      <w:r w:rsidDel="00000000" w:rsidR="00000000" w:rsidRPr="00000000">
        <w:rPr>
          <w:rFonts w:ascii="Times New Roman" w:cs="Times New Roman" w:eastAsia="Times New Roman" w:hAnsi="Times New Roman"/>
          <w:sz w:val="24"/>
          <w:szCs w:val="24"/>
          <w:rtl w:val="0"/>
        </w:rPr>
        <w:t xml:space="preserve">s refers to the use of Application Programming Interfaces (APIs) to allow different institutional systems to exchange data automatically. Through APIs, systems such as enrollment platforms, monitoring tools, and administrative databases can securely share information, reducing manual encoding, minimizing fragmented records, and improving the accuracy and timeliness of operational data used for monitoring and reporting.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4C6">
      <w:pPr>
        <w:pStyle w:val="Heading3"/>
        <w:spacing w:after="80" w:line="360" w:lineRule="auto"/>
        <w:ind w:left="720" w:firstLine="0"/>
        <w:jc w:val="both"/>
        <w:rPr/>
      </w:pPr>
      <w:bookmarkStart w:colFirst="0" w:colLast="0" w:name="_p1v8rqr7qvs5" w:id="92"/>
      <w:bookmarkEnd w:id="92"/>
      <w:r w:rsidDel="00000000" w:rsidR="00000000" w:rsidRPr="00000000">
        <w:rPr>
          <w:rtl w:val="0"/>
        </w:rPr>
        <w:t xml:space="preserve">2.1.2 Graduate Student Lifecycle Tracking and Milestone-Centric Progress</w:t>
      </w:r>
    </w:p>
    <w:p w:rsidR="00000000" w:rsidDel="00000000" w:rsidP="00000000" w:rsidRDefault="00000000" w:rsidRPr="00000000" w14:paraId="000004C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progress monitoring differs from undergraduate contexts because graduate progression is often defined through milestones, decentralized rules, and non-linear pacing. Young et al. (2024) argue that graduate tracking should reflect milestone-based progression rather than simply repurposing undergraduate dashboards. This implies that lifecycle tracking systems must represent stage definitions, prerequisites, and milestone outcomes in a way that is interpretable to both students and administrators.</w:t>
      </w:r>
    </w:p>
    <w:p w:rsidR="00000000" w:rsidDel="00000000" w:rsidP="00000000" w:rsidRDefault="00000000" w:rsidRPr="00000000" w14:paraId="000004C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Doctoral monitoring work similarly emphasizes the importance of structured oversight mechanisms that allow institutions to observe progress patterns and intervene when progression stalls (Brooks, 2023). In practice, this requires operational representations of progress that can distinguish between genuine academic work-in-progress and administrative waiting points (e.g., pending approvals, scheduling unresolved, revisions not confirmed). Without such representations, “status” becomes an ambiguous concept that can vary depending on who is asked and what evidence they reference.</w:t>
      </w:r>
    </w:p>
    <w:p w:rsidR="00000000" w:rsidDel="00000000" w:rsidP="00000000" w:rsidRDefault="00000000" w:rsidRPr="00000000" w14:paraId="000004C9">
      <w:pPr>
        <w:pStyle w:val="Heading3"/>
        <w:spacing w:after="80" w:line="360" w:lineRule="auto"/>
        <w:ind w:left="720" w:firstLine="0"/>
        <w:jc w:val="both"/>
        <w:rPr/>
      </w:pPr>
      <w:bookmarkStart w:colFirst="0" w:colLast="0" w:name="_n6y607l9ifdq" w:id="93"/>
      <w:bookmarkEnd w:id="93"/>
      <w:r w:rsidDel="00000000" w:rsidR="00000000" w:rsidRPr="00000000">
        <w:rPr>
          <w:rtl w:val="0"/>
        </w:rPr>
        <w:t xml:space="preserve">2.1.3 Thesis/Dissertation Pipeline as an Operational Workflow</w:t>
      </w:r>
    </w:p>
    <w:p w:rsidR="00000000" w:rsidDel="00000000" w:rsidP="00000000" w:rsidRDefault="00000000" w:rsidRPr="00000000" w14:paraId="000004C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processes involve routable workflows that extend beyond writing and research design into operational coordination: adviser designation, endorsements, panel approvals, scheduling, decision capture, revision confirmation, and compliance documentation. Streamlining studies of graduate approval workflows demonstrate that administrative efficiency depends on clarity of routing, approvals, and status transitions (Grooms et al., 2016). System-oriented work that includes defense scheduling emphasizes that scheduling is not merely a calendar task but a pipeline step with constraints and outputs that must be tracked (Chio et al., 2022).</w:t>
      </w:r>
    </w:p>
    <w:p w:rsidR="00000000" w:rsidDel="00000000" w:rsidP="00000000" w:rsidRDefault="00000000" w:rsidRPr="00000000" w14:paraId="000004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revision loops are central to pipeline operations. Chugh et al. (2021) identify supervisory feedback as a complex process that requires clarity, consistency, and responsiveness, conditions that are difficult to maintain when feedback is dispersed across tools or when multiple reviewers provide uncoordinated inputs. This supports the need for comment consolidation mechanisms and traceable decision outcomes, which are monitoring-critical because they determine whether a student is “waiting for feedback,” “revising,” or “ready for the next gate.”</w:t>
      </w:r>
    </w:p>
    <w:p w:rsidR="00000000" w:rsidDel="00000000" w:rsidP="00000000" w:rsidRDefault="00000000" w:rsidRPr="00000000" w14:paraId="000004CC">
      <w:pPr>
        <w:pStyle w:val="Heading3"/>
        <w:spacing w:after="80" w:line="360" w:lineRule="auto"/>
        <w:ind w:left="720" w:firstLine="0"/>
        <w:jc w:val="both"/>
        <w:rPr/>
      </w:pPr>
      <w:bookmarkStart w:colFirst="0" w:colLast="0" w:name="_ii94mxi6i4k3" w:id="94"/>
      <w:bookmarkEnd w:id="94"/>
      <w:r w:rsidDel="00000000" w:rsidR="00000000" w:rsidRPr="00000000">
        <w:rPr>
          <w:rtl w:val="0"/>
        </w:rPr>
        <w:t xml:space="preserve">2.1.4 Time-to-Degree, Residency, Delay, and Attrition as Monitoring Measures</w:t>
      </w:r>
    </w:p>
    <w:p w:rsidR="00000000" w:rsidDel="00000000" w:rsidP="00000000" w:rsidRDefault="00000000" w:rsidRPr="00000000" w14:paraId="000004C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Time-to-degree and residency rules provide operational thresholds for defining whether progress is “on track” or “delayed,” but definitions and counting rules vary by policy and context. van Lill (2024) shows that time-to-degree differs across disciplines and contexts, implying that monitoring must be sensitive to program differences rather than assuming a uniform timeline. Willess (2023) further suggests that experiences and factors influencing time to degree are multifactorial, reinforcing the need for monitoring signals that capture prolonged time-in-stage and stalled milestones rather than relying on one indicator alone.</w:t>
      </w:r>
    </w:p>
    <w:p w:rsidR="00000000" w:rsidDel="00000000" w:rsidP="00000000" w:rsidRDefault="00000000" w:rsidRPr="00000000" w14:paraId="000004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Philippine contexts, studies and institutional handbooks illustrate the importance of locally defined policies and practice. For example, local work examining delays among master’s degree completers highlights contextual factors influencing delayed completion (Rapada Jr., n.d.). Institutional policy documents and handbooks (e.g., University of the Philippines Los Baños Graduate School, 2010; Philippine Normal University, 2024) also shape what “residency,” “good standing,” and “extensions” mean operationally. This supports the proposal’s emphasis that policy definitions must be validated with stakeholders and encoded into monitoring rules.</w:t>
      </w:r>
    </w:p>
    <w:p w:rsidR="00000000" w:rsidDel="00000000" w:rsidP="00000000" w:rsidRDefault="00000000" w:rsidRPr="00000000" w14:paraId="000004D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1">
      <w:pPr>
        <w:pStyle w:val="Heading3"/>
        <w:spacing w:after="80" w:line="360" w:lineRule="auto"/>
        <w:ind w:left="720" w:firstLine="0"/>
        <w:jc w:val="both"/>
        <w:rPr/>
      </w:pPr>
      <w:bookmarkStart w:colFirst="0" w:colLast="0" w:name="_afmjmjizqy3s" w:id="95"/>
      <w:bookmarkEnd w:id="95"/>
      <w:r w:rsidDel="00000000" w:rsidR="00000000" w:rsidRPr="00000000">
        <w:rPr>
          <w:rtl w:val="0"/>
        </w:rPr>
        <w:t xml:space="preserve">2.1.5 Academic Operations Analytics and Decision Support</w:t>
      </w:r>
    </w:p>
    <w:p w:rsidR="00000000" w:rsidDel="00000000" w:rsidP="00000000" w:rsidRDefault="00000000" w:rsidRPr="00000000" w14:paraId="000004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decision support in higher education frequently depends on dashboards and reporting that answer recurring questions: what is pending, what is overdue, where delays occur, and where capacity constraints exist. Sector reporting expectations, such as annual data collection and certification requirements, reflect that higher education decision-making relies on timely and accurate data (CHED Region IV-B MIMAROPA, 2018). However, analytics effectiveness depends on the underlying data capture: if workflow events do not generate timestamps and logs, reporting becomes unreliable or disputed (Sorour &amp; Atkins, 2024).</w:t>
      </w:r>
    </w:p>
    <w:p w:rsidR="00000000" w:rsidDel="00000000" w:rsidP="00000000" w:rsidRDefault="00000000" w:rsidRPr="00000000" w14:paraId="000004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discussions emphasize the role of data platforms and business intelligence as enabling infrastructure for reporting and performance monitoring in higher education (World Bank, 2023). This supports the proposal’s architectural decision to treat dashboards as downstream of structured lifecycle event capture, rather than as stand-alone reporting features.</w:t>
      </w:r>
    </w:p>
    <w:p w:rsidR="00000000" w:rsidDel="00000000" w:rsidP="00000000" w:rsidRDefault="00000000" w:rsidRPr="00000000" w14:paraId="000004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pStyle w:val="Heading3"/>
        <w:spacing w:after="80" w:line="360" w:lineRule="auto"/>
        <w:ind w:left="720" w:firstLine="0"/>
        <w:jc w:val="both"/>
        <w:rPr/>
      </w:pPr>
      <w:bookmarkStart w:colFirst="0" w:colLast="0" w:name="_ci417wrcz4nm" w:id="96"/>
      <w:bookmarkEnd w:id="96"/>
      <w:r w:rsidDel="00000000" w:rsidR="00000000" w:rsidRPr="00000000">
        <w:rPr>
          <w:rtl w:val="0"/>
        </w:rPr>
        <w:t xml:space="preserve">2.1.6 Data Privacy, and Role-Based Access in Higher Education Systems</w:t>
      </w:r>
    </w:p>
    <w:p w:rsidR="00000000" w:rsidDel="00000000" w:rsidP="00000000" w:rsidRDefault="00000000" w:rsidRPr="00000000" w14:paraId="000004D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monitoring systems handle sensitive student information and evaluation artifacts, which raises authority and privacy concerns. Studies of Philippine higher education compliance with privacy boundaries highlight challenges in implementing privacy-aligned practices across institutions (Datu, 2022; Doce &amp; Ching, 2018; Flores &amp; Ching, 2018; Tanate-Lazo, 2021). Records management and digitization work suggests that institutional readiness and IAM practices influence the success of academic records systems (Purcia &amp; Velarde, 2022). These sources support a design requirement that access boundaries (RBAC), audit trails, and controlled visibility are foundational, not optional, to lifecycle monitoring platforms.</w:t>
      </w:r>
    </w:p>
    <w:p w:rsidR="00000000" w:rsidDel="00000000" w:rsidP="00000000" w:rsidRDefault="00000000" w:rsidRPr="00000000" w14:paraId="000004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Style w:val="Heading3"/>
        <w:spacing w:after="80" w:line="360" w:lineRule="auto"/>
        <w:ind w:left="720" w:firstLine="0"/>
        <w:jc w:val="both"/>
        <w:rPr/>
      </w:pPr>
      <w:bookmarkStart w:colFirst="0" w:colLast="0" w:name="_aymvvnhenacm" w:id="97"/>
      <w:bookmarkEnd w:id="97"/>
      <w:r w:rsidDel="00000000" w:rsidR="00000000" w:rsidRPr="00000000">
        <w:rPr>
          <w:rtl w:val="0"/>
        </w:rPr>
        <w:t xml:space="preserve">2.1.7 Retrieval-Augmented Generation for Policy-Grounded AI Systems</w:t>
      </w:r>
    </w:p>
    <w:p w:rsidR="00000000" w:rsidDel="00000000" w:rsidP="00000000" w:rsidRDefault="00000000" w:rsidRPr="00000000" w14:paraId="000004D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have increasingly been explored for decision support and knowledge retrieval tasks in organizations, but their outputs can be unreliable when responses are generated without grounding in authoritative sources. Retrieval-Augmented Generation (RAG) addresses this limitation by combining document retrieval with generative language models so that responses are produced using relevant external knowledge sources rather than relying solely on the model’s internal training data (Lewis et al., 2020). In this approach, the system first retrieves documents or policy records relevant to a query and then uses those documents as contextual input for the language model’s response generation.</w:t>
      </w:r>
    </w:p>
    <w:p w:rsidR="00000000" w:rsidDel="00000000" w:rsidP="00000000" w:rsidRDefault="00000000" w:rsidRPr="00000000" w14:paraId="000004D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particularly suitable for environments where decisions must be aligned with formal policies, procedures, or precedent records. Gao et al. (2023) emphasize that retrieval-augmented approaches improve factual consistency and traceability because the generated responses can be linked back to the retrieved documents that informed them. In policy-bound environments such as higher education administration, this capability is critical because decisions related to student progression, approvals, and compliance must be justified using official guidelines.</w:t>
      </w:r>
    </w:p>
    <w:p w:rsidR="00000000" w:rsidDel="00000000" w:rsidP="00000000" w:rsidRDefault="00000000" w:rsidRPr="00000000" w14:paraId="000004D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contexts, many administrative decisions depend on interpreting policy documents and previous decisions rather than applying purely numerical criteria. For example, determining whether a thesis title is acceptable, whether a leave of absence request should be approved, or whether a returning student requires penalty coursework often requires consultation of institutional policies and past cases. A RAG-based AI system can support such decision processes by retrieving relevant policy sections and prior decision artifacts before generating a recommendation summary for administrators.</w:t>
      </w:r>
    </w:p>
    <w:p w:rsidR="00000000" w:rsidDel="00000000" w:rsidP="00000000" w:rsidRDefault="00000000" w:rsidRPr="00000000" w14:paraId="000004D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proposal’s approach of implementing a policy-grounded decision support assistant where the AI component functions as a retrieval-supported reference tool rather than an autonomous decision maker. The system’s responses are therefore constrained by institutional documents such as graduate school handbooks, research protocol guidelines, and documented academic decisions, ensuring that AI outputs remain consistent with university policies.</w:t>
      </w:r>
    </w:p>
    <w:p w:rsidR="00000000" w:rsidDel="00000000" w:rsidP="00000000" w:rsidRDefault="00000000" w:rsidRPr="00000000" w14:paraId="000004D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pStyle w:val="Heading3"/>
        <w:spacing w:after="80" w:line="360" w:lineRule="auto"/>
        <w:ind w:left="720" w:firstLine="0"/>
        <w:jc w:val="both"/>
        <w:rPr/>
      </w:pPr>
      <w:bookmarkStart w:colFirst="0" w:colLast="0" w:name="_l0r2t3s1epy0" w:id="98"/>
      <w:bookmarkEnd w:id="98"/>
      <w:r w:rsidDel="00000000" w:rsidR="00000000" w:rsidRPr="00000000">
        <w:rPr>
          <w:rtl w:val="0"/>
        </w:rPr>
        <w:t xml:space="preserve">2.1.8 API-Based System Integration in Academic Information Systems</w:t>
      </w:r>
    </w:p>
    <w:p w:rsidR="00000000" w:rsidDel="00000000" w:rsidP="00000000" w:rsidRDefault="00000000" w:rsidRPr="00000000" w14:paraId="000004E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academic information systems often operate across multiple specialized platforms, including student information systems, learning management systems, research monitoring tools, and administrative databases. Application Programming Interfaces (APIs) are commonly used to enable communication and data exchange between these systems by defining standardized methods for requesting and transmitting data (Fielding, 2000). Through APIs, systems can share information automatically without requiring direct access to each other’s databases.</w:t>
      </w:r>
    </w:p>
    <w:p w:rsidR="00000000" w:rsidDel="00000000" w:rsidP="00000000" w:rsidRDefault="00000000" w:rsidRPr="00000000" w14:paraId="000004E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environments, API-based integration helps institutions address the problem of fragmented data sources. When operational data is distributed across multiple systems, manual extraction and re-encoding are often required to compile reports or track student progress. Studies of digital transformation in higher education emphasize that API integration allows institutions to synchronize operational data, reduce redundant data entry, and improve the reliability of institutional reporting (Al-Nuaimi et al., 2022). By enabling automated data exchange, APIs support more efficient administrative workflows and reduce the likelihood of inconsistent records.</w:t>
      </w:r>
    </w:p>
    <w:p w:rsidR="00000000" w:rsidDel="00000000" w:rsidP="00000000" w:rsidRDefault="00000000" w:rsidRPr="00000000" w14:paraId="000004E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graduate school monitoring systems, API integration is particularly important because lifecycle information is typically stored across different platforms and artifacts. Enrollment records may exist in institutional student systems, research milestones may be recorded in monitoring spreadsheets or forms, and administrative decisions may be documented through separate office records. Without integration mechanisms, consolidating this information requires manual coordination across tools and personnel.</w:t>
      </w:r>
    </w:p>
    <w:p w:rsidR="00000000" w:rsidDel="00000000" w:rsidP="00000000" w:rsidRDefault="00000000" w:rsidRPr="00000000" w14:paraId="000004E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proposed Graduate Student Lifecycle Monitoring and Analytics Platform, APIs provide a mechanism for connecting the monitoring system with existing institutional data sources. Through controlled API access, the system can retrieve relevant operational signals such as enrollment status, coursework completion indicators, or student identifiers while maintaining the authoritative role of existing institutional systems. This integration approach reduces manual encoding effort and supports more reliable lifecycle monitoring while preserving the integrity of official academic records.</w:t>
      </w:r>
      <w:r w:rsidDel="00000000" w:rsidR="00000000" w:rsidRPr="00000000">
        <w:rPr>
          <w:rtl w:val="0"/>
        </w:rPr>
      </w:r>
    </w:p>
    <w:p w:rsidR="00000000" w:rsidDel="00000000" w:rsidP="00000000" w:rsidRDefault="00000000" w:rsidRPr="00000000" w14:paraId="000004E4">
      <w:pPr>
        <w:spacing w:line="360" w:lineRule="auto"/>
        <w:ind w:left="720" w:firstLine="720"/>
        <w:jc w:val="both"/>
        <w:rPr>
          <w:rFonts w:ascii="Times New Roman" w:cs="Times New Roman" w:eastAsia="Times New Roman" w:hAnsi="Times New Roman"/>
          <w:sz w:val="24"/>
          <w:szCs w:val="24"/>
        </w:rPr>
      </w:pPr>
      <w:commentRangeStart w:id="27"/>
      <w:commentRangeStart w:id="28"/>
      <w:commentRangeStart w:id="29"/>
      <w:r w:rsidDel="00000000" w:rsidR="00000000" w:rsidRPr="00000000">
        <w:rPr>
          <w:rFonts w:ascii="Times New Roman" w:cs="Times New Roman" w:eastAsia="Times New Roman" w:hAnsi="Times New Roman"/>
          <w:sz w:val="24"/>
          <w:szCs w:val="24"/>
          <w:rtl w:val="0"/>
        </w:rPr>
        <w:t xml:space="preserve">Practical implementations of RAG are commonly supported through modern AI platforms and APIs that combine document retrieval with language model generation. Examples include frameworks and services such as Google Notebook LLM APIs, OpenAI retrieval-based APIs, and LangChain-based RAG pipelines, which allow systems to retrieve relevant institutional documents before generating responses. These platforms illustrate how RAG architectures can be implemented in policy-driven environments such as academic administration.</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E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pStyle w:val="Heading2"/>
        <w:keepNext w:val="0"/>
        <w:keepLines w:val="0"/>
        <w:spacing w:before="280" w:line="360" w:lineRule="auto"/>
        <w:jc w:val="both"/>
        <w:rPr/>
      </w:pPr>
      <w:bookmarkStart w:colFirst="0" w:colLast="0" w:name="_toag01t8n2v" w:id="99"/>
      <w:bookmarkEnd w:id="99"/>
      <w:r w:rsidDel="00000000" w:rsidR="00000000" w:rsidRPr="00000000">
        <w:rPr>
          <w:rtl w:val="0"/>
        </w:rPr>
        <w:t xml:space="preserve">2.2 Review of Related Systems/Infrastructure</w:t>
      </w:r>
    </w:p>
    <w:p w:rsidR="00000000" w:rsidDel="00000000" w:rsidP="00000000" w:rsidRDefault="00000000" w:rsidRPr="00000000" w14:paraId="000004E7">
      <w:pPr>
        <w:pStyle w:val="Heading3"/>
        <w:spacing w:line="360" w:lineRule="auto"/>
        <w:ind w:left="720" w:firstLine="0"/>
        <w:jc w:val="both"/>
        <w:rPr/>
      </w:pPr>
      <w:bookmarkStart w:colFirst="0" w:colLast="0" w:name="_ha22exxpoark" w:id="100"/>
      <w:bookmarkEnd w:id="100"/>
      <w:r w:rsidDel="00000000" w:rsidR="00000000" w:rsidRPr="00000000">
        <w:rPr>
          <w:rtl w:val="0"/>
        </w:rPr>
        <w:t xml:space="preserve">2.2.1 Thesis/Dissertation Management Portals and Scheduling Systems</w:t>
      </w:r>
    </w:p>
    <w:p w:rsidR="00000000" w:rsidDel="00000000" w:rsidP="00000000" w:rsidRDefault="00000000" w:rsidRPr="00000000" w14:paraId="000004E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THESISIT (Chio et al., 2022) provides an example of a web-based thesis management portal that includes a defense scheduling component. Such systems demonstrate the feasibility of integrating scheduling as part of thesis management rather than treating it as an external coordination task. In this proposal, scheduling is treated as both an operational bottleneck and an analytics-relevant pipeline step; therefore, scheduling outcomes must be captured as structured events that can feed capacity and backlog reporting.</w:t>
      </w:r>
    </w:p>
    <w:p w:rsidR="00000000" w:rsidDel="00000000" w:rsidP="00000000" w:rsidRDefault="00000000" w:rsidRPr="00000000" w14:paraId="000004E9">
      <w:pPr>
        <w:pStyle w:val="Heading3"/>
        <w:spacing w:line="360" w:lineRule="auto"/>
        <w:ind w:left="720" w:firstLine="0"/>
        <w:jc w:val="both"/>
        <w:rPr/>
      </w:pPr>
      <w:bookmarkStart w:colFirst="0" w:colLast="0" w:name="_2fyyvnrlho0e" w:id="101"/>
      <w:bookmarkEnd w:id="101"/>
      <w:r w:rsidDel="00000000" w:rsidR="00000000" w:rsidRPr="00000000">
        <w:rPr>
          <w:rtl w:val="0"/>
        </w:rPr>
        <w:t xml:space="preserve">2.2.2 Workflow-Based Approval Systems for Graduate Submissions</w:t>
      </w:r>
    </w:p>
    <w:p w:rsidR="00000000" w:rsidDel="00000000" w:rsidP="00000000" w:rsidRDefault="00000000" w:rsidRPr="00000000" w14:paraId="000004E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et al. (2016) demonstrate that streamlining approval workflows can reduce time and administrative burden by clarifying routing and approval steps. Although the proposed system is framed neutrally and avoids prescriptive claims as final answers, prior work supports the idea that when approvals are structured and visible, progress monitoring becomes easier because waiting points and ownership are more explicit.</w:t>
      </w:r>
    </w:p>
    <w:p w:rsidR="00000000" w:rsidDel="00000000" w:rsidP="00000000" w:rsidRDefault="00000000" w:rsidRPr="00000000" w14:paraId="000004EB">
      <w:pPr>
        <w:pStyle w:val="Heading3"/>
        <w:spacing w:line="360" w:lineRule="auto"/>
        <w:ind w:left="720" w:firstLine="0"/>
        <w:jc w:val="both"/>
        <w:rPr/>
      </w:pPr>
      <w:bookmarkStart w:colFirst="0" w:colLast="0" w:name="_ugeh47ptw1yp" w:id="102"/>
      <w:bookmarkEnd w:id="102"/>
      <w:r w:rsidDel="00000000" w:rsidR="00000000" w:rsidRPr="00000000">
        <w:rPr>
          <w:rtl w:val="0"/>
        </w:rPr>
        <w:t xml:space="preserve">2.2.3 Institutional Policies and Handbooks as Operational Infrastructure</w:t>
      </w:r>
    </w:p>
    <w:p w:rsidR="00000000" w:rsidDel="00000000" w:rsidP="00000000" w:rsidRDefault="00000000" w:rsidRPr="00000000" w14:paraId="000004E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handbooks and policy documents function as infrastructure because they define stage rules, residency limits, and acceptable pathways (University of the Philippines Los Baños Graduate School, 2010; Philippine Normal University, 2024; The University of Adelaide, 2020; Monash University, 2024). For monitoring systems, these documents are not merely references; they are the basis for defining state transitions, required artifacts, and thresholds. The proposal therefore treats policy definition validation as a core requirements activity, since definition drift is a documented source of disagreement and monitoring distrust.</w:t>
      </w:r>
    </w:p>
    <w:p w:rsidR="00000000" w:rsidDel="00000000" w:rsidP="00000000" w:rsidRDefault="00000000" w:rsidRPr="00000000" w14:paraId="000004ED">
      <w:pPr>
        <w:pStyle w:val="Heading3"/>
        <w:spacing w:line="360" w:lineRule="auto"/>
        <w:ind w:left="720" w:firstLine="0"/>
        <w:jc w:val="both"/>
        <w:rPr/>
      </w:pPr>
      <w:bookmarkStart w:colFirst="0" w:colLast="0" w:name="_vt8q89yphygo" w:id="103"/>
      <w:bookmarkEnd w:id="103"/>
      <w:r w:rsidDel="00000000" w:rsidR="00000000" w:rsidRPr="00000000">
        <w:rPr>
          <w:rtl w:val="0"/>
        </w:rPr>
        <w:t xml:space="preserve">2.2.4 Sector Digital Transformation and Data Platform Context</w:t>
      </w:r>
    </w:p>
    <w:p w:rsidR="00000000" w:rsidDel="00000000" w:rsidP="00000000" w:rsidRDefault="00000000" w:rsidRPr="00000000" w14:paraId="000004E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highlights digital transformation needs in Philippine higher education, including data platforms and performance/reporting concepts. This is relevant because monitoring systems require integration thinking: lifecycle event capture must be designed so that reporting outputs are reliable and consistent with role requirements. </w:t>
      </w:r>
    </w:p>
    <w:p w:rsidR="00000000" w:rsidDel="00000000" w:rsidP="00000000" w:rsidRDefault="00000000" w:rsidRPr="00000000" w14:paraId="000004EF">
      <w:pPr>
        <w:spacing w:after="240" w:before="240" w:line="360" w:lineRule="auto"/>
        <w:ind w:left="720" w:firstLine="720"/>
        <w:jc w:val="both"/>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Recent developments in higher education digital systems also incorporate artificial intelligence and knowledge retrieval technologies to support administrative decision making. Retrieval-augmented approaches allow systems to generate responses grounded in institutional policy documents and previous administrative records, improving the reliability of AI-assisted decision support. At the same time, API-based architectures enable monitoring platforms to exchange data with existing institutional systems such as student information systems and academic databases. These technologies highlight the importance of integration-ready architectures that support both policy-grounded decision support and automated data exchange across institutional platforms.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4F0">
      <w:pPr>
        <w:pStyle w:val="Heading2"/>
        <w:keepNext w:val="0"/>
        <w:keepLines w:val="0"/>
        <w:spacing w:before="280" w:line="360" w:lineRule="auto"/>
        <w:jc w:val="both"/>
        <w:rPr/>
      </w:pPr>
      <w:bookmarkStart w:colFirst="0" w:colLast="0" w:name="_91inra6h962l" w:id="104"/>
      <w:bookmarkEnd w:id="104"/>
      <w:r w:rsidDel="00000000" w:rsidR="00000000" w:rsidRPr="00000000">
        <w:rPr>
          <w:rtl w:val="0"/>
        </w:rPr>
        <w:t xml:space="preserve">2.3 Review of Related Methodologies</w:t>
      </w:r>
    </w:p>
    <w:p w:rsidR="00000000" w:rsidDel="00000000" w:rsidP="00000000" w:rsidRDefault="00000000" w:rsidRPr="00000000" w14:paraId="000004F1">
      <w:pPr>
        <w:pStyle w:val="Heading3"/>
        <w:spacing w:line="360" w:lineRule="auto"/>
        <w:ind w:left="720" w:firstLine="0"/>
        <w:jc w:val="both"/>
        <w:rPr/>
      </w:pPr>
      <w:bookmarkStart w:colFirst="0" w:colLast="0" w:name="_dm8dn9k5izma" w:id="105"/>
      <w:bookmarkEnd w:id="105"/>
      <w:r w:rsidDel="00000000" w:rsidR="00000000" w:rsidRPr="00000000">
        <w:rPr>
          <w:rtl w:val="0"/>
        </w:rPr>
        <w:t xml:space="preserve">2.3.1 BPMN for Workflow Modeling and Analysis</w:t>
      </w:r>
    </w:p>
    <w:p w:rsidR="00000000" w:rsidDel="00000000" w:rsidP="00000000" w:rsidRDefault="00000000" w:rsidRPr="00000000" w14:paraId="000004F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BPMN-style process modeling is used in this proposal to represent workflows in a structured manner that is understandable to stakeholders and precise enough for technical translation. In graduate operations, BPMN is valuable because it makes handoffs, gateways, and responsibilities explicit, addressing the common problem where progress is stalled due to unclear ownership (Grooms et al., 2016). In this proposal, BPMN representations are required artifacts (Appendix A–G) to document workflows such as title defense, adviser designation, proposal defense, and final defense to publication.</w:t>
      </w:r>
    </w:p>
    <w:p w:rsidR="00000000" w:rsidDel="00000000" w:rsidP="00000000" w:rsidRDefault="00000000" w:rsidRPr="00000000" w14:paraId="000004F3">
      <w:pPr>
        <w:pStyle w:val="Heading3"/>
        <w:keepNext w:val="0"/>
        <w:keepLines w:val="0"/>
        <w:spacing w:before="280" w:line="360" w:lineRule="auto"/>
        <w:ind w:left="720" w:firstLine="0"/>
        <w:jc w:val="both"/>
        <w:rPr/>
      </w:pPr>
      <w:bookmarkStart w:colFirst="0" w:colLast="0" w:name="_5hvh5udfcqk9" w:id="106"/>
      <w:bookmarkEnd w:id="106"/>
      <w:r w:rsidDel="00000000" w:rsidR="00000000" w:rsidRPr="00000000">
        <w:rPr>
          <w:rtl w:val="0"/>
        </w:rPr>
        <w:t xml:space="preserve">2.3.2 Ishikawa (Fishbone) Analysis for Root Cause Identification</w:t>
      </w:r>
    </w:p>
    <w:p w:rsidR="00000000" w:rsidDel="00000000" w:rsidP="00000000" w:rsidRDefault="00000000" w:rsidRPr="00000000" w14:paraId="000004F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Ishikawa diagrams support structured categorization of root causes across People, Process, Technology, Policy, and Environment. Because monitoring failures are rarely attributable to a single cause, fishbone analysis helps separate symptoms (e.g., “no visibility”) from underlying causes (e.g., fragmented sources of truth, definition drift, absence of timestamps, privacy constraints). Importantly, graduate workflow outcomes can also be affected by human judgment and interpretation differences, for example, different reviewers may apply different expectations for what counts as “complete,” coordinators may prioritize cases differently based on urgency cues, and endorsement timing may vary depending on discretionary workload decisions. These subjective decision points do not imply improper behavior; rather, they are normal human factors that become operational risks when the process has weak standardization and limited traceability.</w:t>
      </w:r>
    </w:p>
    <w:p w:rsidR="00000000" w:rsidDel="00000000" w:rsidP="00000000" w:rsidRDefault="00000000" w:rsidRPr="00000000" w14:paraId="000004F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therefore treats subjectivity of decision-making as an explicit contributor to delays and visibility gaps, especially in endorsement, review, and approval gates where criteria may be applied inconsistently across roles or across programs. The proposal includes three required Ishikawa analyses aligned to core problem clusters (Appendix H–J), and the narrative interpretation of each fishbone highlights where interpretation differences and discretionary prioritization most commonly affect throughput.</w:t>
      </w:r>
      <w:r w:rsidDel="00000000" w:rsidR="00000000" w:rsidRPr="00000000">
        <w:rPr>
          <w:rtl w:val="0"/>
        </w:rPr>
      </w:r>
    </w:p>
    <w:p w:rsidR="00000000" w:rsidDel="00000000" w:rsidP="00000000" w:rsidRDefault="00000000" w:rsidRPr="00000000" w14:paraId="000004F6">
      <w:pPr>
        <w:pStyle w:val="Heading3"/>
        <w:spacing w:line="360" w:lineRule="auto"/>
        <w:ind w:left="720" w:firstLine="0"/>
        <w:jc w:val="both"/>
        <w:rPr/>
      </w:pPr>
      <w:bookmarkStart w:colFirst="0" w:colLast="0" w:name="_3m0iusoo92t9" w:id="107"/>
      <w:bookmarkEnd w:id="107"/>
      <w:r w:rsidDel="00000000" w:rsidR="00000000" w:rsidRPr="00000000">
        <w:rPr>
          <w:rtl w:val="0"/>
        </w:rPr>
        <w:t xml:space="preserve">2.3.3 Decision Support, Dashboards, and Process/Operations Analytics</w:t>
      </w:r>
    </w:p>
    <w:p w:rsidR="00000000" w:rsidDel="00000000" w:rsidP="00000000" w:rsidRDefault="00000000" w:rsidRPr="00000000" w14:paraId="000004F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methodology in this proposal emphasizes that dashboards are only as reliable as the events and definitions underlying them. Sector-level reporting mandates and BI dashboard discussions highlight that data collection and interpretability are essential for decision support (CHED Region IV-B MIMAROPA, 2018; Sorour &amp; Atkins, 2024). The methodology therefore treats timestamp/event logging design as a first-class requirement, not an afterthought.</w:t>
      </w:r>
    </w:p>
    <w:p w:rsidR="00000000" w:rsidDel="00000000" w:rsidP="00000000" w:rsidRDefault="00000000" w:rsidRPr="00000000" w14:paraId="000004F8">
      <w:pPr>
        <w:spacing w:after="240" w:before="240" w:line="360" w:lineRule="auto"/>
        <w:ind w:left="720" w:firstLine="720"/>
        <w:jc w:val="both"/>
        <w:rPr>
          <w:rFonts w:ascii="Times New Roman" w:cs="Times New Roman" w:eastAsia="Times New Roman" w:hAnsi="Times New Roman"/>
          <w:sz w:val="24"/>
          <w:szCs w:val="24"/>
        </w:rPr>
      </w:pPr>
      <w:commentRangeStart w:id="31"/>
      <w:r w:rsidDel="00000000" w:rsidR="00000000" w:rsidRPr="00000000">
        <w:rPr>
          <w:rFonts w:ascii="Times New Roman" w:cs="Times New Roman" w:eastAsia="Times New Roman" w:hAnsi="Times New Roman"/>
          <w:sz w:val="24"/>
          <w:szCs w:val="24"/>
          <w:rtl w:val="0"/>
        </w:rPr>
        <w:t xml:space="preserve">Recent decision support implementations also incorporate retrieval-based language model architectures to assist administrators in interpreting institutional policies and previous decisions. Retrieval-Augmented Generation (RAG) enables AI systems to retrieve relevant documents from a knowledge base before generating responses, improving the factual reliability and policy alignment of recommendations (Lewis et al., 2020). In operational environments such as graduate school administration, this approach allows AI systems to function as policy-grounded assistants that help summarize relevant guidelines and precedent cases while leaving final decision authority with institutional administrators.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4F9">
      <w:pPr>
        <w:pStyle w:val="Heading2"/>
        <w:keepNext w:val="0"/>
        <w:keepLines w:val="0"/>
        <w:spacing w:before="280" w:line="360" w:lineRule="auto"/>
        <w:jc w:val="both"/>
        <w:rPr/>
      </w:pPr>
      <w:bookmarkStart w:colFirst="0" w:colLast="0" w:name="_olviw9kq2oqd" w:id="108"/>
      <w:bookmarkEnd w:id="108"/>
      <w:r w:rsidDel="00000000" w:rsidR="00000000" w:rsidRPr="00000000">
        <w:rPr>
          <w:rtl w:val="0"/>
        </w:rPr>
        <w:t xml:space="preserve">2.4 Conflicting Arguments, Context Differences, and Monitoring Implications</w:t>
      </w:r>
    </w:p>
    <w:p w:rsidR="00000000" w:rsidDel="00000000" w:rsidP="00000000" w:rsidRDefault="00000000" w:rsidRPr="00000000" w14:paraId="000004F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finding from the synthesis guide is that contradictions across literature often arise not because one side is “wrong,” but because definitions and contexts differ. This proposal explicitly highlights three context-driven conflicts and their implications for monitoring.</w:t>
      </w:r>
    </w:p>
    <w:p w:rsidR="00000000" w:rsidDel="00000000" w:rsidP="00000000" w:rsidRDefault="00000000" w:rsidRPr="00000000" w14:paraId="000004FB">
      <w:pPr>
        <w:pStyle w:val="Heading3"/>
        <w:spacing w:line="360" w:lineRule="auto"/>
        <w:ind w:left="720" w:firstLine="0"/>
        <w:jc w:val="both"/>
        <w:rPr/>
      </w:pPr>
      <w:bookmarkStart w:colFirst="0" w:colLast="0" w:name="_q9ns24v79nrv" w:id="109"/>
      <w:bookmarkEnd w:id="109"/>
      <w:r w:rsidDel="00000000" w:rsidR="00000000" w:rsidRPr="00000000">
        <w:rPr>
          <w:rtl w:val="0"/>
        </w:rPr>
        <w:t xml:space="preserve">2.4.1 Normative Timelines vs. Policy Ceilings</w:t>
      </w:r>
    </w:p>
    <w:p w:rsidR="00000000" w:rsidDel="00000000" w:rsidP="00000000" w:rsidRDefault="00000000" w:rsidRPr="00000000" w14:paraId="000004F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contexts treat “on-time” completion as an expected normative duration, while residency policies define maximum allowable time. These thresholds can produce different “delay” classifications even for the same student record. Time-to-degree variability across disciplines and contexts further complicates a single universal threshold (van Lill, 2024; Willess, 2023).</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A monitoring system must distinguish between (a) normative pacing expectations (soft thresholds) and (b) formal residency ceilings (hard thresholds), and must allow program- or policy-specific configuration.</w:t>
      </w:r>
    </w:p>
    <w:p w:rsidR="00000000" w:rsidDel="00000000" w:rsidP="00000000" w:rsidRDefault="00000000" w:rsidRPr="00000000" w14:paraId="000004FD">
      <w:pPr>
        <w:pStyle w:val="Heading3"/>
        <w:spacing w:line="360" w:lineRule="auto"/>
        <w:ind w:left="720" w:firstLine="0"/>
        <w:jc w:val="both"/>
        <w:rPr/>
      </w:pPr>
      <w:bookmarkStart w:colFirst="0" w:colLast="0" w:name="_k5b1j3b01wez" w:id="110"/>
      <w:bookmarkEnd w:id="110"/>
      <w:r w:rsidDel="00000000" w:rsidR="00000000" w:rsidRPr="00000000">
        <w:rPr>
          <w:rtl w:val="0"/>
        </w:rPr>
        <w:t xml:space="preserve">2.4.2 Milestone-Centric Progress vs. Enrollment-Centric Status</w:t>
      </w:r>
    </w:p>
    <w:p w:rsidR="00000000" w:rsidDel="00000000" w:rsidP="00000000" w:rsidRDefault="00000000" w:rsidRPr="00000000" w14:paraId="000004F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Milestone-based tracking emphasizes gate completion and operational readiness, while policy practice may treat enrollment breaks (leave of absence, readmission, non-enrollment terms) as the primary triggers for status changes. These can conflict: a student may be “enrolled” but operationally stalled, or “not enrolled” but still engaged in revision work.</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monitoring platform must represent both milestone states and enrollment-related states (where permitted), and the institution must validate which triggers are authoritative in practice.</w:t>
      </w:r>
    </w:p>
    <w:p w:rsidR="00000000" w:rsidDel="00000000" w:rsidP="00000000" w:rsidRDefault="00000000" w:rsidRPr="00000000" w14:paraId="000004FF">
      <w:pPr>
        <w:pStyle w:val="Heading3"/>
        <w:spacing w:line="360" w:lineRule="auto"/>
        <w:ind w:left="720" w:firstLine="0"/>
        <w:jc w:val="both"/>
        <w:rPr/>
      </w:pPr>
      <w:bookmarkStart w:colFirst="0" w:colLast="0" w:name="_he1d5ksimoww" w:id="111"/>
      <w:bookmarkEnd w:id="111"/>
      <w:r w:rsidDel="00000000" w:rsidR="00000000" w:rsidRPr="00000000">
        <w:rPr>
          <w:rtl w:val="0"/>
        </w:rPr>
        <w:t xml:space="preserve">2.4.3 Manual Operational Reality vs. Analytics Expectations</w:t>
      </w:r>
    </w:p>
    <w:p w:rsidR="00000000" w:rsidDel="00000000" w:rsidP="00000000" w:rsidRDefault="00000000" w:rsidRPr="00000000" w14:paraId="00000500">
      <w:pPr>
        <w:spacing w:after="240"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Analytics literature assumes structured event capture, yet pipeline operations may occur through paper/email processes that do not produce analyzable timestamps (Sorour &amp; Atkins, 2024).</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Requirements elicitation must identify which steps can realistically generate structured events without increasing workload unreasonably, and which metrics should be treated as “best-effort” rather than definitive until practices align.</w:t>
      </w: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Chapter 2: Chapter 2 – Review of Related Literature</dc:title>
  <cp:lastModifiedBy>python-docx</cp:lastModifiedBy>
  <cp:revision>1</cp:revision>
  <dcterms:modified xsi:type="dcterms:W3CDTF">2026-07-27T18:44:11Z</dcterms:modified>
  <dc:subject>CAP-2521-IT CAP1 submission</dc:subject>
</cp:coreProperties>
</file>