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CoverSub"/>
      </w:pPr>
      <w:r>
        <w:rPr>
          <w:b/>
          <w:i w:val="0"/>
          <w:color w:val="1F4E3D"/>
        </w:rPr>
        <w:t>UNIVERSITY OF ST. LA SALLE</w:t>
      </w:r>
    </w:p>
    <w:p>
      <w:pPr>
        <w:pStyle w:val="CoverSub"/>
      </w:pPr>
      <w:r>
        <w:rPr>
          <w:b w:val="0"/>
          <w:i w:val="0"/>
        </w:rPr>
        <w:t>Graduate School</w:t>
      </w:r>
    </w:p>
    <w:p/>
    <w:p>
      <w:pPr>
        <w:pStyle w:val="CoverTitle"/>
      </w:pPr>
      <w:r>
        <w:rPr>
          <w:b/>
          <w:i w:val="0"/>
        </w:rPr>
        <w:t>Graduate School Operations Manual</w:t>
      </w:r>
    </w:p>
    <w:p>
      <w:pPr>
        <w:pStyle w:val="CoverSub"/>
      </w:pPr>
      <w:r>
        <w:rPr>
          <w:b w:val="0"/>
          <w:i w:val="0"/>
        </w:rPr>
        <w:t>How the Graduate School carries out the student lifecycle: roles, records, procedures and business rules</w:t>
      </w:r>
    </w:p>
    <w:p/>
    <w:p/>
    <w:tbl>
      <w:tblPr>
        <w:tblW w:w="9639" w:type="dxa"/>
        <w:jc w:val="center"/>
        <w:tblBorders>
          <w:top w:val="single" w:sz="8" w:space="0" w:color="C00000"/>
          <w:left w:val="single" w:sz="8" w:space="0" w:color="C00000"/>
          <w:bottom w:val="single" w:sz="8" w:space="0" w:color="C00000"/>
          <w:right w:val="single" w:sz="8" w:space="0" w:color="C00000"/>
        </w:tblBorders>
        <w:tblLayout w:type="fixed"/>
        <w:tblCellMar>
          <w:top w:w="90" w:type="dxa"/>
          <w:left w:w="140" w:type="dxa"/>
          <w:bottom w:w="90" w:type="dxa"/>
          <w:right w:w="140" w:type="dxa"/>
        </w:tblCellMar>
        <w:tblLook w:firstColumn="1" w:firstRow="1" w:lastColumn="0" w:lastRow="0" w:noHBand="0" w:noVBand="1" w:val="04A0"/>
      </w:tblPr>
      <w:tblGrid>
        <w:gridCol w:w="9639"/>
      </w:tblGrid>
      <w:tr>
        <w:trPr>
          <w:cantSplit w:val="true"/>
        </w:trPr>
        <w:tc>
          <w:tcPr>
            <w:tcW w:type="dxa" w:w="9638"/>
            <w:shd w:val="clear" w:color="auto" w:fill="FDE9E7"/>
          </w:tcPr>
          <w:p>
            <w:pPr>
              <w:keepNext/>
              <w:spacing w:after="0"/>
            </w:pPr>
            <w:r/>
            <w:r>
              <w:rPr>
                <w:b/>
                <w:sz w:val="24"/>
              </w:rPr>
              <w:t>DRAFT v0.2</w:t>
            </w:r>
            <w:r>
              <w:rPr>
                <w:sz w:val="24"/>
              </w:rPr>
              <w:t xml:space="preserve"> — prepared by the capstone group for validation by the Graduate School; not an official USLS document until approved</w:t>
            </w:r>
          </w:p>
        </w:tc>
      </w:tr>
    </w:tbl>
    <w:p>
      <w:pPr>
        <w:keepNext/>
        <w:spacing w:after="80"/>
      </w:pPr>
    </w:p>
    <w:p/>
    <w:p>
      <w:pPr>
        <w:pStyle w:val="CoverSub"/>
      </w:pPr>
      <w:r>
        <w:rPr>
          <w:b w:val="0"/>
          <w:i w:val="0"/>
        </w:rPr>
        <w:t>Version 0.2  |  2026-10-01</w:t>
      </w:r>
    </w:p>
    <w:p>
      <w:pPr>
        <w:pStyle w:val="CoverSub"/>
      </w:pPr>
      <w:r>
        <w:rPr>
          <w:b w:val="0"/>
          <w:i w:val="0"/>
        </w:rPr>
        <w:t>Prepared by the capstone group CAP-IT1 (Graduate Student Lifecycle Monitoring and Analytics Platform)</w:t>
      </w:r>
    </w:p>
    <w:p>
      <w:pPr>
        <w:pStyle w:val="CoverSub"/>
      </w:pPr>
      <w:r>
        <w:rPr>
          <w:b w:val="0"/>
          <w:i w:val="0"/>
        </w:rPr>
        <w:t>To be validated by the Graduate School Dean and Associate Dean</w:t>
      </w:r>
    </w:p>
    <w:p>
      <w:pPr>
        <w:pStyle w:val="FrontHeading"/>
      </w:pPr>
      <w:r>
        <w:rPr>
          <w:b w:val="0"/>
          <w:i w:val="0"/>
        </w:rPr>
        <w:t>Document control</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2268"/>
        <w:gridCol w:w="7371"/>
      </w:tblGrid>
      <w:tr>
        <w:trPr>
          <w:tblHeader w:val="true"/>
          <w:cantSplit w:val="true"/>
        </w:trPr>
        <w:tc>
          <w:tcPr>
            <w:tcW w:type="dxa" w:w="2268"/>
            <w:shd w:val="clear" w:color="auto" w:fill="1F4E3D"/>
          </w:tcPr>
          <w:p>
            <w:pPr>
              <w:pStyle w:val="TableHead"/>
            </w:pPr>
            <w:r/>
            <w:r>
              <w:t>Item</w:t>
            </w:r>
          </w:p>
        </w:tc>
        <w:tc>
          <w:tcPr>
            <w:tcW w:type="dxa" w:w="7370"/>
            <w:shd w:val="clear" w:color="auto" w:fill="1F4E3D"/>
          </w:tcPr>
          <w:p>
            <w:pPr>
              <w:pStyle w:val="TableHead"/>
            </w:pPr>
            <w:r/>
            <w:r>
              <w:t>Detail</w:t>
            </w:r>
          </w:p>
        </w:tc>
      </w:tr>
      <w:tr>
        <w:trPr>
          <w:cantSplit w:val="true"/>
        </w:trPr>
        <w:tc>
          <w:tcPr>
            <w:tcW w:type="dxa" w:w="2268"/>
          </w:tcPr>
          <w:p>
            <w:pPr>
              <w:pStyle w:val="TableText"/>
            </w:pPr>
            <w:r/>
            <w:r>
              <w:rPr>
                <w:b/>
              </w:rPr>
              <w:t>Document title</w:t>
            </w:r>
          </w:p>
        </w:tc>
        <w:tc>
          <w:tcPr>
            <w:tcW w:type="dxa" w:w="7370"/>
          </w:tcPr>
          <w:p>
            <w:pPr>
              <w:pStyle w:val="TableText"/>
            </w:pPr>
            <w:r/>
            <w:r>
              <w:t>University of St. La Salle Graduate School Operations Manual</w:t>
            </w:r>
          </w:p>
        </w:tc>
      </w:tr>
      <w:tr>
        <w:trPr>
          <w:cantSplit w:val="true"/>
        </w:trPr>
        <w:tc>
          <w:tcPr>
            <w:tcW w:type="dxa" w:w="2268"/>
          </w:tcPr>
          <w:p>
            <w:pPr>
              <w:pStyle w:val="TableText"/>
            </w:pPr>
            <w:r/>
            <w:r>
              <w:rPr>
                <w:b/>
              </w:rPr>
              <w:t>Version</w:t>
            </w:r>
          </w:p>
        </w:tc>
        <w:tc>
          <w:tcPr>
            <w:tcW w:type="dxa" w:w="7370"/>
          </w:tcPr>
          <w:p>
            <w:pPr>
              <w:pStyle w:val="TableText"/>
            </w:pPr>
            <w:r/>
            <w:r>
              <w:t>0.2 (draft for validation)</w:t>
            </w:r>
          </w:p>
        </w:tc>
      </w:tr>
      <w:tr>
        <w:trPr>
          <w:cantSplit w:val="true"/>
        </w:trPr>
        <w:tc>
          <w:tcPr>
            <w:tcW w:type="dxa" w:w="2268"/>
          </w:tcPr>
          <w:p>
            <w:pPr>
              <w:pStyle w:val="TableText"/>
            </w:pPr>
            <w:r/>
            <w:r>
              <w:rPr>
                <w:b/>
              </w:rPr>
              <w:t>Date of this version</w:t>
            </w:r>
          </w:p>
        </w:tc>
        <w:tc>
          <w:tcPr>
            <w:tcW w:type="dxa" w:w="7370"/>
          </w:tcPr>
          <w:p>
            <w:pPr>
              <w:pStyle w:val="TableText"/>
            </w:pPr>
            <w:r/>
            <w:r>
              <w:t>2026-10-01</w:t>
            </w:r>
          </w:p>
        </w:tc>
      </w:tr>
      <w:tr>
        <w:trPr>
          <w:cantSplit w:val="true"/>
        </w:trPr>
        <w:tc>
          <w:tcPr>
            <w:tcW w:type="dxa" w:w="2268"/>
          </w:tcPr>
          <w:p>
            <w:pPr>
              <w:pStyle w:val="TableText"/>
            </w:pPr>
            <w:r/>
            <w:r>
              <w:rPr>
                <w:b/>
              </w:rPr>
              <w:t>Prepared by</w:t>
            </w:r>
          </w:p>
        </w:tc>
        <w:tc>
          <w:tcPr>
            <w:tcW w:type="dxa" w:w="7370"/>
          </w:tcPr>
          <w:p>
            <w:pPr>
              <w:pStyle w:val="TableText"/>
            </w:pPr>
            <w:r/>
            <w:r>
              <w:t>Capstone group CAP-IT1, Graduate Student Lifecycle Monitoring and Analytics Platform (University of St. La Salle Graduate School project)</w:t>
            </w:r>
          </w:p>
        </w:tc>
      </w:tr>
      <w:tr>
        <w:trPr>
          <w:cantSplit w:val="true"/>
        </w:trPr>
        <w:tc>
          <w:tcPr>
            <w:tcW w:type="dxa" w:w="2268"/>
          </w:tcPr>
          <w:p>
            <w:pPr>
              <w:pStyle w:val="TableText"/>
            </w:pPr>
            <w:r/>
            <w:r>
              <w:rPr>
                <w:b/>
              </w:rPr>
              <w:t>To be validated by</w:t>
            </w:r>
          </w:p>
        </w:tc>
        <w:tc>
          <w:tcPr>
            <w:tcW w:type="dxa" w:w="7370"/>
          </w:tcPr>
          <w:p>
            <w:pPr>
              <w:pStyle w:val="TableText"/>
            </w:pPr>
            <w:r/>
            <w:r>
              <w:t>Graduate School Dean and Associate Dean, University of St. La Salle Graduate School (with the Academic Coordinators and the Research Coordinator)</w:t>
            </w:r>
          </w:p>
        </w:tc>
      </w:tr>
      <w:tr>
        <w:trPr>
          <w:cantSplit w:val="true"/>
        </w:trPr>
        <w:tc>
          <w:tcPr>
            <w:tcW w:type="dxa" w:w="2268"/>
          </w:tcPr>
          <w:p>
            <w:pPr>
              <w:pStyle w:val="TableText"/>
            </w:pPr>
            <w:r/>
            <w:r>
              <w:rPr>
                <w:b/>
              </w:rPr>
              <w:t>Status</w:t>
            </w:r>
          </w:p>
        </w:tc>
        <w:tc>
          <w:tcPr>
            <w:tcW w:type="dxa" w:w="7370"/>
          </w:tcPr>
          <w:p>
            <w:pPr>
              <w:pStyle w:val="TableText"/>
            </w:pPr>
            <w:r/>
            <w:r>
              <w:t>Draft. Every rule marked Practice or Proposed, and every question in Chapter 6, must be confirmed or corrected by the Graduate School before this manual is treated as official.</w:t>
            </w:r>
          </w:p>
        </w:tc>
      </w:tr>
      <w:tr>
        <w:trPr>
          <w:cantSplit w:val="true"/>
        </w:trPr>
        <w:tc>
          <w:tcPr>
            <w:tcW w:type="dxa" w:w="2268"/>
          </w:tcPr>
          <w:p>
            <w:pPr>
              <w:pStyle w:val="TableText"/>
            </w:pPr>
            <w:r/>
            <w:r>
              <w:rPr>
                <w:b/>
              </w:rPr>
              <w:t>Sources</w:t>
            </w:r>
          </w:p>
        </w:tc>
        <w:tc>
          <w:tcPr>
            <w:tcW w:type="dxa" w:w="7370"/>
          </w:tcPr>
          <w:p>
            <w:pPr>
              <w:pStyle w:val="TableText"/>
            </w:pPr>
            <w:r/>
            <w:r>
              <w:t>Graduate Programs Student Handbook 2022-2023; Graduate School Research Protocol AY 2024-2025 (without publication protocol); student monitoring and research monitoring workbooks; the group's consultation notes of July 2026.</w:t>
            </w:r>
          </w:p>
        </w:tc>
      </w:tr>
      <w:tr>
        <w:trPr>
          <w:cantSplit w:val="true"/>
        </w:trPr>
        <w:tc>
          <w:tcPr>
            <w:tcW w:type="dxa" w:w="2268"/>
          </w:tcPr>
          <w:p>
            <w:pPr>
              <w:pStyle w:val="TableText"/>
            </w:pPr>
            <w:r/>
            <w:r>
              <w:rPr>
                <w:b/>
              </w:rPr>
              <w:t>Regeneration</w:t>
            </w:r>
          </w:p>
        </w:tc>
        <w:tc>
          <w:tcPr>
            <w:tcW w:type="dxa" w:w="7370"/>
          </w:tcPr>
          <w:p>
            <w:pPr>
              <w:pStyle w:val="TableText"/>
            </w:pPr>
            <w:r/>
            <w:r>
              <w:t>The manual is kept as structured content in the group's project files, so that corrections from the Graduate School can be entered and the manual reissued with a new version number and change-log entry.</w:t>
            </w:r>
          </w:p>
        </w:tc>
      </w:tr>
    </w:tbl>
    <w:p>
      <w:pPr>
        <w:spacing w:after="80" w:before="0"/>
      </w:pPr>
    </w:p>
    <w:p>
      <w:r>
        <w:rPr>
          <w:b/>
          <w:i w:val="0"/>
        </w:rPr>
        <w:t>Counts in this draft</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1927"/>
        <w:gridCol w:w="1927"/>
        <w:gridCol w:w="1927"/>
        <w:gridCol w:w="1927"/>
        <w:gridCol w:w="1927"/>
      </w:tblGrid>
      <w:tr>
        <w:trPr>
          <w:tblHeader w:val="true"/>
          <w:cantSplit w:val="true"/>
        </w:trPr>
        <w:tc>
          <w:tcPr>
            <w:tcW w:type="dxa" w:w="1928"/>
            <w:shd w:val="clear" w:color="auto" w:fill="1F4E3D"/>
          </w:tcPr>
          <w:p>
            <w:pPr>
              <w:pStyle w:val="TableHead"/>
            </w:pPr>
            <w:r/>
            <w:r>
              <w:t>Rules</w:t>
            </w:r>
          </w:p>
        </w:tc>
        <w:tc>
          <w:tcPr>
            <w:tcW w:type="dxa" w:w="1928"/>
            <w:shd w:val="clear" w:color="auto" w:fill="1F4E3D"/>
          </w:tcPr>
          <w:p>
            <w:pPr>
              <w:pStyle w:val="TableHead"/>
            </w:pPr>
            <w:r/>
            <w:r>
              <w:t>Official</w:t>
            </w:r>
          </w:p>
        </w:tc>
        <w:tc>
          <w:tcPr>
            <w:tcW w:type="dxa" w:w="1928"/>
            <w:shd w:val="clear" w:color="auto" w:fill="1F4E3D"/>
          </w:tcPr>
          <w:p>
            <w:pPr>
              <w:pStyle w:val="TableHead"/>
            </w:pPr>
            <w:r/>
            <w:r>
              <w:t>Practice</w:t>
            </w:r>
          </w:p>
        </w:tc>
        <w:tc>
          <w:tcPr>
            <w:tcW w:type="dxa" w:w="1928"/>
            <w:shd w:val="clear" w:color="auto" w:fill="1F4E3D"/>
          </w:tcPr>
          <w:p>
            <w:pPr>
              <w:pStyle w:val="TableHead"/>
            </w:pPr>
            <w:r/>
            <w:r>
              <w:t>Proposed</w:t>
            </w:r>
          </w:p>
        </w:tc>
        <w:tc>
          <w:tcPr>
            <w:tcW w:type="dxa" w:w="1928"/>
            <w:shd w:val="clear" w:color="auto" w:fill="1F4E3D"/>
          </w:tcPr>
          <w:p>
            <w:pPr>
              <w:pStyle w:val="TableHead"/>
            </w:pPr>
            <w:r/>
            <w:r>
              <w:t>Open questions</w:t>
            </w:r>
          </w:p>
        </w:tc>
      </w:tr>
      <w:tr>
        <w:trPr>
          <w:cantSplit w:val="true"/>
        </w:trPr>
        <w:tc>
          <w:tcPr>
            <w:tcW w:type="dxa" w:w="1928"/>
          </w:tcPr>
          <w:p>
            <w:pPr>
              <w:pStyle w:val="TableText"/>
            </w:pPr>
            <w:r/>
            <w:r>
              <w:t>230</w:t>
            </w:r>
          </w:p>
        </w:tc>
        <w:tc>
          <w:tcPr>
            <w:tcW w:type="dxa" w:w="1928"/>
          </w:tcPr>
          <w:p>
            <w:pPr>
              <w:pStyle w:val="TableText"/>
            </w:pPr>
            <w:r/>
            <w:r>
              <w:t>168</w:t>
            </w:r>
          </w:p>
        </w:tc>
        <w:tc>
          <w:tcPr>
            <w:tcW w:type="dxa" w:w="1928"/>
          </w:tcPr>
          <w:p>
            <w:pPr>
              <w:pStyle w:val="TableText"/>
            </w:pPr>
            <w:r/>
            <w:r>
              <w:t>22</w:t>
            </w:r>
          </w:p>
        </w:tc>
        <w:tc>
          <w:tcPr>
            <w:tcW w:type="dxa" w:w="1928"/>
          </w:tcPr>
          <w:p>
            <w:pPr>
              <w:pStyle w:val="TableText"/>
            </w:pPr>
            <w:r/>
            <w:r>
              <w:t>40</w:t>
            </w:r>
          </w:p>
        </w:tc>
        <w:tc>
          <w:tcPr>
            <w:tcW w:type="dxa" w:w="1928"/>
          </w:tcPr>
          <w:p>
            <w:pPr>
              <w:pStyle w:val="TableText"/>
            </w:pPr>
            <w:r/>
            <w:r>
              <w:t>44</w:t>
            </w:r>
          </w:p>
        </w:tc>
      </w:tr>
    </w:tbl>
    <w:p>
      <w:pPr>
        <w:spacing w:after="80" w:before="0"/>
      </w:pPr>
    </w:p>
    <w:p>
      <w:pPr>
        <w:pStyle w:val="FrontHeading"/>
      </w:pPr>
      <w:r>
        <w:rPr>
          <w:b w:val="0"/>
          <w:i w:val="0"/>
        </w:rPr>
        <w:t>Table of contents</w:t>
      </w:r>
    </w:p>
    <w:p>
      <w:pPr>
        <w:pStyle w:val="toc1"/>
      </w:pPr>
      <w:r>
        <w:fldChar w:fldCharType="begin" w:dirty="true"/>
      </w:r>
      <w:r>
        <w:instrText xml:space="preserve"> TOC \o "1-2" \h \z \u </w:instrText>
      </w:r>
      <w:r>
        <w:fldChar w:fldCharType="separate"/>
      </w:r>
      <w:r>
        <w:t>1 Purpose, scope and how to read this manual</w:t>
      </w:r>
      <w:r>
        <w:tab/>
        <w:t>4</w:t>
      </w:r>
    </w:p>
    <w:p>
      <w:pPr>
        <w:pStyle w:val="toc1"/>
      </w:pPr>
      <w:r>
        <w:t>2 Roles and responsibilities</w:t>
      </w:r>
      <w:r>
        <w:tab/>
        <w:t>7</w:t>
      </w:r>
    </w:p>
    <w:p>
      <w:pPr>
        <w:pStyle w:val="toc1"/>
      </w:pPr>
      <w:r>
        <w:t>3 Records and sources of record</w:t>
      </w:r>
      <w:r>
        <w:tab/>
        <w:t>9</w:t>
      </w:r>
    </w:p>
    <w:p>
      <w:pPr>
        <w:pStyle w:val="toc1"/>
      </w:pPr>
      <w:r>
        <w:t>4 Process chapters</w:t>
      </w:r>
      <w:r>
        <w:tab/>
        <w:t>11</w:t>
      </w:r>
    </w:p>
    <w:p>
      <w:pPr>
        <w:pStyle w:val="toc2"/>
      </w:pPr>
      <w:r>
        <w:t>4.1 Admission handoff and onboarding</w:t>
      </w:r>
      <w:r>
        <w:tab/>
        <w:t>11</w:t>
      </w:r>
    </w:p>
    <w:p>
      <w:pPr>
        <w:pStyle w:val="toc2"/>
      </w:pPr>
      <w:r>
        <w:t>4.2 Enrollment and academic load</w:t>
      </w:r>
      <w:r>
        <w:tab/>
        <w:t>14</w:t>
      </w:r>
    </w:p>
    <w:p>
      <w:pPr>
        <w:pStyle w:val="toc2"/>
      </w:pPr>
      <w:r>
        <w:t>4.3 Course offering and course adjustments (change and add of subject)</w:t>
      </w:r>
      <w:r>
        <w:tab/>
        <w:t>16</w:t>
      </w:r>
    </w:p>
    <w:p>
      <w:pPr>
        <w:pStyle w:val="toc2"/>
      </w:pPr>
      <w:r>
        <w:t>4.4 Withdrawal of subject</w:t>
      </w:r>
      <w:r>
        <w:tab/>
        <w:t>18</w:t>
      </w:r>
    </w:p>
    <w:p>
      <w:pPr>
        <w:pStyle w:val="toc2"/>
      </w:pPr>
      <w:r>
        <w:t>4.5 Dropping, including being dropped for absences</w:t>
      </w:r>
      <w:r>
        <w:tab/>
        <w:t>21</w:t>
      </w:r>
    </w:p>
    <w:p>
      <w:pPr>
        <w:pStyle w:val="toc2"/>
      </w:pPr>
      <w:r>
        <w:t>4.6 Leave of absence (LOA)</w:t>
      </w:r>
      <w:r>
        <w:tab/>
        <w:t>24</w:t>
      </w:r>
    </w:p>
    <w:p>
      <w:pPr>
        <w:pStyle w:val="toc2"/>
      </w:pPr>
      <w:r>
        <w:t>4.7 Return from leave of absence and readmission</w:t>
      </w:r>
      <w:r>
        <w:tab/>
        <w:t>26</w:t>
      </w:r>
    </w:p>
    <w:p>
      <w:pPr>
        <w:pStyle w:val="toc2"/>
      </w:pPr>
      <w:r>
        <w:t>4.8 Absence without leave (AWOL)</w:t>
      </w:r>
      <w:r>
        <w:tab/>
        <w:t>27</w:t>
      </w:r>
    </w:p>
    <w:p>
      <w:pPr>
        <w:pStyle w:val="toc2"/>
      </w:pPr>
      <w:r>
        <w:t>4.9 Residency enrollment and maximum residence</w:t>
      </w:r>
      <w:r>
        <w:tab/>
        <w:t>29</w:t>
      </w:r>
    </w:p>
    <w:p>
      <w:pPr>
        <w:pStyle w:val="toc2"/>
      </w:pPr>
      <w:r>
        <w:t>4.10 Comprehensive examination</w:t>
      </w:r>
      <w:r>
        <w:tab/>
        <w:t>31</w:t>
      </w:r>
    </w:p>
    <w:p>
      <w:pPr>
        <w:pStyle w:val="toc2"/>
      </w:pPr>
      <w:r>
        <w:t>4.11 Title defense</w:t>
      </w:r>
      <w:r>
        <w:tab/>
        <w:t>33</w:t>
      </w:r>
    </w:p>
    <w:p>
      <w:pPr>
        <w:pStyle w:val="toc2"/>
      </w:pPr>
      <w:r>
        <w:t>4.12 Adviser designation, advising contract, change of title and change of adviser</w:t>
      </w:r>
      <w:r>
        <w:tab/>
        <w:t>36</w:t>
      </w:r>
    </w:p>
    <w:p>
      <w:pPr>
        <w:pStyle w:val="toc2"/>
      </w:pPr>
      <w:r>
        <w:t>4.13 Proposal defense and ethics review</w:t>
      </w:r>
      <w:r>
        <w:tab/>
        <w:t>39</w:t>
      </w:r>
    </w:p>
    <w:p>
      <w:pPr>
        <w:pStyle w:val="toc2"/>
      </w:pPr>
      <w:r>
        <w:t>4.14 Final defense (closed-door and public)</w:t>
      </w:r>
      <w:r>
        <w:tab/>
        <w:t>41</w:t>
      </w:r>
    </w:p>
    <w:p>
      <w:pPr>
        <w:pStyle w:val="toc2"/>
      </w:pPr>
      <w:r>
        <w:t>4.15 Revisions and completion</w:t>
      </w:r>
      <w:r>
        <w:tab/>
        <w:t>44</w:t>
      </w:r>
    </w:p>
    <w:p>
      <w:pPr>
        <w:pStyle w:val="toc2"/>
      </w:pPr>
      <w:r>
        <w:t>4.16 Defense scheduling and rescheduling</w:t>
      </w:r>
      <w:r>
        <w:tab/>
        <w:t>47</w:t>
      </w:r>
    </w:p>
    <w:p>
      <w:pPr>
        <w:pStyle w:val="toc2"/>
      </w:pPr>
      <w:r>
        <w:t>4.17 Practicum</w:t>
      </w:r>
      <w:r>
        <w:tab/>
        <w:t>49</w:t>
      </w:r>
    </w:p>
    <w:p>
      <w:pPr>
        <w:pStyle w:val="toc2"/>
      </w:pPr>
      <w:r>
        <w:t>4.18 Graduation application and endorsement</w:t>
      </w:r>
      <w:r>
        <w:tab/>
        <w:t>51</w:t>
      </w:r>
    </w:p>
    <w:p>
      <w:pPr>
        <w:pStyle w:val="toc2"/>
      </w:pPr>
      <w:r>
        <w:t>4.19 Records handoff to the Registrar</w:t>
      </w:r>
      <w:r>
        <w:tab/>
        <w:t>53</w:t>
      </w:r>
    </w:p>
    <w:p>
      <w:pPr>
        <w:pStyle w:val="toc1"/>
      </w:pPr>
      <w:r>
        <w:t>5 Consolidated business rules register</w:t>
      </w:r>
      <w:r>
        <w:tab/>
        <w:t>56</w:t>
      </w:r>
    </w:p>
    <w:p>
      <w:pPr>
        <w:pStyle w:val="toc1"/>
      </w:pPr>
      <w:r>
        <w:t>6 Open questions for validation</w:t>
      </w:r>
      <w:r>
        <w:tab/>
        <w:t>71</w:t>
      </w:r>
    </w:p>
    <w:p>
      <w:pPr>
        <w:pStyle w:val="toc1"/>
      </w:pPr>
      <w:r>
        <w:t>7 Validation and sign-off</w:t>
      </w:r>
      <w:r>
        <w:tab/>
        <w:t>88</w:t>
      </w:r>
    </w:p>
    <w:p>
      <w:pPr>
        <w:pStyle w:val="toc1"/>
      </w:pPr>
      <w:r>
        <w:t>Appendix A Forms named in the sources</w:t>
      </w:r>
      <w:r>
        <w:tab/>
        <w:t>89</w:t>
      </w:r>
    </w:p>
    <w:p>
      <w:pPr>
        <w:pStyle w:val="toc1"/>
      </w:pPr>
      <w:r>
        <w:t>Appendix B Glossary</w:t>
      </w:r>
      <w:r>
        <w:tab/>
        <w:t>91</w:t>
      </w:r>
      <w:r>
        <w:fldChar w:fldCharType="end"/>
      </w:r>
    </w:p>
    <w:p>
      <w:r>
        <w:rPr>
          <w:b w:val="0"/>
          <w:i/>
          <w:color w:val="595959"/>
          <w:sz w:val="17"/>
        </w:rPr>
        <w:t>The page numbers update when the file is opened in Word (answer Yes to the prompt to update fields, or press F9 after selecting the contents).</w:t>
      </w:r>
    </w:p>
    <w:p>
      <w:pPr>
        <w:pStyle w:val="Heading1"/>
      </w:pPr>
      <w:r>
        <w:t>1 Purpose, scope and how to read this manual</w:t>
      </w:r>
    </w:p>
    <w:p>
      <w:pPr>
        <w:pStyle w:val="Heading2"/>
      </w:pPr>
      <w:r>
        <w:t>1.1 Purpose</w:t>
      </w:r>
    </w:p>
    <w:p>
      <w:r>
        <w:rPr>
          <w:b w:val="0"/>
          <w:i w:val="0"/>
        </w:rPr>
        <w:t>This manual describes, in one place and in the same layout for every process, how the Graduate School (GS) of the University of St. La Salle (USLS) carries out the student lifecycle: from the hand-over of an admitted student to the Graduate School, through enrollment, course adjustments, leave, residency, the comprehensive examination and the thesis, dissertation or project paper, to graduation endorsement.</w:t>
      </w:r>
    </w:p>
    <w:p>
      <w:r>
        <w:rPr>
          <w:b w:val="0"/>
          <w:i w:val="0"/>
        </w:rPr>
        <w:t>The Graduate School has told the capstone group that it does not have an operations manual. Policies exist in the Graduate Programs Student Handbook and in the Graduate School Research Protocol, but the office routines, the business rules that connect the steps, and the records that the office keeps are not written down together. The panel of the group's Stage 1 defense asked that the policies of the operations manual be included in the platform and asked whether business rules had been considered for each process, for example whether a student can drop at any time, even on the first day. The panel's suggestion, accepted by the group, was that the group write a first draft of the manual and that the Graduate School correct and validate it. This document is that first draft.</w:t>
      </w:r>
    </w:p>
    <w:p>
      <w:pPr>
        <w:pStyle w:val="Heading2"/>
      </w:pPr>
      <w:r>
        <w:t>1.2 Scope</w:t>
      </w:r>
    </w:p>
    <w:p>
      <w:r>
        <w:rPr>
          <w:b w:val="0"/>
          <w:i w:val="0"/>
        </w:rPr>
        <w:t>The manual covers the processes that the Graduate School coordinates for a graduate student. It covers nineteen lifecycle areas, each in its own section of Chapter 4: admission handoff and onboarding; enrollment and academic load; course offering and course adjustments; withdrawal of subject; dropping; leave of absence; return from leave and readmission; absence without leave (AWOL); residency enrollment and maximum residence; the comprehensive examination; the title defense; adviser designation; the proposal defense and ethics review; the final defense; revisions and completion; defense scheduling and rescheduling; practicum; graduation application and endorsement; and the handoff of records to the Registrar.</w:t>
      </w:r>
    </w:p>
    <w:p>
      <w:r>
        <w:rPr>
          <w:b w:val="0"/>
          <w:i w:val="0"/>
        </w:rPr>
        <w:t>The manual does not describe admission testing, billing, grading, the registration system or student discipline and student life (Handbook chapter 7) in detail. Those belong to the Admissions and Scholarship Administration Office, the Business Office and the University Registrar. Where the Graduate School hands a case to one of them, the manual states what is handed over and stops there.</w:t>
      </w:r>
    </w:p>
    <w:p>
      <w:pPr>
        <w:pStyle w:val="Heading2"/>
      </w:pPr>
      <w:r>
        <w:t>1.3 Relationship to the Handbook and the Research Protocol</w:t>
      </w:r>
    </w:p>
    <w:p>
      <w:r>
        <w:rPr>
          <w:b w:val="0"/>
          <w:i w:val="0"/>
        </w:rPr>
        <w:t>This manual does not replace the Graduate Programs Student Handbook 2022-2023 or the Graduate School Research Protocol AY 2024-2025. Those two documents remain the policy sources. The manual states how the office carries the policies out: who does each step, in what order, with which form, and within which time limit. Where the manual quotes a rule it gives the source and the page.</w:t>
      </w:r>
    </w:p>
    <w:p>
      <w:r>
        <w:rPr>
          <w:b w:val="0"/>
          <w:i w:val="0"/>
        </w:rPr>
        <w:t>Where the Handbook and the Protocol differ from each other, or differ from what office staff described in consultation, the manual does not choose. It states each version, labels it by source, and lists the difference as an open question in Chapter 6 for the Graduate School to decide. Until the Graduate School answers, the platform follows the Handbook, which is the document in force.</w:t>
      </w:r>
    </w:p>
    <w:p>
      <w:pPr>
        <w:pStyle w:val="Heading2"/>
      </w:pPr>
      <w:r>
        <w:t>1.4 How to read this manual</w:t>
      </w:r>
    </w:p>
    <w:p>
      <w:r>
        <w:rPr>
          <w:b w:val="0"/>
          <w:i w:val="0"/>
        </w:rPr>
        <w:t>Chapter 2 names the roles. Chapter 3 lists the records the office keeps and says which system is the official record for each kind of data. Chapter 4 has one section per process. Every process section has the same parts, in this order:</w:t>
      </w:r>
    </w:p>
    <w:p>
      <w:pPr>
        <w:pStyle w:val="ListBullet"/>
        <w:spacing w:after="40"/>
      </w:pPr>
      <w:r>
        <w:t>Purpose, who is involved, trigger and preconditions.</w:t>
      </w:r>
    </w:p>
    <w:p>
      <w:pPr>
        <w:pStyle w:val="ListBullet"/>
        <w:spacing w:after="40"/>
      </w:pPr>
      <w:r>
        <w:t>Procedure: a numbered table with the step, who does it, what they do, the form or record used, and the time limit. A dagger (†) next to a step number marks a step that is not described in the Handbook or the Protocol.</w:t>
      </w:r>
    </w:p>
    <w:p>
      <w:pPr>
        <w:pStyle w:val="ListBullet"/>
        <w:spacing w:after="40"/>
      </w:pPr>
      <w:r>
        <w:t>Business rules: a table with a rule number (for example WD-01), the rule in one plain sentence, the source with page or section, and a status.</w:t>
      </w:r>
    </w:p>
    <w:p>
      <w:pPr>
        <w:pStyle w:val="ListBullet"/>
        <w:spacing w:after="40"/>
      </w:pPr>
      <w:r>
        <w:t>Exceptions and unusual cases and how they are handled.</w:t>
      </w:r>
    </w:p>
    <w:p>
      <w:pPr>
        <w:pStyle w:val="ListBullet"/>
        <w:spacing w:after="40"/>
      </w:pPr>
      <w:r>
        <w:t>Records produced and where they go.</w:t>
      </w:r>
    </w:p>
    <w:p>
      <w:pPr>
        <w:pStyle w:val="ListBullet"/>
        <w:spacing w:after="40"/>
      </w:pPr>
      <w:r>
        <w:t>How the platform supports the process, and any difference between the platform and the rule.</w:t>
      </w:r>
    </w:p>
    <w:p>
      <w:r>
        <w:rPr>
          <w:b w:val="0"/>
          <w:i w:val="0"/>
        </w:rPr>
        <w:t>Each business rule carries one of three statuses:</w:t>
      </w:r>
    </w:p>
    <w:tbl>
      <w:tblPr>
        <w:tblW w:w="941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1247"/>
        <w:gridCol w:w="4536"/>
        <w:gridCol w:w="3628"/>
      </w:tblGrid>
      <w:tr>
        <w:trPr>
          <w:tblHeader w:val="true"/>
          <w:cantSplit w:val="true"/>
        </w:trPr>
        <w:tc>
          <w:tcPr>
            <w:tcW w:type="dxa" w:w="1247"/>
            <w:shd w:val="clear" w:color="auto" w:fill="1F4E3D"/>
          </w:tcPr>
          <w:p>
            <w:pPr>
              <w:pStyle w:val="TableHead"/>
            </w:pPr>
            <w:r/>
            <w:r>
              <w:t>Status</w:t>
            </w:r>
          </w:p>
        </w:tc>
        <w:tc>
          <w:tcPr>
            <w:tcW w:type="dxa" w:w="4535"/>
            <w:shd w:val="clear" w:color="auto" w:fill="1F4E3D"/>
          </w:tcPr>
          <w:p>
            <w:pPr>
              <w:pStyle w:val="TableHead"/>
            </w:pPr>
            <w:r/>
            <w:r>
              <w:t>Meaning</w:t>
            </w:r>
          </w:p>
        </w:tc>
        <w:tc>
          <w:tcPr>
            <w:tcW w:type="dxa" w:w="3628"/>
            <w:shd w:val="clear" w:color="auto" w:fill="1F4E3D"/>
          </w:tcPr>
          <w:p>
            <w:pPr>
              <w:pStyle w:val="TableHead"/>
            </w:pPr>
            <w:r/>
            <w:r>
              <w:t>What the Graduate School is asked to do</w:t>
            </w:r>
          </w:p>
        </w:tc>
      </w:tr>
      <w:tr>
        <w:trPr>
          <w:cantSplit w:val="true"/>
        </w:trPr>
        <w:tc>
          <w:tcPr>
            <w:tcW w:type="dxa" w:w="1247"/>
            <w:shd w:val="clear" w:color="auto" w:fill="E2F0D9"/>
          </w:tcPr>
          <w:p>
            <w:pPr>
              <w:pStyle w:val="TableText"/>
            </w:pPr>
            <w:r>
              <w:rPr>
                <w:b/>
              </w:rPr>
            </w:r>
            <w:r>
              <w:rPr>
                <w:b/>
              </w:rPr>
              <w:t>Official</w:t>
            </w:r>
          </w:p>
        </w:tc>
        <w:tc>
          <w:tcPr>
            <w:tcW w:type="dxa" w:w="4535"/>
          </w:tcPr>
          <w:p>
            <w:pPr>
              <w:pStyle w:val="TableText"/>
            </w:pPr>
            <w:r/>
            <w:r>
              <w:t>Stated in the Handbook or in the Research Protocol. The wording is quoted or closely paraphrased and the page or section is given.</w:t>
            </w:r>
          </w:p>
        </w:tc>
        <w:tc>
          <w:tcPr>
            <w:tcW w:type="dxa" w:w="3628"/>
          </w:tcPr>
          <w:p>
            <w:pPr>
              <w:pStyle w:val="TableText"/>
            </w:pPr>
            <w:r/>
            <w:r>
              <w:t>Check that the rule is still in force and correctly worded.</w:t>
            </w:r>
          </w:p>
        </w:tc>
      </w:tr>
      <w:tr>
        <w:trPr>
          <w:cantSplit w:val="true"/>
        </w:trPr>
        <w:tc>
          <w:tcPr>
            <w:tcW w:type="dxa" w:w="1247"/>
            <w:shd w:val="clear" w:color="auto" w:fill="FFF2CC"/>
          </w:tcPr>
          <w:p>
            <w:pPr>
              <w:pStyle w:val="TableText"/>
            </w:pPr>
            <w:r>
              <w:rPr>
                <w:b/>
              </w:rPr>
            </w:r>
            <w:r>
              <w:rPr>
                <w:b/>
              </w:rPr>
              <w:t>Practice</w:t>
            </w:r>
          </w:p>
        </w:tc>
        <w:tc>
          <w:tcPr>
            <w:tcW w:type="dxa" w:w="4535"/>
          </w:tcPr>
          <w:p>
            <w:pPr>
              <w:pStyle w:val="TableText"/>
            </w:pPr>
            <w:r/>
            <w:r>
              <w:t>Described by Graduate School staff in a consultation, or recorded in the group's consultation notes as a stakeholder-confirmed answer, but not written in an official source.</w:t>
            </w:r>
          </w:p>
        </w:tc>
        <w:tc>
          <w:tcPr>
            <w:tcW w:type="dxa" w:w="3628"/>
          </w:tcPr>
          <w:p>
            <w:pPr>
              <w:pStyle w:val="TableText"/>
            </w:pPr>
            <w:r/>
            <w:r>
              <w:t>Confirm, correct, or strike the rule. If it is correct, say whether it should be written into the Handbook or Protocol.</w:t>
            </w:r>
          </w:p>
        </w:tc>
      </w:tr>
      <w:tr>
        <w:trPr>
          <w:cantSplit w:val="true"/>
        </w:trPr>
        <w:tc>
          <w:tcPr>
            <w:tcW w:type="dxa" w:w="1247"/>
            <w:shd w:val="clear" w:color="auto" w:fill="DDEBF7"/>
          </w:tcPr>
          <w:p>
            <w:pPr>
              <w:pStyle w:val="TableText"/>
            </w:pPr>
            <w:r>
              <w:rPr>
                <w:b/>
              </w:rPr>
            </w:r>
            <w:r>
              <w:rPr>
                <w:b/>
              </w:rPr>
              <w:t>Proposed</w:t>
            </w:r>
          </w:p>
        </w:tc>
        <w:tc>
          <w:tcPr>
            <w:tcW w:type="dxa" w:w="4535"/>
          </w:tcPr>
          <w:p>
            <w:pPr>
              <w:pStyle w:val="TableText"/>
            </w:pPr>
            <w:r/>
            <w:r>
              <w:t>The group's proposal where no source exists, or where the only basis is the group's own process model or the platform's current behavior.</w:t>
            </w:r>
          </w:p>
        </w:tc>
        <w:tc>
          <w:tcPr>
            <w:tcW w:type="dxa" w:w="3628"/>
          </w:tcPr>
          <w:p>
            <w:pPr>
              <w:pStyle w:val="TableText"/>
            </w:pPr>
            <w:r/>
            <w:r>
              <w:t>Approve, change, or strike the rule.</w:t>
            </w:r>
          </w:p>
        </w:tc>
      </w:tr>
    </w:tbl>
    <w:p>
      <w:pPr>
        <w:spacing w:after="80" w:before="0"/>
      </w:pPr>
    </w:p>
    <w:p>
      <w:r>
        <w:rPr>
          <w:b w:val="0"/>
          <w:i w:val="0"/>
        </w:rPr>
        <w:t>Chapter 5 gathers all rules into one register, sorted by process. Chapter 6 lists every question that the group could not answer from the sources, with the options and a blank for the answer. Chapter 7 is the validation and sign-off page.</w:t>
      </w:r>
    </w:p>
    <w:p>
      <w:pPr>
        <w:pStyle w:val="Heading2"/>
      </w:pPr>
      <w:r>
        <w:t>1.5 Evidence used and its limits</w:t>
      </w:r>
    </w:p>
    <w:p>
      <w:r>
        <w:rPr>
          <w:b w:val="0"/>
          <w:i w:val="0"/>
        </w:rPr>
        <w:t>Only the following sources were used. No policy has been invented; where a step or rule has no source it is labelled Proposed.</w:t>
      </w:r>
    </w:p>
    <w:tbl>
      <w:tblPr>
        <w:tblW w:w="941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2948"/>
        <w:gridCol w:w="3628"/>
        <w:gridCol w:w="2835"/>
      </w:tblGrid>
      <w:tr>
        <w:trPr>
          <w:tblHeader w:val="true"/>
          <w:cantSplit w:val="true"/>
        </w:trPr>
        <w:tc>
          <w:tcPr>
            <w:tcW w:type="dxa" w:w="2948"/>
            <w:shd w:val="clear" w:color="auto" w:fill="1F4E3D"/>
          </w:tcPr>
          <w:p>
            <w:pPr>
              <w:pStyle w:val="TableHead"/>
            </w:pPr>
            <w:r/>
            <w:r>
              <w:t>Source</w:t>
            </w:r>
          </w:p>
        </w:tc>
        <w:tc>
          <w:tcPr>
            <w:tcW w:type="dxa" w:w="3628"/>
            <w:shd w:val="clear" w:color="auto" w:fill="1F4E3D"/>
          </w:tcPr>
          <w:p>
            <w:pPr>
              <w:pStyle w:val="TableHead"/>
            </w:pPr>
            <w:r/>
            <w:r>
              <w:t>What it gives</w:t>
            </w:r>
          </w:p>
        </w:tc>
        <w:tc>
          <w:tcPr>
            <w:tcW w:type="dxa" w:w="2835"/>
            <w:shd w:val="clear" w:color="auto" w:fill="1F4E3D"/>
          </w:tcPr>
          <w:p>
            <w:pPr>
              <w:pStyle w:val="TableHead"/>
            </w:pPr>
            <w:r/>
            <w:r>
              <w:t>How it is cited</w:t>
            </w:r>
          </w:p>
        </w:tc>
      </w:tr>
      <w:tr>
        <w:trPr>
          <w:cantSplit w:val="true"/>
        </w:trPr>
        <w:tc>
          <w:tcPr>
            <w:tcW w:type="dxa" w:w="2948"/>
          </w:tcPr>
          <w:p>
            <w:pPr>
              <w:pStyle w:val="TableText"/>
            </w:pPr>
            <w:r/>
            <w:r>
              <w:t>Graduate Programs Student Handbook 2022-2023 (Graduate School Handbook, 106 PDF pages)</w:t>
            </w:r>
          </w:p>
        </w:tc>
        <w:tc>
          <w:tcPr>
            <w:tcW w:type="dxa" w:w="3628"/>
          </w:tcPr>
          <w:p>
            <w:pPr>
              <w:pStyle w:val="TableText"/>
            </w:pPr>
            <w:r/>
            <w:r>
              <w:t>Admission, registration, withdrawal, attendance, leave of absence, grading, retention, maximum residence, comprehensive examination, thesis and dissertation guidelines, graduation requirements.</w:t>
            </w:r>
          </w:p>
        </w:tc>
        <w:tc>
          <w:tcPr>
            <w:tcW w:type="dxa" w:w="2835"/>
          </w:tcPr>
          <w:p>
            <w:pPr>
              <w:pStyle w:val="TableText"/>
            </w:pPr>
            <w:r/>
            <w:r>
              <w:t>"Handbook 2022-2023, p. N", where N is the page number printed on the page (not the PDF page index). The Handbook's body numbers its sections 3.1 to 3.11 while its table of contents numbers them 6.1 to 6.12; the manual therefore cites pages and headings, not section numbers.</w:t>
            </w:r>
          </w:p>
        </w:tc>
      </w:tr>
      <w:tr>
        <w:trPr>
          <w:cantSplit w:val="true"/>
        </w:trPr>
        <w:tc>
          <w:tcPr>
            <w:tcW w:type="dxa" w:w="2948"/>
          </w:tcPr>
          <w:p>
            <w:pPr>
              <w:pStyle w:val="TableText"/>
            </w:pPr>
            <w:r/>
            <w:r>
              <w:t>Graduate School Research Protocol, updated for AY 2024-2025, without publication protocol</w:t>
            </w:r>
          </w:p>
        </w:tc>
        <w:tc>
          <w:tcPr>
            <w:tcW w:type="dxa" w:w="3628"/>
          </w:tcPr>
          <w:p>
            <w:pPr>
              <w:pStyle w:val="TableText"/>
            </w:pPr>
            <w:r/>
            <w:r>
              <w:t>Step-by-step protocol for title defense, adviser designation, change of title and adviser, proposal defense, closed-door final defense, public defense, and completion.</w:t>
            </w:r>
          </w:p>
        </w:tc>
        <w:tc>
          <w:tcPr>
            <w:tcW w:type="dxa" w:w="2835"/>
          </w:tcPr>
          <w:p>
            <w:pPr>
              <w:pStyle w:val="TableText"/>
            </w:pPr>
            <w:r/>
            <w:r>
              <w:t>"Research Protocol AY2024-2025" with the part and step, for example "Title Defense, Part I, step 2". The Protocol has no page numbers. Its fee tables are blank in the copy supplied.</w:t>
            </w:r>
          </w:p>
        </w:tc>
      </w:tr>
      <w:tr>
        <w:trPr>
          <w:cantSplit w:val="true"/>
        </w:trPr>
        <w:tc>
          <w:tcPr>
            <w:tcW w:type="dxa" w:w="2948"/>
          </w:tcPr>
          <w:p>
            <w:pPr>
              <w:pStyle w:val="TableText"/>
            </w:pPr>
            <w:r/>
            <w:r>
              <w:t>Student monitoring workbook (AC-STUDENT-MONITORING template) and Student Research Monitoring workbook</w:t>
            </w:r>
          </w:p>
        </w:tc>
        <w:tc>
          <w:tcPr>
            <w:tcW w:type="dxa" w:w="3628"/>
          </w:tcPr>
          <w:p>
            <w:pPr>
              <w:pStyle w:val="TableText"/>
            </w:pPr>
            <w:r/>
            <w:r>
              <w:t>What the office records per student and per research milestone.</w:t>
            </w:r>
          </w:p>
        </w:tc>
        <w:tc>
          <w:tcPr>
            <w:tcW w:type="dxa" w:w="2835"/>
          </w:tcPr>
          <w:p>
            <w:pPr>
              <w:pStyle w:val="TableText"/>
            </w:pPr>
            <w:r/>
            <w:r>
              <w:t>"Monitoring workbook" / "Research monitoring workbook".</w:t>
            </w:r>
          </w:p>
        </w:tc>
      </w:tr>
      <w:tr>
        <w:trPr>
          <w:cantSplit w:val="true"/>
        </w:trPr>
        <w:tc>
          <w:tcPr>
            <w:tcW w:type="dxa" w:w="2948"/>
          </w:tcPr>
          <w:p>
            <w:pPr>
              <w:pStyle w:val="TableText"/>
            </w:pPr>
            <w:r/>
            <w:r>
              <w:t>Consultation of 21 July 2026 with the Graduate School Associate Dean (the group's point person at the Graduate School)</w:t>
            </w:r>
          </w:p>
        </w:tc>
        <w:tc>
          <w:tcPr>
            <w:tcW w:type="dxa" w:w="3628"/>
          </w:tcPr>
          <w:p>
            <w:pPr>
              <w:pStyle w:val="TableText"/>
            </w:pPr>
            <w:r/>
            <w:r>
              <w:t>How enrollment, drops, withdrawals and status tagging are done in practice; what goes to the Registrar and the Business Office.</w:t>
            </w:r>
          </w:p>
        </w:tc>
        <w:tc>
          <w:tcPr>
            <w:tcW w:type="dxa" w:w="2835"/>
          </w:tcPr>
          <w:p>
            <w:pPr>
              <w:pStyle w:val="TableText"/>
            </w:pPr>
            <w:r/>
            <w:r>
              <w:t>"Consultation 21 July 2026". The transcript file is headed 22 July; the group's file list calls it 21 July and this manual follows the group's file list.</w:t>
            </w:r>
          </w:p>
        </w:tc>
      </w:tr>
      <w:tr>
        <w:trPr>
          <w:cantSplit w:val="true"/>
        </w:trPr>
        <w:tc>
          <w:tcPr>
            <w:tcW w:type="dxa" w:w="2948"/>
          </w:tcPr>
          <w:p>
            <w:pPr>
              <w:pStyle w:val="TableText"/>
            </w:pPr>
            <w:r/>
            <w:r>
              <w:t>Consultation notes and sessions of 15, 20 and 29 July 2026 (capstone adviser sessions and rehearsal, with stakeholder answers relayed in the group's checklist)</w:t>
            </w:r>
          </w:p>
        </w:tc>
        <w:tc>
          <w:tcPr>
            <w:tcW w:type="dxa" w:w="3628"/>
          </w:tcPr>
          <w:p>
            <w:pPr>
              <w:pStyle w:val="TableText"/>
            </w:pPr>
            <w:r/>
            <w:r>
              <w:t>Stakeholder-confirmed answers recorded in the group's July 20 checklist (enrollment period, course-adjustment window, source of grades, drop handling), and questions put to the group.</w:t>
            </w:r>
          </w:p>
        </w:tc>
        <w:tc>
          <w:tcPr>
            <w:tcW w:type="dxa" w:w="2835"/>
          </w:tcPr>
          <w:p>
            <w:pPr>
              <w:pStyle w:val="TableText"/>
            </w:pPr>
            <w:r/>
            <w:r>
              <w:t>"Consultation N July 2026" or "Group working notes, July 20 checklist, item N". A statement made only by the capstone adviser about how schools normally work is not treated as Graduate School practice; it is labelled Proposed.</w:t>
            </w:r>
          </w:p>
        </w:tc>
      </w:tr>
      <w:tr>
        <w:trPr>
          <w:cantSplit w:val="true"/>
        </w:trPr>
        <w:tc>
          <w:tcPr>
            <w:tcW w:type="dxa" w:w="2948"/>
          </w:tcPr>
          <w:p>
            <w:pPr>
              <w:pStyle w:val="TableText"/>
            </w:pPr>
            <w:r/>
            <w:r>
              <w:t>Group working notes (process models, BPMN flow, scenario notes)</w:t>
            </w:r>
          </w:p>
        </w:tc>
        <w:tc>
          <w:tcPr>
            <w:tcW w:type="dxa" w:w="3628"/>
          </w:tcPr>
          <w:p>
            <w:pPr>
              <w:pStyle w:val="TableText"/>
            </w:pPr>
            <w:r/>
            <w:r>
              <w:t>The sequence of steps the platform follows and the group's own proposals.</w:t>
            </w:r>
          </w:p>
        </w:tc>
        <w:tc>
          <w:tcPr>
            <w:tcW w:type="dxa" w:w="2835"/>
          </w:tcPr>
          <w:p>
            <w:pPr>
              <w:pStyle w:val="TableText"/>
            </w:pPr>
            <w:r/>
            <w:r>
              <w:t>"Group working notes, BPM accurate flow, section N". Steps that rest only on these notes are labelled Proposed.</w:t>
            </w:r>
          </w:p>
        </w:tc>
      </w:tr>
      <w:tr>
        <w:trPr>
          <w:cantSplit w:val="true"/>
        </w:trPr>
        <w:tc>
          <w:tcPr>
            <w:tcW w:type="dxa" w:w="2948"/>
          </w:tcPr>
          <w:p>
            <w:pPr>
              <w:pStyle w:val="TableText"/>
            </w:pPr>
            <w:r/>
            <w:r>
              <w:t>The platform (current build)</w:t>
            </w:r>
          </w:p>
        </w:tc>
        <w:tc>
          <w:tcPr>
            <w:tcW w:type="dxa" w:w="3628"/>
          </w:tcPr>
          <w:p>
            <w:pPr>
              <w:pStyle w:val="TableText"/>
            </w:pPr>
            <w:r/>
            <w:r>
              <w:t>What the software enforces today, used only for the paragraph "How the platform supports the process".</w:t>
            </w:r>
          </w:p>
        </w:tc>
        <w:tc>
          <w:tcPr>
            <w:tcW w:type="dxa" w:w="2835"/>
          </w:tcPr>
          <w:p>
            <w:pPr>
              <w:pStyle w:val="TableText"/>
            </w:pPr>
            <w:r/>
            <w:r>
              <w:t>"Platform (current build)".</w:t>
            </w:r>
          </w:p>
        </w:tc>
      </w:tr>
    </w:tbl>
    <w:p>
      <w:pPr>
        <w:spacing w:after="80" w:before="0"/>
      </w:pPr>
    </w:p>
    <w:p>
      <w:pPr>
        <w:pStyle w:val="Heading2"/>
      </w:pPr>
      <w:r>
        <w:t>1.6 Conventions</w:t>
      </w:r>
    </w:p>
    <w:p>
      <w:pPr>
        <w:pStyle w:val="ListBullet"/>
        <w:spacing w:after="40"/>
      </w:pPr>
      <w:r>
        <w:t>Dates are written as day month year or year-month-day. The version date of this draft is 2026-10-01.</w:t>
      </w:r>
    </w:p>
    <w:p>
      <w:pPr>
        <w:pStyle w:val="ListBullet"/>
        <w:spacing w:after="40"/>
      </w:pPr>
      <w:r>
        <w:t>"First week" and "second week" are quoted from the Handbook. How the weeks are counted is an open question (Chapter 6).</w:t>
      </w:r>
    </w:p>
    <w:p>
      <w:pPr>
        <w:pStyle w:val="ListBullet"/>
        <w:spacing w:after="40"/>
      </w:pPr>
      <w:r>
        <w:t>"GS mailbox" means the Graduate School research mailbox named in the Research Protocol (gsresearch@usls.edu.ph).</w:t>
      </w:r>
    </w:p>
    <w:p>
      <w:pPr>
        <w:pStyle w:val="ListBullet"/>
        <w:spacing w:after="40"/>
      </w:pPr>
      <w:r>
        <w:t>The Academic Coordinators, the Research Coordinator and GS staff are described by role, not by personal name, except where an official source names a person.</w:t>
      </w:r>
    </w:p>
    <w:p>
      <w:pPr>
        <w:pStyle w:val="ListBullet"/>
        <w:spacing w:after="40"/>
      </w:pPr>
      <w:r>
        <w:t>Quoted text keeps the source's wording, including its spelling.</w:t>
      </w:r>
    </w:p>
    <w:p>
      <w:pPr>
        <w:pStyle w:val="ListBullet"/>
        <w:spacing w:after="40"/>
      </w:pPr>
      <w:r>
        <w:t>In the procedure tables a dash (—) in the "Time limit" column means that no time limit is stated in the sources.</w:t>
      </w:r>
    </w:p>
    <w:p>
      <w:pPr>
        <w:pStyle w:val="Heading1"/>
      </w:pPr>
      <w:r>
        <w:t>2 Roles and responsibilities</w:t>
      </w:r>
    </w:p>
    <w:p>
      <w:r>
        <w:rPr>
          <w:b w:val="0"/>
          <w:i w:val="0"/>
        </w:rPr>
        <w:t>This chapter names the roles that appear in the procedures. Responsibilities are taken from the Handbook and the Research Protocol; where an office's routine is described only in consultation, the sentence says so.</w:t>
      </w:r>
    </w:p>
    <w:p>
      <w:pPr>
        <w:pStyle w:val="Heading2"/>
      </w:pPr>
      <w:r>
        <w:t>2.1 Graduate School roles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1814"/>
        <w:gridCol w:w="5556"/>
        <w:gridCol w:w="2268"/>
      </w:tblGrid>
      <w:tr>
        <w:trPr>
          <w:tblHeader w:val="true"/>
          <w:cantSplit w:val="true"/>
        </w:trPr>
        <w:tc>
          <w:tcPr>
            <w:tcW w:type="dxa" w:w="1814"/>
            <w:shd w:val="clear" w:color="auto" w:fill="1F4E3D"/>
          </w:tcPr>
          <w:p>
            <w:pPr>
              <w:pStyle w:val="TableHead"/>
            </w:pPr>
            <w:r/>
            <w:r>
              <w:t>Role</w:t>
            </w:r>
          </w:p>
        </w:tc>
        <w:tc>
          <w:tcPr>
            <w:tcW w:type="dxa" w:w="5556"/>
            <w:shd w:val="clear" w:color="auto" w:fill="1F4E3D"/>
          </w:tcPr>
          <w:p>
            <w:pPr>
              <w:pStyle w:val="TableHead"/>
            </w:pPr>
            <w:r/>
            <w:r>
              <w:t>What the role does (as stated in the sources)</w:t>
            </w:r>
          </w:p>
        </w:tc>
        <w:tc>
          <w:tcPr>
            <w:tcW w:type="dxa" w:w="2268"/>
            <w:shd w:val="clear" w:color="auto" w:fill="1F4E3D"/>
          </w:tcPr>
          <w:p>
            <w:pPr>
              <w:pStyle w:val="TableHead"/>
            </w:pPr>
            <w:r/>
            <w:r>
              <w:t>Source</w:t>
            </w:r>
          </w:p>
        </w:tc>
      </w:tr>
      <w:tr>
        <w:tc>
          <w:tcPr>
            <w:tcW w:type="dxa" w:w="1814"/>
          </w:tcPr>
          <w:p>
            <w:pPr>
              <w:pStyle w:val="TableText"/>
            </w:pPr>
            <w:r/>
            <w:r>
              <w:rPr>
                <w:b/>
              </w:rPr>
              <w:t>Graduate School Dean</w:t>
            </w:r>
          </w:p>
        </w:tc>
        <w:tc>
          <w:tcPr>
            <w:tcW w:type="dxa" w:w="5556"/>
          </w:tcPr>
          <w:p>
            <w:pPr>
              <w:pStyle w:val="TableText"/>
            </w:pPr>
            <w:r/>
            <w:r>
              <w:t>Appoints the research adviser; with the Associate Dean and the Research Coordinator makes the final decision on adviser assignments. Approves a student's written request to withdraw subjects. Receives written leave-of-absence requests; with the Associate Dean or an authorised representative informs the Registrar of a leave. Endorses a returning student's written intent to the Registrar. Gives written permission for cross-enrollment. Approves corrections of grades explained in writing by the professor. Approves master's option transfers after the Academic Coordinator's recommendation and the Associate Dean's endorsement. Requests special classes through the Vice Chancellor for Academic Affairs. Signs the appointment of the research adviser (Form 3.1). Receives the publication request (Form 12) for approval. Officially accepts the project paper, thesis or dissertation for graduation.</w:t>
            </w:r>
          </w:p>
        </w:tc>
        <w:tc>
          <w:tcPr>
            <w:tcW w:type="dxa" w:w="2268"/>
          </w:tcPr>
          <w:p>
            <w:pPr>
              <w:pStyle w:val="TableText"/>
            </w:pPr>
            <w:r/>
            <w:r>
              <w:t>Handbook 2022-2023, pp. 48-50, 52-53, 58-59, 75, 77; Research Protocol AY2024-2025, Designation of the Research Adviser, Part I</w:t>
            </w:r>
          </w:p>
        </w:tc>
      </w:tr>
      <w:tr>
        <w:tc>
          <w:tcPr>
            <w:tcW w:type="dxa" w:w="1814"/>
          </w:tcPr>
          <w:p>
            <w:pPr>
              <w:pStyle w:val="TableText"/>
            </w:pPr>
            <w:r/>
            <w:r>
              <w:rPr>
                <w:b/>
              </w:rPr>
              <w:t>Associate Dean</w:t>
            </w:r>
          </w:p>
        </w:tc>
        <w:tc>
          <w:tcPr>
            <w:tcW w:type="dxa" w:w="5556"/>
          </w:tcPr>
          <w:p>
            <w:pPr>
              <w:pStyle w:val="TableText"/>
            </w:pPr>
            <w:r/>
            <w:r>
              <w:t>Gives written approval for adding subjects in the first week. Endorses master's transfers. Signs Form 3.1. Takes part in deliberating adviser designation and change of adviser, and sits on the GS Research Committee. Is copied on the public defense announcement.</w:t>
            </w:r>
          </w:p>
        </w:tc>
        <w:tc>
          <w:tcPr>
            <w:tcW w:type="dxa" w:w="2268"/>
          </w:tcPr>
          <w:p>
            <w:pPr>
              <w:pStyle w:val="TableText"/>
            </w:pPr>
            <w:r/>
            <w:r>
              <w:t>Handbook 2022-2023, pp. 48-49, 59, 62, 72, 75; Research Protocol AY2024-2025, Designation of the Research Adviser, Part I, step 3</w:t>
            </w:r>
          </w:p>
        </w:tc>
      </w:tr>
      <w:tr>
        <w:tc>
          <w:tcPr>
            <w:tcW w:type="dxa" w:w="1814"/>
          </w:tcPr>
          <w:p>
            <w:pPr>
              <w:pStyle w:val="TableText"/>
            </w:pPr>
            <w:r/>
            <w:r>
              <w:rPr>
                <w:b/>
              </w:rPr>
              <w:t>Academic Coordinator (AC)</w:t>
            </w:r>
          </w:p>
        </w:tc>
        <w:tc>
          <w:tcPr>
            <w:tcW w:type="dxa" w:w="5556"/>
          </w:tcPr>
          <w:p>
            <w:pPr>
              <w:pStyle w:val="TableText"/>
            </w:pPr>
            <w:r/>
            <w:r>
              <w:t>One coordinator per program cluster (Arts and Sciences, Business, Education, Engineering and Technology, Nursing). Carries out academic evaluation and electronic advising at enrollment. Recommends master's transfers and requests special classes through the Dean. Evaluates master's students before the comprehensive examination and advises them to enroll in residency for it. Endorses the title defense application (Form 1) and recommends panel members. Notes the adviser application by email or letter to the Research Coordinator. Sits on the GS Research Committee. In practice advises a student which offered subjects to take, tags the student's subject status, and decides which subjects are offered and which professor teaches them.</w:t>
            </w:r>
          </w:p>
        </w:tc>
        <w:tc>
          <w:tcPr>
            <w:tcW w:type="dxa" w:w="2268"/>
          </w:tcPr>
          <w:p>
            <w:pPr>
              <w:pStyle w:val="TableText"/>
            </w:pPr>
            <w:r/>
            <w:r>
              <w:t>Handbook 2022-2023, pp. 14-15, 47-48, 56, 59-60, 75; Research Protocol AY2024-2025, Title Defense, Part I, steps 2-4; Consultation 21 July 2026</w:t>
            </w:r>
          </w:p>
        </w:tc>
      </w:tr>
      <w:tr>
        <w:tc>
          <w:tcPr>
            <w:tcW w:type="dxa" w:w="1814"/>
          </w:tcPr>
          <w:p>
            <w:pPr>
              <w:pStyle w:val="TableText"/>
            </w:pPr>
            <w:r/>
            <w:r>
              <w:rPr>
                <w:b/>
              </w:rPr>
              <w:t>Research Coordinator (RC)</w:t>
            </w:r>
          </w:p>
        </w:tc>
        <w:tc>
          <w:tcPr>
            <w:tcW w:type="dxa" w:w="5556"/>
          </w:tcPr>
          <w:p>
            <w:pPr>
              <w:pStyle w:val="TableText"/>
            </w:pPr>
            <w:r/>
            <w:r>
              <w:t>Receives research forms at the GS mailbox. Nominates panel members after deliberation with the GS Research Committee, informs panel and student of the schedule, sends the comments and evaluation sheets, emails the appointment of the adviser, prepares and posts the public defense announcement, and coordinates the publication review. With the Dean and the Associate Dean decides adviser assignments.</w:t>
            </w:r>
          </w:p>
        </w:tc>
        <w:tc>
          <w:tcPr>
            <w:tcW w:type="dxa" w:w="2268"/>
          </w:tcPr>
          <w:p>
            <w:pPr>
              <w:pStyle w:val="TableText"/>
            </w:pPr>
            <w:r/>
            <w:r>
              <w:t>Handbook 2022-2023, pp. 59-63, 69-75; Research Protocol AY2024-2025, Title Defense, Designation of the Research Adviser, Proposal Defense, Public Defense</w:t>
            </w:r>
          </w:p>
        </w:tc>
      </w:tr>
      <w:tr>
        <w:tc>
          <w:tcPr>
            <w:tcW w:type="dxa" w:w="1814"/>
          </w:tcPr>
          <w:p>
            <w:pPr>
              <w:pStyle w:val="TableText"/>
            </w:pPr>
            <w:r/>
            <w:r>
              <w:rPr>
                <w:b/>
              </w:rPr>
              <w:t>Graduate School staff (GS Office) and Graduate Program Secretary</w:t>
            </w:r>
          </w:p>
        </w:tc>
        <w:tc>
          <w:tcPr>
            <w:tcW w:type="dxa" w:w="5556"/>
          </w:tcPr>
          <w:p>
            <w:pPr>
              <w:pStyle w:val="TableText"/>
            </w:pPr>
            <w:r/>
            <w:r>
              <w:t>Coordinate panel schedules and reserve venues with the panel chair, process campus entry for public defenses, receive comprehensive examination applications and the Incomplete Grade Removal Form, issue the Advice Slip for adding subjects, coordinate the Approval Sheet (Form 10), and receive the student's completion documents. In practice they also record handoffs, tag subject status, and forward requests to the Dean.</w:t>
            </w:r>
          </w:p>
        </w:tc>
        <w:tc>
          <w:tcPr>
            <w:tcW w:type="dxa" w:w="2268"/>
          </w:tcPr>
          <w:p>
            <w:pPr>
              <w:pStyle w:val="TableText"/>
            </w:pPr>
            <w:r/>
            <w:r>
              <w:t>Handbook 2022-2023, pp. 49, 54, 56-57, 60, 68, 73; Consultation 21 July 2026</w:t>
            </w:r>
          </w:p>
        </w:tc>
      </w:tr>
      <w:tr>
        <w:tc>
          <w:tcPr>
            <w:tcW w:type="dxa" w:w="1814"/>
          </w:tcPr>
          <w:p>
            <w:pPr>
              <w:pStyle w:val="TableText"/>
            </w:pPr>
            <w:r/>
            <w:r>
              <w:rPr>
                <w:b/>
              </w:rPr>
              <w:t>Faculty and Research Adviser</w:t>
            </w:r>
          </w:p>
        </w:tc>
        <w:tc>
          <w:tcPr>
            <w:tcW w:type="dxa" w:w="5556"/>
          </w:tcPr>
          <w:p>
            <w:pPr>
              <w:pStyle w:val="TableText"/>
            </w:pPr>
            <w:r/>
            <w:r>
              <w:t>The adviser monitors the research according to the timetable (Form 3.2), reviews proposals and chapters, gives technical and moral guidance, conducts mock defenses when necessary, attends the defense of the advisee, attends Graduate School orientations, endorses defenses (Form 4, Form 4.3), records panel comments, and verifies that panel recommendations are reflected in the final manuscript. The adviser is bound only to advising and may not be the student's editor.</w:t>
            </w:r>
          </w:p>
        </w:tc>
        <w:tc>
          <w:tcPr>
            <w:tcW w:type="dxa" w:w="2268"/>
          </w:tcPr>
          <w:p>
            <w:pPr>
              <w:pStyle w:val="TableText"/>
            </w:pPr>
            <w:r/>
            <w:r>
              <w:t>Handbook 2022-2023, p. 59; Research Protocol AY2024-2025, Proposal Defense and Final Defense sections</w:t>
            </w:r>
          </w:p>
        </w:tc>
      </w:tr>
      <w:tr>
        <w:tc>
          <w:tcPr>
            <w:tcW w:type="dxa" w:w="1814"/>
          </w:tcPr>
          <w:p>
            <w:pPr>
              <w:pStyle w:val="TableText"/>
            </w:pPr>
            <w:r/>
            <w:r>
              <w:rPr>
                <w:b/>
              </w:rPr>
              <w:t>Panel chair and panel members</w:t>
            </w:r>
          </w:p>
        </w:tc>
        <w:tc>
          <w:tcPr>
            <w:tcW w:type="dxa" w:w="5556"/>
          </w:tcPr>
          <w:p>
            <w:pPr>
              <w:pStyle w:val="TableText"/>
            </w:pPr>
            <w:r/>
            <w:r>
              <w:t>The panel chair hosts the defense, prepares online details or reserves the room through the GS Office, consolidates the comments sheets and emails them within the first working day, and announces the result. A thesis panel has a chair, a content specialist, a method specialist and an external panel member who joins from the proposal defense onward; a dissertation panel has two content specialists. A project paper panel has a chair and two members (one content specialist, one method specialist).</w:t>
            </w:r>
          </w:p>
        </w:tc>
        <w:tc>
          <w:tcPr>
            <w:tcW w:type="dxa" w:w="2268"/>
          </w:tcPr>
          <w:p>
            <w:pPr>
              <w:pStyle w:val="TableText"/>
            </w:pPr>
            <w:r/>
            <w:r>
              <w:t>Handbook 2022-2023, pp. 60-61, 63-66, 70-73; Research Protocol AY2024-2025, Title Defense, Part I, step 4</w:t>
            </w:r>
          </w:p>
        </w:tc>
      </w:tr>
      <w:tr>
        <w:tc>
          <w:tcPr>
            <w:tcW w:type="dxa" w:w="1814"/>
          </w:tcPr>
          <w:p>
            <w:pPr>
              <w:pStyle w:val="TableText"/>
            </w:pPr>
            <w:r/>
            <w:r>
              <w:rPr>
                <w:b/>
              </w:rPr>
              <w:t>Statistician</w:t>
            </w:r>
          </w:p>
        </w:tc>
        <w:tc>
          <w:tcPr>
            <w:tcW w:type="dxa" w:w="5556"/>
          </w:tcPr>
          <w:p>
            <w:pPr>
              <w:pStyle w:val="TableText"/>
            </w:pPr>
            <w:r/>
            <w:r>
              <w:t>Consults with the student on quantitative studies and accomplishes the Statistical Consultation Form (Form 4.1) before the proposal defense.</w:t>
            </w:r>
          </w:p>
        </w:tc>
        <w:tc>
          <w:tcPr>
            <w:tcW w:type="dxa" w:w="2268"/>
          </w:tcPr>
          <w:p>
            <w:pPr>
              <w:pStyle w:val="TableText"/>
            </w:pPr>
            <w:r/>
            <w:r>
              <w:t>Handbook 2022-2023, p. 63</w:t>
            </w:r>
          </w:p>
        </w:tc>
      </w:tr>
      <w:tr>
        <w:tc>
          <w:tcPr>
            <w:tcW w:type="dxa" w:w="1814"/>
          </w:tcPr>
          <w:p>
            <w:pPr>
              <w:pStyle w:val="TableText"/>
            </w:pPr>
            <w:r/>
            <w:r>
              <w:rPr>
                <w:b/>
              </w:rPr>
              <w:t>Editor</w:t>
            </w:r>
          </w:p>
        </w:tc>
        <w:tc>
          <w:tcPr>
            <w:tcW w:type="dxa" w:w="5556"/>
          </w:tcPr>
          <w:p>
            <w:pPr>
              <w:pStyle w:val="TableText"/>
            </w:pPr>
            <w:r/>
            <w:r>
              <w:t>Chosen by the student from the pool of editors affiliated with the University so that the USLS Institutional Research Format (IRF) is applied; issues the Editor Certification (Form 9).</w:t>
            </w:r>
          </w:p>
        </w:tc>
        <w:tc>
          <w:tcPr>
            <w:tcW w:type="dxa" w:w="2268"/>
          </w:tcPr>
          <w:p>
            <w:pPr>
              <w:pStyle w:val="TableText"/>
            </w:pPr>
            <w:r/>
            <w:r>
              <w:t>Handbook 2022-2023, p. 68</w:t>
            </w:r>
          </w:p>
        </w:tc>
      </w:tr>
      <w:tr>
        <w:tc>
          <w:tcPr>
            <w:tcW w:type="dxa" w:w="1814"/>
          </w:tcPr>
          <w:p>
            <w:pPr>
              <w:pStyle w:val="TableText"/>
            </w:pPr>
            <w:r/>
            <w:r>
              <w:rPr>
                <w:b/>
              </w:rPr>
              <w:t>Professor of the subject</w:t>
            </w:r>
          </w:p>
        </w:tc>
        <w:tc>
          <w:tcPr>
            <w:tcW w:type="dxa" w:w="5556"/>
          </w:tcPr>
          <w:p>
            <w:pPr>
              <w:pStyle w:val="TableText"/>
            </w:pPr>
            <w:r/>
            <w:r>
              <w:t>Drops a student from a course when unexcused absences exceed 20% of the scheduled hours; submits grades within one year after the course was enrolled; explains a change of grade in writing to the Dean.</w:t>
            </w:r>
          </w:p>
        </w:tc>
        <w:tc>
          <w:tcPr>
            <w:tcW w:type="dxa" w:w="2268"/>
          </w:tcPr>
          <w:p>
            <w:pPr>
              <w:pStyle w:val="TableText"/>
            </w:pPr>
            <w:r/>
            <w:r>
              <w:t>Handbook 2022-2023, pp. 49, 52</w:t>
            </w:r>
          </w:p>
        </w:tc>
      </w:tr>
      <w:tr>
        <w:tc>
          <w:tcPr>
            <w:tcW w:type="dxa" w:w="1814"/>
          </w:tcPr>
          <w:p>
            <w:pPr>
              <w:pStyle w:val="TableText"/>
            </w:pPr>
            <w:r/>
            <w:r>
              <w:rPr>
                <w:b/>
              </w:rPr>
              <w:t>Research ethics office (Social Research Ethics Review Office and committee; the Protocol calls it RERC/RERO)</w:t>
            </w:r>
          </w:p>
        </w:tc>
        <w:tc>
          <w:tcPr>
            <w:tcW w:type="dxa" w:w="5556"/>
          </w:tcPr>
          <w:p>
            <w:pPr>
              <w:pStyle w:val="TableText"/>
            </w:pPr>
            <w:r/>
            <w:r>
              <w:t>Receives the Application for Ethics Review (Form 5.2) with the revised manuscript and Technical Review Certificate, and issues the ethics clearance.</w:t>
            </w:r>
          </w:p>
        </w:tc>
        <w:tc>
          <w:tcPr>
            <w:tcW w:type="dxa" w:w="2268"/>
          </w:tcPr>
          <w:p>
            <w:pPr>
              <w:pStyle w:val="TableText"/>
            </w:pPr>
            <w:r/>
            <w:r>
              <w:t>Handbook 2022-2023, pp. 23, 65; Research Protocol AY2024-2025, Proposal Defense, Part III</w:t>
            </w:r>
          </w:p>
        </w:tc>
      </w:tr>
      <w:tr>
        <w:tc>
          <w:tcPr>
            <w:tcW w:type="dxa" w:w="1814"/>
          </w:tcPr>
          <w:p>
            <w:pPr>
              <w:pStyle w:val="TableText"/>
            </w:pPr>
            <w:r/>
            <w:r>
              <w:rPr>
                <w:b/>
              </w:rPr>
              <w:t>Publication and Engagement Office (PEO)</w:t>
            </w:r>
          </w:p>
        </w:tc>
        <w:tc>
          <w:tcPr>
            <w:tcW w:type="dxa" w:w="5556"/>
          </w:tcPr>
          <w:p>
            <w:pPr>
              <w:pStyle w:val="TableText"/>
            </w:pPr>
            <w:r/>
            <w:r>
              <w:t>Provides the approved list of journals for the publication requirement.</w:t>
            </w:r>
          </w:p>
        </w:tc>
        <w:tc>
          <w:tcPr>
            <w:tcW w:type="dxa" w:w="2268"/>
          </w:tcPr>
          <w:p>
            <w:pPr>
              <w:pStyle w:val="TableText"/>
            </w:pPr>
            <w:r/>
            <w:r>
              <w:t>Handbook 2022-2023, p. 75</w:t>
            </w:r>
          </w:p>
        </w:tc>
      </w:tr>
      <w:tr>
        <w:tc>
          <w:tcPr>
            <w:tcW w:type="dxa" w:w="1814"/>
          </w:tcPr>
          <w:p>
            <w:pPr>
              <w:pStyle w:val="TableText"/>
            </w:pPr>
            <w:r/>
            <w:r>
              <w:rPr>
                <w:b/>
              </w:rPr>
              <w:t>Student</w:t>
            </w:r>
          </w:p>
        </w:tc>
        <w:tc>
          <w:tcPr>
            <w:tcW w:type="dxa" w:w="5556"/>
          </w:tcPr>
          <w:p>
            <w:pPr>
              <w:pStyle w:val="TableText"/>
            </w:pPr>
            <w:r/>
            <w:r>
              <w:t>Starts each application, prepares the forms and manuscripts, emails them to the right office, meets the lead times, settles the defense fees, and keeps the copy of every approval.</w:t>
            </w:r>
          </w:p>
        </w:tc>
        <w:tc>
          <w:tcPr>
            <w:tcW w:type="dxa" w:w="2268"/>
          </w:tcPr>
          <w:p>
            <w:pPr>
              <w:pStyle w:val="TableText"/>
            </w:pPr>
            <w:r/>
            <w:r>
              <w:t>Handbook 2022-2023, pp. 47-77; Research Protocol AY2024-2025</w:t>
            </w:r>
          </w:p>
        </w:tc>
      </w:tr>
    </w:tbl>
    <w:p>
      <w:pPr>
        <w:spacing w:after="80" w:before="0"/>
      </w:pPr>
    </w:p>
    <w:p>
      <w:pPr>
        <w:pStyle w:val="Heading2"/>
      </w:pPr>
      <w:r>
        <w:t>2.2 External offices and what is handed to them</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1701"/>
        <w:gridCol w:w="2608"/>
        <w:gridCol w:w="3175"/>
        <w:gridCol w:w="2154"/>
      </w:tblGrid>
      <w:tr>
        <w:trPr>
          <w:tblHeader w:val="true"/>
          <w:cantSplit w:val="true"/>
        </w:trPr>
        <w:tc>
          <w:tcPr>
            <w:tcW w:type="dxa" w:w="1701"/>
            <w:shd w:val="clear" w:color="auto" w:fill="1F4E3D"/>
          </w:tcPr>
          <w:p>
            <w:pPr>
              <w:pStyle w:val="TableHead"/>
            </w:pPr>
            <w:r/>
            <w:r>
              <w:t>External office</w:t>
            </w:r>
          </w:p>
        </w:tc>
        <w:tc>
          <w:tcPr>
            <w:tcW w:type="dxa" w:w="2608"/>
            <w:shd w:val="clear" w:color="auto" w:fill="1F4E3D"/>
          </w:tcPr>
          <w:p>
            <w:pPr>
              <w:pStyle w:val="TableHead"/>
            </w:pPr>
            <w:r/>
            <w:r>
              <w:t>Role in the lifecycle</w:t>
            </w:r>
          </w:p>
        </w:tc>
        <w:tc>
          <w:tcPr>
            <w:tcW w:type="dxa" w:w="3175"/>
            <w:shd w:val="clear" w:color="auto" w:fill="1F4E3D"/>
          </w:tcPr>
          <w:p>
            <w:pPr>
              <w:pStyle w:val="TableHead"/>
            </w:pPr>
            <w:r/>
            <w:r>
              <w:t>What the Graduate School hands over or receives</w:t>
            </w:r>
          </w:p>
        </w:tc>
        <w:tc>
          <w:tcPr>
            <w:tcW w:type="dxa" w:w="2154"/>
            <w:shd w:val="clear" w:color="auto" w:fill="1F4E3D"/>
          </w:tcPr>
          <w:p>
            <w:pPr>
              <w:pStyle w:val="TableHead"/>
            </w:pPr>
            <w:r/>
            <w:r>
              <w:t>Source</w:t>
            </w:r>
          </w:p>
        </w:tc>
      </w:tr>
      <w:tr>
        <w:tc>
          <w:tcPr>
            <w:tcW w:type="dxa" w:w="1701"/>
          </w:tcPr>
          <w:p>
            <w:pPr>
              <w:pStyle w:val="TableText"/>
            </w:pPr>
            <w:r/>
            <w:r>
              <w:rPr>
                <w:b/>
              </w:rPr>
              <w:t>University Registrar</w:t>
            </w:r>
          </w:p>
        </w:tc>
        <w:tc>
          <w:tcPr>
            <w:tcW w:type="dxa" w:w="2608"/>
          </w:tcPr>
          <w:p>
            <w:pPr>
              <w:pStyle w:val="TableText"/>
            </w:pPr>
            <w:r/>
            <w:r>
              <w:t>Repository of records of academic performance; ensures compliance with CHED requirements; facilitates registration or transfer; certifies the eligibility of candidates for graduation and honors. In practice processes withdrawals in the registration system (AIMS).</w:t>
            </w:r>
          </w:p>
        </w:tc>
        <w:tc>
          <w:tcPr>
            <w:tcW w:type="dxa" w:w="3175"/>
          </w:tcPr>
          <w:p>
            <w:pPr>
              <w:pStyle w:val="TableText"/>
            </w:pPr>
            <w:r/>
            <w:r>
              <w:t>Receives the Withdrawal Form copy, the notice of an approved leave with any refund amount, the Dean's endorsement of a returning student's written intent, cross-enrollment approvals, the graduation endorsement list. Sends enrollment and grade information that the Graduate School can see in AIMS.</w:t>
            </w:r>
          </w:p>
        </w:tc>
        <w:tc>
          <w:tcPr>
            <w:tcW w:type="dxa" w:w="2154"/>
          </w:tcPr>
          <w:p>
            <w:pPr>
              <w:pStyle w:val="TableText"/>
            </w:pPr>
            <w:r/>
            <w:r>
              <w:t>Handbook 2022-2023, pp. 32, 49-50, 53; Consultation 21 July 2026</w:t>
            </w:r>
          </w:p>
        </w:tc>
      </w:tr>
      <w:tr>
        <w:tc>
          <w:tcPr>
            <w:tcW w:type="dxa" w:w="1701"/>
          </w:tcPr>
          <w:p>
            <w:pPr>
              <w:pStyle w:val="TableText"/>
            </w:pPr>
            <w:r/>
            <w:r>
              <w:rPr>
                <w:b/>
              </w:rPr>
              <w:t>Business Office and Cashiers</w:t>
            </w:r>
          </w:p>
        </w:tc>
        <w:tc>
          <w:tcPr>
            <w:tcW w:type="dxa" w:w="2608"/>
          </w:tcPr>
          <w:p>
            <w:pPr>
              <w:pStyle w:val="TableText"/>
            </w:pPr>
            <w:r/>
            <w:r>
              <w:t>Take enrollment payments, un-tag an enrollment form for adding subjects, release statements of account, execute promissory notes, receive the comprehensive examination fee, charge the withdrawal fee on a leave.</w:t>
            </w:r>
          </w:p>
        </w:tc>
        <w:tc>
          <w:tcPr>
            <w:tcW w:type="dxa" w:w="3175"/>
          </w:tcPr>
          <w:p>
            <w:pPr>
              <w:pStyle w:val="TableText"/>
            </w:pPr>
            <w:r/>
            <w:r>
              <w:t>The Graduate School does not compute fees. It tells the student to go to the Business Office and keeps the receipt.</w:t>
            </w:r>
          </w:p>
        </w:tc>
        <w:tc>
          <w:tcPr>
            <w:tcW w:type="dxa" w:w="2154"/>
          </w:tcPr>
          <w:p>
            <w:pPr>
              <w:pStyle w:val="TableText"/>
            </w:pPr>
            <w:r/>
            <w:r>
              <w:t>Handbook 2022-2023, pp. 47, 49, 51, 53, 57</w:t>
            </w:r>
          </w:p>
        </w:tc>
      </w:tr>
      <w:tr>
        <w:tc>
          <w:tcPr>
            <w:tcW w:type="dxa" w:w="1701"/>
          </w:tcPr>
          <w:p>
            <w:pPr>
              <w:pStyle w:val="TableText"/>
            </w:pPr>
            <w:r/>
            <w:r>
              <w:rPr>
                <w:b/>
              </w:rPr>
              <w:t>Accounting Office</w:t>
            </w:r>
          </w:p>
        </w:tc>
        <w:tc>
          <w:tcPr>
            <w:tcW w:type="dxa" w:w="2608"/>
          </w:tcPr>
          <w:p>
            <w:pPr>
              <w:pStyle w:val="TableText"/>
            </w:pPr>
            <w:r/>
            <w:r>
              <w:t>Receives a copy of the accomplished Withdrawal Form. In practice the Business Office then arranges any tuition adjustment after the Registrar has processed the withdrawal.</w:t>
            </w:r>
          </w:p>
        </w:tc>
        <w:tc>
          <w:tcPr>
            <w:tcW w:type="dxa" w:w="3175"/>
          </w:tcPr>
          <w:p>
            <w:pPr>
              <w:pStyle w:val="TableText"/>
            </w:pPr>
            <w:r/>
            <w:r>
              <w:t>A copy of the Withdrawal Form.</w:t>
            </w:r>
          </w:p>
        </w:tc>
        <w:tc>
          <w:tcPr>
            <w:tcW w:type="dxa" w:w="2154"/>
          </w:tcPr>
          <w:p>
            <w:pPr>
              <w:pStyle w:val="TableText"/>
            </w:pPr>
            <w:r/>
            <w:r>
              <w:t>Handbook 2022-2023, p. 49; Consultation 21 July 2026</w:t>
            </w:r>
          </w:p>
        </w:tc>
      </w:tr>
      <w:tr>
        <w:tc>
          <w:tcPr>
            <w:tcW w:type="dxa" w:w="1701"/>
          </w:tcPr>
          <w:p>
            <w:pPr>
              <w:pStyle w:val="TableText"/>
            </w:pPr>
            <w:r/>
            <w:r>
              <w:rPr>
                <w:b/>
              </w:rPr>
              <w:t>Admissions and Scholarship Administration Office (ASAO) and Guidance and Evaluation Center (GEC)</w:t>
            </w:r>
          </w:p>
        </w:tc>
        <w:tc>
          <w:tcPr>
            <w:tcW w:type="dxa" w:w="2608"/>
          </w:tcPr>
          <w:p>
            <w:pPr>
              <w:pStyle w:val="TableText"/>
            </w:pPr>
            <w:r/>
            <w:r>
              <w:t>Receive letters of intent, run the entrance examination and admission requirements through the AIMS applicant account.</w:t>
            </w:r>
          </w:p>
        </w:tc>
        <w:tc>
          <w:tcPr>
            <w:tcW w:type="dxa" w:w="3175"/>
          </w:tcPr>
          <w:p>
            <w:pPr>
              <w:pStyle w:val="TableText"/>
            </w:pPr>
            <w:r/>
            <w:r>
              <w:t>Nothing is handed over by the Graduate School. The Graduate School receives the admitted-student information.</w:t>
            </w:r>
          </w:p>
        </w:tc>
        <w:tc>
          <w:tcPr>
            <w:tcW w:type="dxa" w:w="2154"/>
          </w:tcPr>
          <w:p>
            <w:pPr>
              <w:pStyle w:val="TableText"/>
            </w:pPr>
            <w:r/>
            <w:r>
              <w:t>Handbook 2022-2023, pp. 45-47</w:t>
            </w:r>
          </w:p>
        </w:tc>
      </w:tr>
      <w:tr>
        <w:tc>
          <w:tcPr>
            <w:tcW w:type="dxa" w:w="1701"/>
          </w:tcPr>
          <w:p>
            <w:pPr>
              <w:pStyle w:val="TableText"/>
            </w:pPr>
            <w:r/>
            <w:r>
              <w:rPr>
                <w:b/>
              </w:rPr>
              <w:t>Information Technology Services (ITS) and AIMS</w:t>
            </w:r>
          </w:p>
        </w:tc>
        <w:tc>
          <w:tcPr>
            <w:tcW w:type="dxa" w:w="2608"/>
          </w:tcPr>
          <w:p>
            <w:pPr>
              <w:pStyle w:val="TableText"/>
            </w:pPr>
            <w:r/>
            <w:r>
              <w:t>AIMS is the University's student information system. The group was told that the platform cannot be integrated with AIMS. In practice the Graduate School can ask ITS for an Excel export.</w:t>
            </w:r>
          </w:p>
        </w:tc>
        <w:tc>
          <w:tcPr>
            <w:tcW w:type="dxa" w:w="3175"/>
          </w:tcPr>
          <w:p>
            <w:pPr>
              <w:pStyle w:val="TableText"/>
            </w:pPr>
            <w:r/>
            <w:r>
              <w:t>No live data exchange; files and manual entry only.</w:t>
            </w:r>
          </w:p>
        </w:tc>
        <w:tc>
          <w:tcPr>
            <w:tcW w:type="dxa" w:w="2154"/>
          </w:tcPr>
          <w:p>
            <w:pPr>
              <w:pStyle w:val="TableText"/>
            </w:pPr>
            <w:r/>
            <w:r>
              <w:t>Consultation 21 July 2026</w:t>
            </w:r>
          </w:p>
        </w:tc>
      </w:tr>
      <w:tr>
        <w:tc>
          <w:tcPr>
            <w:tcW w:type="dxa" w:w="1701"/>
          </w:tcPr>
          <w:p>
            <w:pPr>
              <w:pStyle w:val="TableText"/>
            </w:pPr>
            <w:r/>
            <w:r>
              <w:rPr>
                <w:b/>
              </w:rPr>
              <w:t>Vice Chancellor for Academic Affairs (VCAA)</w:t>
            </w:r>
          </w:p>
        </w:tc>
        <w:tc>
          <w:tcPr>
            <w:tcW w:type="dxa" w:w="2608"/>
          </w:tcPr>
          <w:p>
            <w:pPr>
              <w:pStyle w:val="TableText"/>
            </w:pPr>
            <w:r/>
            <w:r>
              <w:t>Receives requests for special classes from the Academic Coordinator through the Dean.</w:t>
            </w:r>
          </w:p>
        </w:tc>
        <w:tc>
          <w:tcPr>
            <w:tcW w:type="dxa" w:w="3175"/>
          </w:tcPr>
          <w:p>
            <w:pPr>
              <w:pStyle w:val="TableText"/>
            </w:pPr>
            <w:r/>
            <w:r>
              <w:t>Special class request.</w:t>
            </w:r>
          </w:p>
        </w:tc>
        <w:tc>
          <w:tcPr>
            <w:tcW w:type="dxa" w:w="2154"/>
          </w:tcPr>
          <w:p>
            <w:pPr>
              <w:pStyle w:val="TableText"/>
            </w:pPr>
            <w:r/>
            <w:r>
              <w:t>Handbook 2022-2023, p. 48</w:t>
            </w:r>
          </w:p>
        </w:tc>
      </w:tr>
    </w:tbl>
    <w:p>
      <w:pPr>
        <w:spacing w:after="80" w:before="0"/>
      </w:pPr>
    </w:p>
    <w:p>
      <w:pPr>
        <w:pStyle w:val="Heading1"/>
      </w:pPr>
      <w:r>
        <w:t>3 Records and sources of record</w:t>
      </w:r>
    </w:p>
    <w:p>
      <w:r>
        <w:rPr>
          <w:b w:val="0"/>
          <w:i w:val="0"/>
        </w:rPr>
        <w:t>The Graduate School keeps the following records. Chapter 4 says, for each process, which record is produced and where it goes.</w:t>
      </w:r>
    </w:p>
    <w:p>
      <w:pPr>
        <w:pStyle w:val="Heading2"/>
      </w:pPr>
      <w:r>
        <w:t>3.1 Records the office maintains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2041"/>
        <w:gridCol w:w="1587"/>
        <w:gridCol w:w="4309"/>
        <w:gridCol w:w="1701"/>
      </w:tblGrid>
      <w:tr>
        <w:trPr>
          <w:tblHeader w:val="true"/>
          <w:cantSplit w:val="true"/>
        </w:trPr>
        <w:tc>
          <w:tcPr>
            <w:tcW w:type="dxa" w:w="2041"/>
            <w:shd w:val="clear" w:color="auto" w:fill="1F4E3D"/>
          </w:tcPr>
          <w:p>
            <w:pPr>
              <w:pStyle w:val="TableHead"/>
            </w:pPr>
            <w:r/>
            <w:r>
              <w:t>Record</w:t>
            </w:r>
          </w:p>
        </w:tc>
        <w:tc>
          <w:tcPr>
            <w:tcW w:type="dxa" w:w="1587"/>
            <w:shd w:val="clear" w:color="auto" w:fill="1F4E3D"/>
          </w:tcPr>
          <w:p>
            <w:pPr>
              <w:pStyle w:val="TableHead"/>
            </w:pPr>
            <w:r/>
            <w:r>
              <w:t>Kept by</w:t>
            </w:r>
          </w:p>
        </w:tc>
        <w:tc>
          <w:tcPr>
            <w:tcW w:type="dxa" w:w="4309"/>
            <w:shd w:val="clear" w:color="auto" w:fill="1F4E3D"/>
          </w:tcPr>
          <w:p>
            <w:pPr>
              <w:pStyle w:val="TableHead"/>
            </w:pPr>
            <w:r/>
            <w:r>
              <w:t>What it holds</w:t>
            </w:r>
          </w:p>
        </w:tc>
        <w:tc>
          <w:tcPr>
            <w:tcW w:type="dxa" w:w="1701"/>
            <w:shd w:val="clear" w:color="auto" w:fill="1F4E3D"/>
          </w:tcPr>
          <w:p>
            <w:pPr>
              <w:pStyle w:val="TableHead"/>
            </w:pPr>
            <w:r/>
            <w:r>
              <w:t>Source</w:t>
            </w:r>
          </w:p>
        </w:tc>
      </w:tr>
      <w:tr>
        <w:tc>
          <w:tcPr>
            <w:tcW w:type="dxa" w:w="2041"/>
          </w:tcPr>
          <w:p>
            <w:pPr>
              <w:pStyle w:val="TableText"/>
            </w:pPr>
            <w:r/>
            <w:r>
              <w:rPr>
                <w:b/>
              </w:rPr>
              <w:t>Student monitoring workbook (one sheet per program and curriculum year)</w:t>
            </w:r>
          </w:p>
        </w:tc>
        <w:tc>
          <w:tcPr>
            <w:tcW w:type="dxa" w:w="1587"/>
          </w:tcPr>
          <w:p>
            <w:pPr>
              <w:pStyle w:val="TableText"/>
            </w:pPr>
            <w:r/>
            <w:r>
              <w:t>Academic Coordinator</w:t>
            </w:r>
          </w:p>
        </w:tc>
        <w:tc>
          <w:tcPr>
            <w:tcW w:type="dxa" w:w="4309"/>
          </w:tcPr>
          <w:p>
            <w:pPr>
              <w:pStyle w:val="TableText"/>
            </w:pPr>
            <w:r/>
            <w:r>
              <w:t>One row per student: academic year of entry, name, ID number, program and track (for example thesis or non-thesis), year, completed units under Basic, Major and Cognate courses with totals, the comprehensive examination result, the thesis, capstone or dissertation status, and a note column. It is the full curriculum plan for each student and shows which subjects are taken.</w:t>
            </w:r>
          </w:p>
        </w:tc>
        <w:tc>
          <w:tcPr>
            <w:tcW w:type="dxa" w:w="1701"/>
          </w:tcPr>
          <w:p>
            <w:pPr>
              <w:pStyle w:val="TableText"/>
            </w:pPr>
            <w:r/>
            <w:r>
              <w:t>Monitoring workbook (AC-STUDENT-MONITORING template); Consultation 21 July 2026</w:t>
            </w:r>
          </w:p>
        </w:tc>
      </w:tr>
      <w:tr>
        <w:tc>
          <w:tcPr>
            <w:tcW w:type="dxa" w:w="2041"/>
          </w:tcPr>
          <w:p>
            <w:pPr>
              <w:pStyle w:val="TableText"/>
            </w:pPr>
            <w:r/>
            <w:r>
              <w:rPr>
                <w:b/>
              </w:rPr>
              <w:t>Student research monitoring workbook</w:t>
            </w:r>
          </w:p>
        </w:tc>
        <w:tc>
          <w:tcPr>
            <w:tcW w:type="dxa" w:w="1587"/>
          </w:tcPr>
          <w:p>
            <w:pPr>
              <w:pStyle w:val="TableText"/>
            </w:pPr>
            <w:r/>
            <w:r>
              <w:t>Research Coordinator and GS Office</w:t>
            </w:r>
          </w:p>
        </w:tc>
        <w:tc>
          <w:tcPr>
            <w:tcW w:type="dxa" w:w="4309"/>
          </w:tcPr>
          <w:p>
            <w:pPr>
              <w:pStyle w:val="TableText"/>
            </w:pPr>
            <w:r/>
            <w:r>
              <w:t>One row per student: academic year first enrolled in the capstone or thesis, current academic year and semester, name, program, research adviser, and dated milestones: endorsement for title defense, schedule of title defense, approved title (from Form 2), endorsement for research proposal, schedule of proposal, technical clearance, submission for ethics review, ethics clearance, endorsement for final defense, schedule of final defense, schedule of public defense, Turnitin scan certificate, editor's certification, final approval sheet, and publication.</w:t>
            </w:r>
          </w:p>
        </w:tc>
        <w:tc>
          <w:tcPr>
            <w:tcW w:type="dxa" w:w="1701"/>
          </w:tcPr>
          <w:p>
            <w:pPr>
              <w:pStyle w:val="TableText"/>
            </w:pPr>
            <w:r/>
            <w:r>
              <w:t>Research monitoring workbook</w:t>
            </w:r>
          </w:p>
        </w:tc>
      </w:tr>
      <w:tr>
        <w:tc>
          <w:tcPr>
            <w:tcW w:type="dxa" w:w="2041"/>
          </w:tcPr>
          <w:p>
            <w:pPr>
              <w:pStyle w:val="TableText"/>
            </w:pPr>
            <w:r/>
            <w:r>
              <w:rPr>
                <w:b/>
              </w:rPr>
              <w:t>Class list or enrolled list per subject offering</w:t>
            </w:r>
          </w:p>
        </w:tc>
        <w:tc>
          <w:tcPr>
            <w:tcW w:type="dxa" w:w="1587"/>
          </w:tcPr>
          <w:p>
            <w:pPr>
              <w:pStyle w:val="TableText"/>
            </w:pPr>
            <w:r/>
            <w:r>
              <w:t>Academic Coordinator and GS staff</w:t>
            </w:r>
          </w:p>
        </w:tc>
        <w:tc>
          <w:tcPr>
            <w:tcW w:type="dxa" w:w="4309"/>
          </w:tcPr>
          <w:p>
            <w:pPr>
              <w:pStyle w:val="TableText"/>
            </w:pPr>
            <w:r/>
            <w:r>
              <w:t>Student first name, last name and ID number for each subject offered in a term; built by importing a class list or by searching for a student and tagging the student as enrolled. The group was told there is no standard Excel file, so the fields are defined by the office.</w:t>
            </w:r>
          </w:p>
        </w:tc>
        <w:tc>
          <w:tcPr>
            <w:tcW w:type="dxa" w:w="1701"/>
          </w:tcPr>
          <w:p>
            <w:pPr>
              <w:pStyle w:val="TableText"/>
            </w:pPr>
            <w:r/>
            <w:r>
              <w:t>Consultation 21 July 2026</w:t>
            </w:r>
          </w:p>
        </w:tc>
      </w:tr>
      <w:tr>
        <w:tc>
          <w:tcPr>
            <w:tcW w:type="dxa" w:w="2041"/>
          </w:tcPr>
          <w:p>
            <w:pPr>
              <w:pStyle w:val="TableText"/>
            </w:pPr>
            <w:r/>
            <w:r>
              <w:rPr>
                <w:b/>
              </w:rPr>
              <w:t>Subject status per student and subject</w:t>
            </w:r>
          </w:p>
        </w:tc>
        <w:tc>
          <w:tcPr>
            <w:tcW w:type="dxa" w:w="1587"/>
          </w:tcPr>
          <w:p>
            <w:pPr>
              <w:pStyle w:val="TableText"/>
            </w:pPr>
            <w:r/>
            <w:r>
              <w:t>Academic Coordinator and GS staff</w:t>
            </w:r>
          </w:p>
        </w:tc>
        <w:tc>
          <w:tcPr>
            <w:tcW w:type="dxa" w:w="4309"/>
          </w:tcPr>
          <w:p>
            <w:pPr>
              <w:pStyle w:val="TableText"/>
            </w:pPr>
            <w:r/>
            <w:r>
              <w:t>One status per student-subject pair: not taken, enrolled, taken, dropped, withdrawn, and (as reported by faculty) incomplete or failed. The status is a tag; it is not a grade.</w:t>
            </w:r>
          </w:p>
        </w:tc>
        <w:tc>
          <w:tcPr>
            <w:tcW w:type="dxa" w:w="1701"/>
          </w:tcPr>
          <w:p>
            <w:pPr>
              <w:pStyle w:val="TableText"/>
            </w:pPr>
            <w:r/>
            <w:r>
              <w:t>Consultation 21 July 2026</w:t>
            </w:r>
          </w:p>
        </w:tc>
      </w:tr>
      <w:tr>
        <w:tc>
          <w:tcPr>
            <w:tcW w:type="dxa" w:w="2041"/>
          </w:tcPr>
          <w:p>
            <w:pPr>
              <w:pStyle w:val="TableText"/>
            </w:pPr>
            <w:r/>
            <w:r>
              <w:rPr>
                <w:b/>
              </w:rPr>
              <w:t>Subject offering list per term</w:t>
            </w:r>
          </w:p>
        </w:tc>
        <w:tc>
          <w:tcPr>
            <w:tcW w:type="dxa" w:w="1587"/>
          </w:tcPr>
          <w:p>
            <w:pPr>
              <w:pStyle w:val="TableText"/>
            </w:pPr>
            <w:r/>
            <w:r>
              <w:t>Academic Coordinator</w:t>
            </w:r>
          </w:p>
        </w:tc>
        <w:tc>
          <w:tcPr>
            <w:tcW w:type="dxa" w:w="4309"/>
          </w:tcPr>
          <w:p>
            <w:pPr>
              <w:pStyle w:val="TableText"/>
            </w:pPr>
            <w:r/>
            <w:r>
              <w:t>Program, subject code, subject, faculty and schedule for each subject offered in a semester.</w:t>
            </w:r>
          </w:p>
        </w:tc>
        <w:tc>
          <w:tcPr>
            <w:tcW w:type="dxa" w:w="1701"/>
          </w:tcPr>
          <w:p>
            <w:pPr>
              <w:pStyle w:val="TableText"/>
            </w:pPr>
            <w:r/>
            <w:r>
              <w:t>Group working notes, July 20 checklist, items 35 and 69 (stakeholder-identified fields)</w:t>
            </w:r>
          </w:p>
        </w:tc>
      </w:tr>
      <w:tr>
        <w:tc>
          <w:tcPr>
            <w:tcW w:type="dxa" w:w="2041"/>
          </w:tcPr>
          <w:p>
            <w:pPr>
              <w:pStyle w:val="TableText"/>
            </w:pPr>
            <w:r/>
            <w:r>
              <w:rPr>
                <w:b/>
              </w:rPr>
              <w:t>Forms and approvals</w:t>
            </w:r>
          </w:p>
        </w:tc>
        <w:tc>
          <w:tcPr>
            <w:tcW w:type="dxa" w:w="1587"/>
          </w:tcPr>
          <w:p>
            <w:pPr>
              <w:pStyle w:val="TableText"/>
            </w:pPr>
            <w:r/>
            <w:r>
              <w:t>Research Coordinator and GS Office</w:t>
            </w:r>
          </w:p>
        </w:tc>
        <w:tc>
          <w:tcPr>
            <w:tcW w:type="dxa" w:w="4309"/>
          </w:tcPr>
          <w:p>
            <w:pPr>
              <w:pStyle w:val="TableText"/>
            </w:pPr>
            <w:r/>
            <w:r>
              <w:t>Forms 1 to 13 and their sub-forms (Appendix A), kept with the e-signatures and dates, and the Withdrawal Form, the Incomplete Grade Removal Form, the comprehensive examination application and the Advice Slip.</w:t>
            </w:r>
          </w:p>
        </w:tc>
        <w:tc>
          <w:tcPr>
            <w:tcW w:type="dxa" w:w="1701"/>
          </w:tcPr>
          <w:p>
            <w:pPr>
              <w:pStyle w:val="TableText"/>
            </w:pPr>
            <w:r/>
            <w:r>
              <w:t>Handbook 2022-2023, pp. 49, 54, 56-57, 59-75; Research Protocol AY2024-2025</w:t>
            </w:r>
          </w:p>
        </w:tc>
      </w:tr>
      <w:tr>
        <w:tc>
          <w:tcPr>
            <w:tcW w:type="dxa" w:w="2041"/>
          </w:tcPr>
          <w:p>
            <w:pPr>
              <w:pStyle w:val="TableText"/>
            </w:pPr>
            <w:r/>
            <w:r>
              <w:rPr>
                <w:b/>
              </w:rPr>
              <w:t>Defense fee receipts</w:t>
            </w:r>
          </w:p>
        </w:tc>
        <w:tc>
          <w:tcPr>
            <w:tcW w:type="dxa" w:w="1587"/>
          </w:tcPr>
          <w:p>
            <w:pPr>
              <w:pStyle w:val="TableText"/>
            </w:pPr>
            <w:r/>
            <w:r>
              <w:t>GS mailbox</w:t>
            </w:r>
          </w:p>
        </w:tc>
        <w:tc>
          <w:tcPr>
            <w:tcW w:type="dxa" w:w="4309"/>
          </w:tcPr>
          <w:p>
            <w:pPr>
              <w:pStyle w:val="TableText"/>
            </w:pPr>
            <w:r/>
            <w:r>
              <w:t>The student's screenshot or deposit slip, sent within the first working day after a defense, with the subject line format LAST NAME_type of defense_receipt.</w:t>
            </w:r>
          </w:p>
        </w:tc>
        <w:tc>
          <w:tcPr>
            <w:tcW w:type="dxa" w:w="1701"/>
          </w:tcPr>
          <w:p>
            <w:pPr>
              <w:pStyle w:val="TableText"/>
            </w:pPr>
            <w:r/>
            <w:r>
              <w:t>Research Protocol AY2024-2025, Title Defense, Part III, step 4</w:t>
            </w:r>
          </w:p>
        </w:tc>
      </w:tr>
      <w:tr>
        <w:tc>
          <w:tcPr>
            <w:tcW w:type="dxa" w:w="2041"/>
          </w:tcPr>
          <w:p>
            <w:pPr>
              <w:pStyle w:val="TableText"/>
            </w:pPr>
            <w:r/>
            <w:r>
              <w:rPr>
                <w:b/>
              </w:rPr>
              <w:t>Leave, withdrawal, return and residency requests</w:t>
            </w:r>
          </w:p>
        </w:tc>
        <w:tc>
          <w:tcPr>
            <w:tcW w:type="dxa" w:w="1587"/>
          </w:tcPr>
          <w:p>
            <w:pPr>
              <w:pStyle w:val="TableText"/>
            </w:pPr>
            <w:r/>
            <w:r>
              <w:t>Graduate School Dean's office and GS staff</w:t>
            </w:r>
          </w:p>
        </w:tc>
        <w:tc>
          <w:tcPr>
            <w:tcW w:type="dxa" w:w="4309"/>
          </w:tcPr>
          <w:p>
            <w:pPr>
              <w:pStyle w:val="TableText"/>
            </w:pPr>
            <w:r/>
            <w:r>
              <w:t>The written request and the decision, the effective term, and the copy sent to the Registrar.</w:t>
            </w:r>
          </w:p>
        </w:tc>
        <w:tc>
          <w:tcPr>
            <w:tcW w:type="dxa" w:w="1701"/>
          </w:tcPr>
          <w:p>
            <w:pPr>
              <w:pStyle w:val="TableText"/>
            </w:pPr>
            <w:r/>
            <w:r>
              <w:t>Handbook 2022-2023, pp. 49, 52-53</w:t>
            </w:r>
          </w:p>
        </w:tc>
      </w:tr>
      <w:tr>
        <w:tc>
          <w:tcPr>
            <w:tcW w:type="dxa" w:w="2041"/>
          </w:tcPr>
          <w:p>
            <w:pPr>
              <w:pStyle w:val="TableText"/>
            </w:pPr>
            <w:r/>
            <w:r>
              <w:rPr>
                <w:b/>
              </w:rPr>
              <w:t>Practicum and graduation files</w:t>
            </w:r>
          </w:p>
        </w:tc>
        <w:tc>
          <w:tcPr>
            <w:tcW w:type="dxa" w:w="1587"/>
          </w:tcPr>
          <w:p>
            <w:pPr>
              <w:pStyle w:val="TableText"/>
            </w:pPr>
            <w:r/>
            <w:r>
              <w:t>Academic Coordinator and GS staff</w:t>
            </w:r>
          </w:p>
        </w:tc>
        <w:tc>
          <w:tcPr>
            <w:tcW w:type="dxa" w:w="4309"/>
          </w:tcPr>
          <w:p>
            <w:pPr>
              <w:pStyle w:val="TableText"/>
            </w:pPr>
            <w:r/>
            <w:r>
              <w:t>Practicum agreement (MOA), hours and certificates; the graduation candidate list and endorsement list. Their structure is the group's proposal (see Chapters 4.17 and 4.18).</w:t>
            </w:r>
          </w:p>
        </w:tc>
        <w:tc>
          <w:tcPr>
            <w:tcW w:type="dxa" w:w="1701"/>
          </w:tcPr>
          <w:p>
            <w:pPr>
              <w:pStyle w:val="TableText"/>
            </w:pPr>
            <w:r/>
            <w:r>
              <w:t>Group working notes, BPM accurate flow, sections 11 and 12</w:t>
            </w:r>
          </w:p>
        </w:tc>
      </w:tr>
    </w:tbl>
    <w:p>
      <w:pPr>
        <w:spacing w:after="80" w:before="0"/>
      </w:pPr>
    </w:p>
    <w:p>
      <w:pPr>
        <w:pStyle w:val="Heading2"/>
      </w:pPr>
      <w:r>
        <w:t>3.2 Official source for each kind of data</w:t>
      </w:r>
    </w:p>
    <w:p>
      <w:r>
        <w:rPr>
          <w:b w:val="0"/>
          <w:i w:val="0"/>
        </w:rPr>
        <w:t>AIMS and the University Registrar are the official record for enrollment and grades. The platform is a monitoring and coordination layer: it records what the Graduate School decides and tracks, and it does not replace the official record.</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2268"/>
        <w:gridCol w:w="2494"/>
        <w:gridCol w:w="4876"/>
      </w:tblGrid>
      <w:tr>
        <w:trPr>
          <w:tblHeader w:val="true"/>
          <w:cantSplit w:val="true"/>
        </w:trPr>
        <w:tc>
          <w:tcPr>
            <w:tcW w:type="dxa" w:w="2268"/>
            <w:shd w:val="clear" w:color="auto" w:fill="1F4E3D"/>
          </w:tcPr>
          <w:p>
            <w:pPr>
              <w:pStyle w:val="TableHead"/>
            </w:pPr>
            <w:r/>
            <w:r>
              <w:t>Kind of data</w:t>
            </w:r>
          </w:p>
        </w:tc>
        <w:tc>
          <w:tcPr>
            <w:tcW w:type="dxa" w:w="2494"/>
            <w:shd w:val="clear" w:color="auto" w:fill="1F4E3D"/>
          </w:tcPr>
          <w:p>
            <w:pPr>
              <w:pStyle w:val="TableHead"/>
            </w:pPr>
            <w:r/>
            <w:r>
              <w:t>Official record</w:t>
            </w:r>
          </w:p>
        </w:tc>
        <w:tc>
          <w:tcPr>
            <w:tcW w:type="dxa" w:w="4876"/>
            <w:shd w:val="clear" w:color="auto" w:fill="1F4E3D"/>
          </w:tcPr>
          <w:p>
            <w:pPr>
              <w:pStyle w:val="TableHead"/>
            </w:pPr>
            <w:r/>
            <w:r>
              <w:t>What the Graduate School and the platform do with it</w:t>
            </w:r>
          </w:p>
        </w:tc>
      </w:tr>
      <w:tr>
        <w:tc>
          <w:tcPr>
            <w:tcW w:type="dxa" w:w="2268"/>
          </w:tcPr>
          <w:p>
            <w:pPr>
              <w:pStyle w:val="TableText"/>
            </w:pPr>
            <w:r/>
            <w:r>
              <w:rPr>
                <w:b/>
              </w:rPr>
              <w:t>Student identity, student number and institutional email</w:t>
            </w:r>
          </w:p>
        </w:tc>
        <w:tc>
          <w:tcPr>
            <w:tcW w:type="dxa" w:w="2494"/>
          </w:tcPr>
          <w:p>
            <w:pPr>
              <w:pStyle w:val="TableText"/>
            </w:pPr>
            <w:r/>
            <w:r>
              <w:t>University Registrar, through AIMS</w:t>
            </w:r>
          </w:p>
        </w:tc>
        <w:tc>
          <w:tcPr>
            <w:tcW w:type="dxa" w:w="4876"/>
          </w:tcPr>
          <w:p>
            <w:pPr>
              <w:pStyle w:val="TableText"/>
            </w:pPr>
            <w:r/>
            <w:r>
              <w:t>The Graduate School does not generate student numbers or emails. It receives them from the monitoring workbook or an AIMS export. Basis: student numbers are created by the Registrar (Consultation 15 July 2026, recorded in Group working notes, July 20 checklist, items 3 and 4).</w:t>
            </w:r>
          </w:p>
        </w:tc>
      </w:tr>
      <w:tr>
        <w:tc>
          <w:tcPr>
            <w:tcW w:type="dxa" w:w="2268"/>
          </w:tcPr>
          <w:p>
            <w:pPr>
              <w:pStyle w:val="TableText"/>
            </w:pPr>
            <w:r/>
            <w:r>
              <w:rPr>
                <w:b/>
              </w:rPr>
              <w:t>Enrollment and enrolled subjects</w:t>
            </w:r>
          </w:p>
        </w:tc>
        <w:tc>
          <w:tcPr>
            <w:tcW w:type="dxa" w:w="2494"/>
          </w:tcPr>
          <w:p>
            <w:pPr>
              <w:pStyle w:val="TableText"/>
            </w:pPr>
            <w:r/>
            <w:r>
              <w:t>AIMS and the University Registrar</w:t>
            </w:r>
          </w:p>
        </w:tc>
        <w:tc>
          <w:tcPr>
            <w:tcW w:type="dxa" w:w="4876"/>
          </w:tcPr>
          <w:p>
            <w:pPr>
              <w:pStyle w:val="TableText"/>
            </w:pPr>
            <w:r/>
            <w:r>
              <w:t>The student enrolls in AIMS after advising by the Academic Coordinator. The Academic Coordinator also tags the subject as enrolled in the Graduate School's record (Consultation 21 July 2026). The platform is a monitoring record; it does not enroll students.</w:t>
            </w:r>
          </w:p>
        </w:tc>
      </w:tr>
      <w:tr>
        <w:tc>
          <w:tcPr>
            <w:tcW w:type="dxa" w:w="2268"/>
          </w:tcPr>
          <w:p>
            <w:pPr>
              <w:pStyle w:val="TableText"/>
            </w:pPr>
            <w:r/>
            <w:r>
              <w:rPr>
                <w:b/>
              </w:rPr>
              <w:t>Grades and subject completion</w:t>
            </w:r>
          </w:p>
        </w:tc>
        <w:tc>
          <w:tcPr>
            <w:tcW w:type="dxa" w:w="2494"/>
          </w:tcPr>
          <w:p>
            <w:pPr>
              <w:pStyle w:val="TableText"/>
            </w:pPr>
            <w:r/>
            <w:r>
              <w:t>AIMS and the University Registrar (faculty submit grades through the Registrar's process)</w:t>
            </w:r>
          </w:p>
        </w:tc>
        <w:tc>
          <w:tcPr>
            <w:tcW w:type="dxa" w:w="4876"/>
          </w:tcPr>
          <w:p>
            <w:pPr>
              <w:pStyle w:val="TableText"/>
            </w:pPr>
            <w:r/>
            <w:r>
              <w:t>The Graduate School does not create or alter grades. It may tag subject status for monitoring (Consultation 21 July 2026; Group working notes, July 20 checklist, items 21 and 80).</w:t>
            </w:r>
          </w:p>
        </w:tc>
      </w:tr>
      <w:tr>
        <w:tc>
          <w:tcPr>
            <w:tcW w:type="dxa" w:w="2268"/>
          </w:tcPr>
          <w:p>
            <w:pPr>
              <w:pStyle w:val="TableText"/>
            </w:pPr>
            <w:r/>
            <w:r>
              <w:rPr>
                <w:b/>
              </w:rPr>
              <w:t>Fees, payments, refunds and promissory notes</w:t>
            </w:r>
          </w:p>
        </w:tc>
        <w:tc>
          <w:tcPr>
            <w:tcW w:type="dxa" w:w="2494"/>
          </w:tcPr>
          <w:p>
            <w:pPr>
              <w:pStyle w:val="TableText"/>
            </w:pPr>
            <w:r/>
            <w:r>
              <w:t>Business Office and Cashiers</w:t>
            </w:r>
          </w:p>
        </w:tc>
        <w:tc>
          <w:tcPr>
            <w:tcW w:type="dxa" w:w="4876"/>
          </w:tcPr>
          <w:p>
            <w:pPr>
              <w:pStyle w:val="TableText"/>
            </w:pPr>
            <w:r/>
            <w:r>
              <w:t>The Graduate School never computes fees. It may show the student the Handbook's percentages as information.</w:t>
            </w:r>
          </w:p>
        </w:tc>
      </w:tr>
      <w:tr>
        <w:tc>
          <w:tcPr>
            <w:tcW w:type="dxa" w:w="2268"/>
          </w:tcPr>
          <w:p>
            <w:pPr>
              <w:pStyle w:val="TableText"/>
            </w:pPr>
            <w:r/>
            <w:r>
              <w:rPr>
                <w:b/>
              </w:rPr>
              <w:t>Approval of leave, withdrawal, dropping and readmission</w:t>
            </w:r>
          </w:p>
        </w:tc>
        <w:tc>
          <w:tcPr>
            <w:tcW w:type="dxa" w:w="2494"/>
          </w:tcPr>
          <w:p>
            <w:pPr>
              <w:pStyle w:val="TableText"/>
            </w:pPr>
            <w:r/>
            <w:r>
              <w:t>The decision is the Graduate School Dean's; the official record of the change of status is the Registrar's</w:t>
            </w:r>
          </w:p>
        </w:tc>
        <w:tc>
          <w:tcPr>
            <w:tcW w:type="dxa" w:w="4876"/>
          </w:tcPr>
          <w:p>
            <w:pPr>
              <w:pStyle w:val="TableText"/>
            </w:pPr>
            <w:r/>
            <w:r>
              <w:t>The Graduate School records the request and the decision, sends a copy to the Registrar, and waits for the Registrar to process it (Handbook 2022-2023, pp. 49, 53; Consultation 21 July 2026).</w:t>
            </w:r>
          </w:p>
        </w:tc>
      </w:tr>
      <w:tr>
        <w:tc>
          <w:tcPr>
            <w:tcW w:type="dxa" w:w="2268"/>
          </w:tcPr>
          <w:p>
            <w:pPr>
              <w:pStyle w:val="TableText"/>
            </w:pPr>
            <w:r/>
            <w:r>
              <w:rPr>
                <w:b/>
              </w:rPr>
              <w:t>Research milestones, forms, panels and schedules</w:t>
            </w:r>
          </w:p>
        </w:tc>
        <w:tc>
          <w:tcPr>
            <w:tcW w:type="dxa" w:w="2494"/>
          </w:tcPr>
          <w:p>
            <w:pPr>
              <w:pStyle w:val="TableText"/>
            </w:pPr>
            <w:r/>
            <w:r>
              <w:t>Graduate School (Research Coordinator and GS Office)</w:t>
            </w:r>
          </w:p>
        </w:tc>
        <w:tc>
          <w:tcPr>
            <w:tcW w:type="dxa" w:w="4876"/>
          </w:tcPr>
          <w:p>
            <w:pPr>
              <w:pStyle w:val="TableText"/>
            </w:pPr>
            <w:r/>
            <w:r>
              <w:t>The platform and the research monitoring workbook are the working record for these milestones. They do not exist in AIMS.</w:t>
            </w:r>
          </w:p>
        </w:tc>
      </w:tr>
      <w:tr>
        <w:tc>
          <w:tcPr>
            <w:tcW w:type="dxa" w:w="2268"/>
          </w:tcPr>
          <w:p>
            <w:pPr>
              <w:pStyle w:val="TableText"/>
            </w:pPr>
            <w:r/>
            <w:r>
              <w:rPr>
                <w:b/>
              </w:rPr>
              <w:t>Comprehensive examination result</w:t>
            </w:r>
          </w:p>
        </w:tc>
        <w:tc>
          <w:tcPr>
            <w:tcW w:type="dxa" w:w="2494"/>
          </w:tcPr>
          <w:p>
            <w:pPr>
              <w:pStyle w:val="TableText"/>
            </w:pPr>
            <w:r/>
            <w:r>
              <w:t>Graduate School (Academic Coordinator and Graduate Program Secretary)</w:t>
            </w:r>
          </w:p>
        </w:tc>
        <w:tc>
          <w:tcPr>
            <w:tcW w:type="dxa" w:w="4876"/>
          </w:tcPr>
          <w:p>
            <w:pPr>
              <w:pStyle w:val="TableText"/>
            </w:pPr>
            <w:r/>
            <w:r>
              <w:t>Recorded in the COMPRE column of the monitoring workbook.</w:t>
            </w:r>
          </w:p>
        </w:tc>
      </w:tr>
      <w:tr>
        <w:tc>
          <w:tcPr>
            <w:tcW w:type="dxa" w:w="2268"/>
          </w:tcPr>
          <w:p>
            <w:pPr>
              <w:pStyle w:val="TableText"/>
            </w:pPr>
            <w:r/>
            <w:r>
              <w:rPr>
                <w:b/>
              </w:rPr>
              <w:t>Graduation eligibility, honors and diploma</w:t>
            </w:r>
          </w:p>
        </w:tc>
        <w:tc>
          <w:tcPr>
            <w:tcW w:type="dxa" w:w="2494"/>
          </w:tcPr>
          <w:p>
            <w:pPr>
              <w:pStyle w:val="TableText"/>
            </w:pPr>
            <w:r/>
            <w:r>
              <w:t>University Registrar certifies eligibility; the Dean endorses</w:t>
            </w:r>
          </w:p>
        </w:tc>
        <w:tc>
          <w:tcPr>
            <w:tcW w:type="dxa" w:w="4876"/>
          </w:tcPr>
          <w:p>
            <w:pPr>
              <w:pStyle w:val="TableText"/>
            </w:pPr>
            <w:r/>
            <w:r>
              <w:t>The Graduate School compiles the endorsement list; the Registrar certifies and issues.</w:t>
            </w:r>
          </w:p>
        </w:tc>
      </w:tr>
    </w:tbl>
    <w:p>
      <w:pPr>
        <w:spacing w:after="80" w:before="0"/>
      </w:pPr>
    </w:p>
    <w:p>
      <w:pPr>
        <w:pStyle w:val="Heading2"/>
      </w:pPr>
      <w:r>
        <w:t>3.3 Principles for keeping records</w:t>
      </w:r>
    </w:p>
    <w:p>
      <w:pPr>
        <w:pStyle w:val="ListBullet"/>
        <w:spacing w:after="40"/>
      </w:pPr>
      <w:r>
        <w:t>An official value (student number, enrollment, grade) is never retyped from memory or overwritten by a Graduate School note. If the Graduate School record and the official record differ, the official record is followed and the difference is flagged for follow-up (Proposed; based on the group's consultation of 20 July 2026).</w:t>
      </w:r>
    </w:p>
    <w:p>
      <w:pPr>
        <w:pStyle w:val="ListBullet"/>
        <w:spacing w:after="40"/>
      </w:pPr>
      <w:r>
        <w:t>Every change to a record is traceable to a person, a date and a reason (Proposed).</w:t>
      </w:r>
    </w:p>
    <w:p>
      <w:pPr>
        <w:pStyle w:val="ListBullet"/>
        <w:spacing w:after="40"/>
      </w:pPr>
      <w:r>
        <w:t>A document is checked for completeness by the office. The office does not certify the academic quality, authenticity or ethical validity of its content (Proposed; Group working notes, July 20 checklist, item 42).</w:t>
      </w:r>
    </w:p>
    <w:p>
      <w:pPr>
        <w:pStyle w:val="ListBullet"/>
        <w:spacing w:after="40"/>
      </w:pPr>
      <w:r>
        <w:t>Unresolved duplicate students are identified by student number, not by name, and do not count in totals until resolved (Proposed; Group working notes, July 20 checklist, items 13 and 14).</w:t>
      </w:r>
    </w:p>
    <w:p>
      <w:pPr>
        <w:pStyle w:val="Heading1"/>
      </w:pPr>
      <w:r>
        <w:t>4 Process chapters</w:t>
      </w:r>
    </w:p>
    <w:p>
      <w:r>
        <w:rPr>
          <w:b w:val="0"/>
          <w:i w:val="0"/>
        </w:rPr>
        <w:t>Each of the nineteen sections below follows the same layout: purpose, who is involved, trigger and preconditions, the procedure as a numbered table, the business rules table, exceptions, records, and how the platform supports the process together with any difference between the platform and the rule. Rule statuses are Official, Practice and Proposed (see 1.4). Rows marked Practice or Proposed are the ones the Graduate School is asked to confirm.</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1134"/>
        <w:gridCol w:w="6010"/>
        <w:gridCol w:w="1360"/>
        <w:gridCol w:w="1134"/>
      </w:tblGrid>
      <w:tr>
        <w:trPr>
          <w:tblHeader w:val="true"/>
          <w:cantSplit w:val="true"/>
        </w:trPr>
        <w:tc>
          <w:tcPr>
            <w:tcW w:type="dxa" w:w="1134"/>
            <w:shd w:val="clear" w:color="auto" w:fill="1F4E3D"/>
          </w:tcPr>
          <w:p>
            <w:pPr>
              <w:pStyle w:val="TableHead"/>
            </w:pPr>
            <w:r/>
            <w:r>
              <w:t>Section</w:t>
            </w:r>
          </w:p>
        </w:tc>
        <w:tc>
          <w:tcPr>
            <w:tcW w:type="dxa" w:w="6009"/>
            <w:shd w:val="clear" w:color="auto" w:fill="1F4E3D"/>
          </w:tcPr>
          <w:p>
            <w:pPr>
              <w:pStyle w:val="TableHead"/>
            </w:pPr>
            <w:r/>
            <w:r>
              <w:t>Process</w:t>
            </w:r>
          </w:p>
        </w:tc>
        <w:tc>
          <w:tcPr>
            <w:tcW w:type="dxa" w:w="1361"/>
            <w:shd w:val="clear" w:color="auto" w:fill="1F4E3D"/>
          </w:tcPr>
          <w:p>
            <w:pPr>
              <w:pStyle w:val="TableHead"/>
            </w:pPr>
            <w:r/>
            <w:r>
              <w:t>Rule prefix</w:t>
            </w:r>
          </w:p>
        </w:tc>
        <w:tc>
          <w:tcPr>
            <w:tcW w:type="dxa" w:w="1134"/>
            <w:shd w:val="clear" w:color="auto" w:fill="1F4E3D"/>
          </w:tcPr>
          <w:p>
            <w:pPr>
              <w:pStyle w:val="TableHead"/>
            </w:pPr>
            <w:r/>
            <w:r>
              <w:t>Rules</w:t>
            </w:r>
          </w:p>
        </w:tc>
      </w:tr>
      <w:tr>
        <w:trPr>
          <w:cantSplit w:val="true"/>
        </w:trPr>
        <w:tc>
          <w:tcPr>
            <w:tcW w:type="dxa" w:w="1134"/>
          </w:tcPr>
          <w:p>
            <w:pPr>
              <w:pStyle w:val="TableText"/>
            </w:pPr>
            <w:r/>
            <w:r>
              <w:t>4.1</w:t>
            </w:r>
          </w:p>
        </w:tc>
        <w:tc>
          <w:tcPr>
            <w:tcW w:type="dxa" w:w="6009"/>
          </w:tcPr>
          <w:p>
            <w:pPr>
              <w:pStyle w:val="TableText"/>
            </w:pPr>
            <w:r/>
            <w:r>
              <w:t>Admission handoff and onboarding</w:t>
            </w:r>
          </w:p>
        </w:tc>
        <w:tc>
          <w:tcPr>
            <w:tcW w:type="dxa" w:w="1361"/>
          </w:tcPr>
          <w:p>
            <w:pPr>
              <w:pStyle w:val="TableText"/>
            </w:pPr>
            <w:r/>
            <w:r>
              <w:t>ADM</w:t>
            </w:r>
          </w:p>
        </w:tc>
        <w:tc>
          <w:tcPr>
            <w:tcW w:type="dxa" w:w="1134"/>
          </w:tcPr>
          <w:p>
            <w:pPr>
              <w:pStyle w:val="TableText"/>
            </w:pPr>
            <w:r/>
            <w:r>
              <w:t>13</w:t>
            </w:r>
          </w:p>
        </w:tc>
      </w:tr>
      <w:tr>
        <w:trPr>
          <w:cantSplit w:val="true"/>
        </w:trPr>
        <w:tc>
          <w:tcPr>
            <w:tcW w:type="dxa" w:w="1134"/>
          </w:tcPr>
          <w:p>
            <w:pPr>
              <w:pStyle w:val="TableText"/>
            </w:pPr>
            <w:r/>
            <w:r>
              <w:t>4.2</w:t>
            </w:r>
          </w:p>
        </w:tc>
        <w:tc>
          <w:tcPr>
            <w:tcW w:type="dxa" w:w="6009"/>
          </w:tcPr>
          <w:p>
            <w:pPr>
              <w:pStyle w:val="TableText"/>
            </w:pPr>
            <w:r/>
            <w:r>
              <w:t>Enrollment and academic load</w:t>
            </w:r>
          </w:p>
        </w:tc>
        <w:tc>
          <w:tcPr>
            <w:tcW w:type="dxa" w:w="1361"/>
          </w:tcPr>
          <w:p>
            <w:pPr>
              <w:pStyle w:val="TableText"/>
            </w:pPr>
            <w:r/>
            <w:r>
              <w:t>ENR</w:t>
            </w:r>
          </w:p>
        </w:tc>
        <w:tc>
          <w:tcPr>
            <w:tcW w:type="dxa" w:w="1134"/>
          </w:tcPr>
          <w:p>
            <w:pPr>
              <w:pStyle w:val="TableText"/>
            </w:pPr>
            <w:r/>
            <w:r>
              <w:t>13</w:t>
            </w:r>
          </w:p>
        </w:tc>
      </w:tr>
      <w:tr>
        <w:trPr>
          <w:cantSplit w:val="true"/>
        </w:trPr>
        <w:tc>
          <w:tcPr>
            <w:tcW w:type="dxa" w:w="1134"/>
          </w:tcPr>
          <w:p>
            <w:pPr>
              <w:pStyle w:val="TableText"/>
            </w:pPr>
            <w:r/>
            <w:r>
              <w:t>4.3</w:t>
            </w:r>
          </w:p>
        </w:tc>
        <w:tc>
          <w:tcPr>
            <w:tcW w:type="dxa" w:w="6009"/>
          </w:tcPr>
          <w:p>
            <w:pPr>
              <w:pStyle w:val="TableText"/>
            </w:pPr>
            <w:r/>
            <w:r>
              <w:t>Course offering and course adjustments (change and add of subject)</w:t>
            </w:r>
          </w:p>
        </w:tc>
        <w:tc>
          <w:tcPr>
            <w:tcW w:type="dxa" w:w="1361"/>
          </w:tcPr>
          <w:p>
            <w:pPr>
              <w:pStyle w:val="TableText"/>
            </w:pPr>
            <w:r/>
            <w:r>
              <w:t>CRS</w:t>
            </w:r>
          </w:p>
        </w:tc>
        <w:tc>
          <w:tcPr>
            <w:tcW w:type="dxa" w:w="1134"/>
          </w:tcPr>
          <w:p>
            <w:pPr>
              <w:pStyle w:val="TableText"/>
            </w:pPr>
            <w:r/>
            <w:r>
              <w:t>12</w:t>
            </w:r>
          </w:p>
        </w:tc>
      </w:tr>
      <w:tr>
        <w:trPr>
          <w:cantSplit w:val="true"/>
        </w:trPr>
        <w:tc>
          <w:tcPr>
            <w:tcW w:type="dxa" w:w="1134"/>
          </w:tcPr>
          <w:p>
            <w:pPr>
              <w:pStyle w:val="TableText"/>
            </w:pPr>
            <w:r/>
            <w:r>
              <w:t>4.4</w:t>
            </w:r>
          </w:p>
        </w:tc>
        <w:tc>
          <w:tcPr>
            <w:tcW w:type="dxa" w:w="6009"/>
          </w:tcPr>
          <w:p>
            <w:pPr>
              <w:pStyle w:val="TableText"/>
            </w:pPr>
            <w:r/>
            <w:r>
              <w:t>Withdrawal of subject</w:t>
            </w:r>
          </w:p>
        </w:tc>
        <w:tc>
          <w:tcPr>
            <w:tcW w:type="dxa" w:w="1361"/>
          </w:tcPr>
          <w:p>
            <w:pPr>
              <w:pStyle w:val="TableText"/>
            </w:pPr>
            <w:r/>
            <w:r>
              <w:t>WD</w:t>
            </w:r>
          </w:p>
        </w:tc>
        <w:tc>
          <w:tcPr>
            <w:tcW w:type="dxa" w:w="1134"/>
          </w:tcPr>
          <w:p>
            <w:pPr>
              <w:pStyle w:val="TableText"/>
            </w:pPr>
            <w:r/>
            <w:r>
              <w:t>14</w:t>
            </w:r>
          </w:p>
        </w:tc>
      </w:tr>
      <w:tr>
        <w:trPr>
          <w:cantSplit w:val="true"/>
        </w:trPr>
        <w:tc>
          <w:tcPr>
            <w:tcW w:type="dxa" w:w="1134"/>
          </w:tcPr>
          <w:p>
            <w:pPr>
              <w:pStyle w:val="TableText"/>
            </w:pPr>
            <w:r/>
            <w:r>
              <w:t>4.5</w:t>
            </w:r>
          </w:p>
        </w:tc>
        <w:tc>
          <w:tcPr>
            <w:tcW w:type="dxa" w:w="6009"/>
          </w:tcPr>
          <w:p>
            <w:pPr>
              <w:pStyle w:val="TableText"/>
            </w:pPr>
            <w:r/>
            <w:r>
              <w:t>Dropping, including being dropped for absences</w:t>
            </w:r>
          </w:p>
        </w:tc>
        <w:tc>
          <w:tcPr>
            <w:tcW w:type="dxa" w:w="1361"/>
          </w:tcPr>
          <w:p>
            <w:pPr>
              <w:pStyle w:val="TableText"/>
            </w:pPr>
            <w:r/>
            <w:r>
              <w:t>DRP</w:t>
            </w:r>
          </w:p>
        </w:tc>
        <w:tc>
          <w:tcPr>
            <w:tcW w:type="dxa" w:w="1134"/>
          </w:tcPr>
          <w:p>
            <w:pPr>
              <w:pStyle w:val="TableText"/>
            </w:pPr>
            <w:r/>
            <w:r>
              <w:t>12</w:t>
            </w:r>
          </w:p>
        </w:tc>
      </w:tr>
      <w:tr>
        <w:trPr>
          <w:cantSplit w:val="true"/>
        </w:trPr>
        <w:tc>
          <w:tcPr>
            <w:tcW w:type="dxa" w:w="1134"/>
          </w:tcPr>
          <w:p>
            <w:pPr>
              <w:pStyle w:val="TableText"/>
            </w:pPr>
            <w:r/>
            <w:r>
              <w:t>4.6</w:t>
            </w:r>
          </w:p>
        </w:tc>
        <w:tc>
          <w:tcPr>
            <w:tcW w:type="dxa" w:w="6009"/>
          </w:tcPr>
          <w:p>
            <w:pPr>
              <w:pStyle w:val="TableText"/>
            </w:pPr>
            <w:r/>
            <w:r>
              <w:t>Leave of absence (LOA)</w:t>
            </w:r>
          </w:p>
        </w:tc>
        <w:tc>
          <w:tcPr>
            <w:tcW w:type="dxa" w:w="1361"/>
          </w:tcPr>
          <w:p>
            <w:pPr>
              <w:pStyle w:val="TableText"/>
            </w:pPr>
            <w:r/>
            <w:r>
              <w:t>LOA</w:t>
            </w:r>
          </w:p>
        </w:tc>
        <w:tc>
          <w:tcPr>
            <w:tcW w:type="dxa" w:w="1134"/>
          </w:tcPr>
          <w:p>
            <w:pPr>
              <w:pStyle w:val="TableText"/>
            </w:pPr>
            <w:r/>
            <w:r>
              <w:t>13</w:t>
            </w:r>
          </w:p>
        </w:tc>
      </w:tr>
      <w:tr>
        <w:trPr>
          <w:cantSplit w:val="true"/>
        </w:trPr>
        <w:tc>
          <w:tcPr>
            <w:tcW w:type="dxa" w:w="1134"/>
          </w:tcPr>
          <w:p>
            <w:pPr>
              <w:pStyle w:val="TableText"/>
            </w:pPr>
            <w:r/>
            <w:r>
              <w:t>4.7</w:t>
            </w:r>
          </w:p>
        </w:tc>
        <w:tc>
          <w:tcPr>
            <w:tcW w:type="dxa" w:w="6009"/>
          </w:tcPr>
          <w:p>
            <w:pPr>
              <w:pStyle w:val="TableText"/>
            </w:pPr>
            <w:r/>
            <w:r>
              <w:t>Return from leave of absence and readmission</w:t>
            </w:r>
          </w:p>
        </w:tc>
        <w:tc>
          <w:tcPr>
            <w:tcW w:type="dxa" w:w="1361"/>
          </w:tcPr>
          <w:p>
            <w:pPr>
              <w:pStyle w:val="TableText"/>
            </w:pPr>
            <w:r/>
            <w:r>
              <w:t>RDM</w:t>
            </w:r>
          </w:p>
        </w:tc>
        <w:tc>
          <w:tcPr>
            <w:tcW w:type="dxa" w:w="1134"/>
          </w:tcPr>
          <w:p>
            <w:pPr>
              <w:pStyle w:val="TableText"/>
            </w:pPr>
            <w:r/>
            <w:r>
              <w:t>5</w:t>
            </w:r>
          </w:p>
        </w:tc>
      </w:tr>
      <w:tr>
        <w:trPr>
          <w:cantSplit w:val="true"/>
        </w:trPr>
        <w:tc>
          <w:tcPr>
            <w:tcW w:type="dxa" w:w="1134"/>
          </w:tcPr>
          <w:p>
            <w:pPr>
              <w:pStyle w:val="TableText"/>
            </w:pPr>
            <w:r/>
            <w:r>
              <w:t>4.8</w:t>
            </w:r>
          </w:p>
        </w:tc>
        <w:tc>
          <w:tcPr>
            <w:tcW w:type="dxa" w:w="6009"/>
          </w:tcPr>
          <w:p>
            <w:pPr>
              <w:pStyle w:val="TableText"/>
            </w:pPr>
            <w:r/>
            <w:r>
              <w:t>Absence without leave (AWOL)</w:t>
            </w:r>
          </w:p>
        </w:tc>
        <w:tc>
          <w:tcPr>
            <w:tcW w:type="dxa" w:w="1361"/>
          </w:tcPr>
          <w:p>
            <w:pPr>
              <w:pStyle w:val="TableText"/>
            </w:pPr>
            <w:r/>
            <w:r>
              <w:t>AWL</w:t>
            </w:r>
          </w:p>
        </w:tc>
        <w:tc>
          <w:tcPr>
            <w:tcW w:type="dxa" w:w="1134"/>
          </w:tcPr>
          <w:p>
            <w:pPr>
              <w:pStyle w:val="TableText"/>
            </w:pPr>
            <w:r/>
            <w:r>
              <w:t>6</w:t>
            </w:r>
          </w:p>
        </w:tc>
      </w:tr>
      <w:tr>
        <w:trPr>
          <w:cantSplit w:val="true"/>
        </w:trPr>
        <w:tc>
          <w:tcPr>
            <w:tcW w:type="dxa" w:w="1134"/>
          </w:tcPr>
          <w:p>
            <w:pPr>
              <w:pStyle w:val="TableText"/>
            </w:pPr>
            <w:r/>
            <w:r>
              <w:t>4.9</w:t>
            </w:r>
          </w:p>
        </w:tc>
        <w:tc>
          <w:tcPr>
            <w:tcW w:type="dxa" w:w="6009"/>
          </w:tcPr>
          <w:p>
            <w:pPr>
              <w:pStyle w:val="TableText"/>
            </w:pPr>
            <w:r/>
            <w:r>
              <w:t>Residency enrollment and maximum residence</w:t>
            </w:r>
          </w:p>
        </w:tc>
        <w:tc>
          <w:tcPr>
            <w:tcW w:type="dxa" w:w="1361"/>
          </w:tcPr>
          <w:p>
            <w:pPr>
              <w:pStyle w:val="TableText"/>
            </w:pPr>
            <w:r/>
            <w:r>
              <w:t>RES</w:t>
            </w:r>
          </w:p>
        </w:tc>
        <w:tc>
          <w:tcPr>
            <w:tcW w:type="dxa" w:w="1134"/>
          </w:tcPr>
          <w:p>
            <w:pPr>
              <w:pStyle w:val="TableText"/>
            </w:pPr>
            <w:r/>
            <w:r>
              <w:t>11</w:t>
            </w:r>
          </w:p>
        </w:tc>
      </w:tr>
      <w:tr>
        <w:trPr>
          <w:cantSplit w:val="true"/>
        </w:trPr>
        <w:tc>
          <w:tcPr>
            <w:tcW w:type="dxa" w:w="1134"/>
          </w:tcPr>
          <w:p>
            <w:pPr>
              <w:pStyle w:val="TableText"/>
            </w:pPr>
            <w:r/>
            <w:r>
              <w:t>4.10</w:t>
            </w:r>
          </w:p>
        </w:tc>
        <w:tc>
          <w:tcPr>
            <w:tcW w:type="dxa" w:w="6009"/>
          </w:tcPr>
          <w:p>
            <w:pPr>
              <w:pStyle w:val="TableText"/>
            </w:pPr>
            <w:r/>
            <w:r>
              <w:t>Comprehensive examination</w:t>
            </w:r>
          </w:p>
        </w:tc>
        <w:tc>
          <w:tcPr>
            <w:tcW w:type="dxa" w:w="1361"/>
          </w:tcPr>
          <w:p>
            <w:pPr>
              <w:pStyle w:val="TableText"/>
            </w:pPr>
            <w:r/>
            <w:r>
              <w:t>CEX</w:t>
            </w:r>
          </w:p>
        </w:tc>
        <w:tc>
          <w:tcPr>
            <w:tcW w:type="dxa" w:w="1134"/>
          </w:tcPr>
          <w:p>
            <w:pPr>
              <w:pStyle w:val="TableText"/>
            </w:pPr>
            <w:r/>
            <w:r>
              <w:t>13</w:t>
            </w:r>
          </w:p>
        </w:tc>
      </w:tr>
      <w:tr>
        <w:trPr>
          <w:cantSplit w:val="true"/>
        </w:trPr>
        <w:tc>
          <w:tcPr>
            <w:tcW w:type="dxa" w:w="1134"/>
          </w:tcPr>
          <w:p>
            <w:pPr>
              <w:pStyle w:val="TableText"/>
            </w:pPr>
            <w:r/>
            <w:r>
              <w:t>4.11</w:t>
            </w:r>
          </w:p>
        </w:tc>
        <w:tc>
          <w:tcPr>
            <w:tcW w:type="dxa" w:w="6009"/>
          </w:tcPr>
          <w:p>
            <w:pPr>
              <w:pStyle w:val="TableText"/>
            </w:pPr>
            <w:r/>
            <w:r>
              <w:t>Title defense</w:t>
            </w:r>
          </w:p>
        </w:tc>
        <w:tc>
          <w:tcPr>
            <w:tcW w:type="dxa" w:w="1361"/>
          </w:tcPr>
          <w:p>
            <w:pPr>
              <w:pStyle w:val="TableText"/>
            </w:pPr>
            <w:r/>
            <w:r>
              <w:t>TTL</w:t>
            </w:r>
          </w:p>
        </w:tc>
        <w:tc>
          <w:tcPr>
            <w:tcW w:type="dxa" w:w="1134"/>
          </w:tcPr>
          <w:p>
            <w:pPr>
              <w:pStyle w:val="TableText"/>
            </w:pPr>
            <w:r/>
            <w:r>
              <w:t>12</w:t>
            </w:r>
          </w:p>
        </w:tc>
      </w:tr>
      <w:tr>
        <w:trPr>
          <w:cantSplit w:val="true"/>
        </w:trPr>
        <w:tc>
          <w:tcPr>
            <w:tcW w:type="dxa" w:w="1134"/>
          </w:tcPr>
          <w:p>
            <w:pPr>
              <w:pStyle w:val="TableText"/>
            </w:pPr>
            <w:r/>
            <w:r>
              <w:t>4.12</w:t>
            </w:r>
          </w:p>
        </w:tc>
        <w:tc>
          <w:tcPr>
            <w:tcW w:type="dxa" w:w="6009"/>
          </w:tcPr>
          <w:p>
            <w:pPr>
              <w:pStyle w:val="TableText"/>
            </w:pPr>
            <w:r/>
            <w:r>
              <w:t>Adviser designation, advising contract, change of title and change of adviser</w:t>
            </w:r>
          </w:p>
        </w:tc>
        <w:tc>
          <w:tcPr>
            <w:tcW w:type="dxa" w:w="1361"/>
          </w:tcPr>
          <w:p>
            <w:pPr>
              <w:pStyle w:val="TableText"/>
            </w:pPr>
            <w:r/>
            <w:r>
              <w:t>ADV</w:t>
            </w:r>
          </w:p>
        </w:tc>
        <w:tc>
          <w:tcPr>
            <w:tcW w:type="dxa" w:w="1134"/>
          </w:tcPr>
          <w:p>
            <w:pPr>
              <w:pStyle w:val="TableText"/>
            </w:pPr>
            <w:r/>
            <w:r>
              <w:t>18</w:t>
            </w:r>
          </w:p>
        </w:tc>
      </w:tr>
      <w:tr>
        <w:trPr>
          <w:cantSplit w:val="true"/>
        </w:trPr>
        <w:tc>
          <w:tcPr>
            <w:tcW w:type="dxa" w:w="1134"/>
          </w:tcPr>
          <w:p>
            <w:pPr>
              <w:pStyle w:val="TableText"/>
            </w:pPr>
            <w:r/>
            <w:r>
              <w:t>4.13</w:t>
            </w:r>
          </w:p>
        </w:tc>
        <w:tc>
          <w:tcPr>
            <w:tcW w:type="dxa" w:w="6009"/>
          </w:tcPr>
          <w:p>
            <w:pPr>
              <w:pStyle w:val="TableText"/>
            </w:pPr>
            <w:r/>
            <w:r>
              <w:t>Proposal defense and ethics review</w:t>
            </w:r>
          </w:p>
        </w:tc>
        <w:tc>
          <w:tcPr>
            <w:tcW w:type="dxa" w:w="1361"/>
          </w:tcPr>
          <w:p>
            <w:pPr>
              <w:pStyle w:val="TableText"/>
            </w:pPr>
            <w:r/>
            <w:r>
              <w:t>PRP</w:t>
            </w:r>
          </w:p>
        </w:tc>
        <w:tc>
          <w:tcPr>
            <w:tcW w:type="dxa" w:w="1134"/>
          </w:tcPr>
          <w:p>
            <w:pPr>
              <w:pStyle w:val="TableText"/>
            </w:pPr>
            <w:r/>
            <w:r>
              <w:t>13</w:t>
            </w:r>
          </w:p>
        </w:tc>
      </w:tr>
      <w:tr>
        <w:trPr>
          <w:cantSplit w:val="true"/>
        </w:trPr>
        <w:tc>
          <w:tcPr>
            <w:tcW w:type="dxa" w:w="1134"/>
          </w:tcPr>
          <w:p>
            <w:pPr>
              <w:pStyle w:val="TableText"/>
            </w:pPr>
            <w:r/>
            <w:r>
              <w:t>4.14</w:t>
            </w:r>
          </w:p>
        </w:tc>
        <w:tc>
          <w:tcPr>
            <w:tcW w:type="dxa" w:w="6009"/>
          </w:tcPr>
          <w:p>
            <w:pPr>
              <w:pStyle w:val="TableText"/>
            </w:pPr>
            <w:r/>
            <w:r>
              <w:t>Final defense (closed-door and public)</w:t>
            </w:r>
          </w:p>
        </w:tc>
        <w:tc>
          <w:tcPr>
            <w:tcW w:type="dxa" w:w="1361"/>
          </w:tcPr>
          <w:p>
            <w:pPr>
              <w:pStyle w:val="TableText"/>
            </w:pPr>
            <w:r/>
            <w:r>
              <w:t>FIN</w:t>
            </w:r>
          </w:p>
        </w:tc>
        <w:tc>
          <w:tcPr>
            <w:tcW w:type="dxa" w:w="1134"/>
          </w:tcPr>
          <w:p>
            <w:pPr>
              <w:pStyle w:val="TableText"/>
            </w:pPr>
            <w:r/>
            <w:r>
              <w:t>18</w:t>
            </w:r>
          </w:p>
        </w:tc>
      </w:tr>
      <w:tr>
        <w:trPr>
          <w:cantSplit w:val="true"/>
        </w:trPr>
        <w:tc>
          <w:tcPr>
            <w:tcW w:type="dxa" w:w="1134"/>
          </w:tcPr>
          <w:p>
            <w:pPr>
              <w:pStyle w:val="TableText"/>
            </w:pPr>
            <w:r/>
            <w:r>
              <w:t>4.15</w:t>
            </w:r>
          </w:p>
        </w:tc>
        <w:tc>
          <w:tcPr>
            <w:tcW w:type="dxa" w:w="6009"/>
          </w:tcPr>
          <w:p>
            <w:pPr>
              <w:pStyle w:val="TableText"/>
            </w:pPr>
            <w:r/>
            <w:r>
              <w:t>Revisions and completion</w:t>
            </w:r>
          </w:p>
        </w:tc>
        <w:tc>
          <w:tcPr>
            <w:tcW w:type="dxa" w:w="1361"/>
          </w:tcPr>
          <w:p>
            <w:pPr>
              <w:pStyle w:val="TableText"/>
            </w:pPr>
            <w:r/>
            <w:r>
              <w:t>CMP</w:t>
            </w:r>
          </w:p>
        </w:tc>
        <w:tc>
          <w:tcPr>
            <w:tcW w:type="dxa" w:w="1134"/>
          </w:tcPr>
          <w:p>
            <w:pPr>
              <w:pStyle w:val="TableText"/>
            </w:pPr>
            <w:r/>
            <w:r>
              <w:t>13</w:t>
            </w:r>
          </w:p>
        </w:tc>
      </w:tr>
      <w:tr>
        <w:trPr>
          <w:cantSplit w:val="true"/>
        </w:trPr>
        <w:tc>
          <w:tcPr>
            <w:tcW w:type="dxa" w:w="1134"/>
          </w:tcPr>
          <w:p>
            <w:pPr>
              <w:pStyle w:val="TableText"/>
            </w:pPr>
            <w:r/>
            <w:r>
              <w:t>4.16</w:t>
            </w:r>
          </w:p>
        </w:tc>
        <w:tc>
          <w:tcPr>
            <w:tcW w:type="dxa" w:w="6009"/>
          </w:tcPr>
          <w:p>
            <w:pPr>
              <w:pStyle w:val="TableText"/>
            </w:pPr>
            <w:r/>
            <w:r>
              <w:t>Defense scheduling and rescheduling</w:t>
            </w:r>
          </w:p>
        </w:tc>
        <w:tc>
          <w:tcPr>
            <w:tcW w:type="dxa" w:w="1361"/>
          </w:tcPr>
          <w:p>
            <w:pPr>
              <w:pStyle w:val="TableText"/>
            </w:pPr>
            <w:r/>
            <w:r>
              <w:t>SCH</w:t>
            </w:r>
          </w:p>
        </w:tc>
        <w:tc>
          <w:tcPr>
            <w:tcW w:type="dxa" w:w="1134"/>
          </w:tcPr>
          <w:p>
            <w:pPr>
              <w:pStyle w:val="TableText"/>
            </w:pPr>
            <w:r/>
            <w:r>
              <w:t>9</w:t>
            </w:r>
          </w:p>
        </w:tc>
      </w:tr>
      <w:tr>
        <w:trPr>
          <w:cantSplit w:val="true"/>
        </w:trPr>
        <w:tc>
          <w:tcPr>
            <w:tcW w:type="dxa" w:w="1134"/>
          </w:tcPr>
          <w:p>
            <w:pPr>
              <w:pStyle w:val="TableText"/>
            </w:pPr>
            <w:r/>
            <w:r>
              <w:t>4.17</w:t>
            </w:r>
          </w:p>
        </w:tc>
        <w:tc>
          <w:tcPr>
            <w:tcW w:type="dxa" w:w="6009"/>
          </w:tcPr>
          <w:p>
            <w:pPr>
              <w:pStyle w:val="TableText"/>
            </w:pPr>
            <w:r/>
            <w:r>
              <w:t>Practicum</w:t>
            </w:r>
          </w:p>
        </w:tc>
        <w:tc>
          <w:tcPr>
            <w:tcW w:type="dxa" w:w="1361"/>
          </w:tcPr>
          <w:p>
            <w:pPr>
              <w:pStyle w:val="TableText"/>
            </w:pPr>
            <w:r/>
            <w:r>
              <w:t>PRC</w:t>
            </w:r>
          </w:p>
        </w:tc>
        <w:tc>
          <w:tcPr>
            <w:tcW w:type="dxa" w:w="1134"/>
          </w:tcPr>
          <w:p>
            <w:pPr>
              <w:pStyle w:val="TableText"/>
            </w:pPr>
            <w:r/>
            <w:r>
              <w:t>9</w:t>
            </w:r>
          </w:p>
        </w:tc>
      </w:tr>
      <w:tr>
        <w:trPr>
          <w:cantSplit w:val="true"/>
        </w:trPr>
        <w:tc>
          <w:tcPr>
            <w:tcW w:type="dxa" w:w="1134"/>
          </w:tcPr>
          <w:p>
            <w:pPr>
              <w:pStyle w:val="TableText"/>
            </w:pPr>
            <w:r/>
            <w:r>
              <w:t>4.18</w:t>
            </w:r>
          </w:p>
        </w:tc>
        <w:tc>
          <w:tcPr>
            <w:tcW w:type="dxa" w:w="6009"/>
          </w:tcPr>
          <w:p>
            <w:pPr>
              <w:pStyle w:val="TableText"/>
            </w:pPr>
            <w:r/>
            <w:r>
              <w:t>Graduation application and endorsement</w:t>
            </w:r>
          </w:p>
        </w:tc>
        <w:tc>
          <w:tcPr>
            <w:tcW w:type="dxa" w:w="1361"/>
          </w:tcPr>
          <w:p>
            <w:pPr>
              <w:pStyle w:val="TableText"/>
            </w:pPr>
            <w:r/>
            <w:r>
              <w:t>GRD</w:t>
            </w:r>
          </w:p>
        </w:tc>
        <w:tc>
          <w:tcPr>
            <w:tcW w:type="dxa" w:w="1134"/>
          </w:tcPr>
          <w:p>
            <w:pPr>
              <w:pStyle w:val="TableText"/>
            </w:pPr>
            <w:r/>
            <w:r>
              <w:t>16</w:t>
            </w:r>
          </w:p>
        </w:tc>
      </w:tr>
      <w:tr>
        <w:trPr>
          <w:cantSplit w:val="true"/>
        </w:trPr>
        <w:tc>
          <w:tcPr>
            <w:tcW w:type="dxa" w:w="1134"/>
          </w:tcPr>
          <w:p>
            <w:pPr>
              <w:pStyle w:val="TableText"/>
            </w:pPr>
            <w:r/>
            <w:r>
              <w:t>4.19</w:t>
            </w:r>
          </w:p>
        </w:tc>
        <w:tc>
          <w:tcPr>
            <w:tcW w:type="dxa" w:w="6009"/>
          </w:tcPr>
          <w:p>
            <w:pPr>
              <w:pStyle w:val="TableText"/>
            </w:pPr>
            <w:r/>
            <w:r>
              <w:t>Records handoff to the Registrar</w:t>
            </w:r>
          </w:p>
        </w:tc>
        <w:tc>
          <w:tcPr>
            <w:tcW w:type="dxa" w:w="1361"/>
          </w:tcPr>
          <w:p>
            <w:pPr>
              <w:pStyle w:val="TableText"/>
            </w:pPr>
            <w:r/>
            <w:r>
              <w:t>HND</w:t>
            </w:r>
          </w:p>
        </w:tc>
        <w:tc>
          <w:tcPr>
            <w:tcW w:type="dxa" w:w="1134"/>
          </w:tcPr>
          <w:p>
            <w:pPr>
              <w:pStyle w:val="TableText"/>
            </w:pPr>
            <w:r/>
            <w:r>
              <w:t>10</w:t>
            </w:r>
          </w:p>
        </w:tc>
      </w:tr>
    </w:tbl>
    <w:p>
      <w:pPr>
        <w:spacing w:after="80" w:before="0"/>
      </w:pPr>
    </w:p>
    <w:p>
      <w:pPr>
        <w:pStyle w:val="Heading2"/>
        <w:spacing w:before="360"/>
      </w:pPr>
      <w:r>
        <w:t>4.1 Admission handoff and onboarding</w:t>
      </w:r>
    </w:p>
    <w:p>
      <w:pPr>
        <w:pStyle w:val="Heading3"/>
      </w:pPr>
      <w:r>
        <w:t>4.1.1 Purpose</w:t>
      </w:r>
    </w:p>
    <w:p>
      <w:r>
        <w:rPr>
          <w:b w:val="0"/>
          <w:i w:val="0"/>
        </w:rPr>
        <w:t>To record that an applicant has been admitted through the University's admission process and to open the student's Graduate School monitoring record. Admission itself (entrance examination, interview, admission requirements, student number) belongs to the admission offices and the Registrar; the Graduate School receives the result.</w:t>
      </w:r>
    </w:p>
    <w:p>
      <w:pPr>
        <w:pStyle w:val="Heading3"/>
      </w:pPr>
      <w:r>
        <w:t>4.1.2 Who is involved</w:t>
      </w:r>
    </w:p>
    <w:p>
      <w:r>
        <w:rPr>
          <w:b w:val="0"/>
          <w:i w:val="0"/>
        </w:rPr>
        <w:t>Applicant / student; Admissions and Scholarship Administration Office (ASAO) and Guidance and Evaluation Center (GEC) (external); University Registrar (external); Graduate School Dean; Academic Coordinator; GS staff.</w:t>
      </w:r>
    </w:p>
    <w:p>
      <w:pPr>
        <w:pStyle w:val="Heading3"/>
      </w:pPr>
      <w:r>
        <w:t>4.1.3 Trigger and preconditions</w:t>
      </w:r>
    </w:p>
    <w:p>
      <w:r>
        <w:rPr>
          <w:b/>
          <w:i w:val="0"/>
        </w:rPr>
        <w:t xml:space="preserve">Trigger. </w:t>
      </w:r>
      <w:r>
        <w:t>The applicant has passed the entrance examination and interview and has uploaded the admission requirements, and the Registrar has created the student record.</w:t>
      </w:r>
    </w:p>
    <w:p>
      <w:r>
        <w:rPr>
          <w:b/>
          <w:i w:val="0"/>
        </w:rPr>
        <w:t>Preconditions.</w:t>
      </w:r>
    </w:p>
    <w:p>
      <w:pPr>
        <w:pStyle w:val="ListBullet"/>
        <w:spacing w:after="40"/>
      </w:pPr>
      <w:r>
        <w:t>The applicant has completed the admission requirements listed in rule ADM-01.</w:t>
      </w:r>
    </w:p>
    <w:p>
      <w:pPr>
        <w:pStyle w:val="ListBullet"/>
        <w:spacing w:after="40"/>
      </w:pPr>
      <w:r>
        <w:t>The student number and institutional email exist in the Registrar's record; the Graduate School does not create them (ADM-09).</w:t>
      </w:r>
    </w:p>
    <w:p>
      <w:pPr>
        <w:pStyle w:val="Heading3"/>
      </w:pPr>
      <w:r>
        <w:t>4.1.4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Applicant</w:t>
            </w:r>
          </w:p>
        </w:tc>
        <w:tc>
          <w:tcPr>
            <w:tcW w:type="dxa" w:w="4082"/>
          </w:tcPr>
          <w:p>
            <w:pPr>
              <w:pStyle w:val="TableText"/>
            </w:pPr>
            <w:r/>
            <w:r>
              <w:t>Sends a letter of intent, stating the program and attaching the transcript of records, to the admission office email, and waits for notification.</w:t>
            </w:r>
          </w:p>
        </w:tc>
        <w:tc>
          <w:tcPr>
            <w:tcW w:type="dxa" w:w="1757"/>
          </w:tcPr>
          <w:p>
            <w:pPr>
              <w:pStyle w:val="TableText"/>
            </w:pPr>
            <w:r/>
            <w:r>
              <w:t>Letter of intent; transcript of records</w:t>
            </w:r>
          </w:p>
        </w:tc>
        <w:tc>
          <w:tcPr>
            <w:tcW w:type="dxa" w:w="1587"/>
          </w:tcPr>
          <w:p>
            <w:pPr>
              <w:pStyle w:val="TableText"/>
            </w:pPr>
            <w:r/>
            <w:r>
              <w:t>Notification within 3-5 working days</w:t>
            </w:r>
          </w:p>
        </w:tc>
      </w:tr>
      <w:tr>
        <w:trPr>
          <w:cantSplit w:val="true"/>
        </w:trPr>
        <w:tc>
          <w:tcPr>
            <w:tcW w:type="dxa" w:w="567"/>
          </w:tcPr>
          <w:p>
            <w:pPr>
              <w:pStyle w:val="TableText"/>
            </w:pPr>
            <w:r/>
            <w:r>
              <w:t>2</w:t>
            </w:r>
          </w:p>
        </w:tc>
        <w:tc>
          <w:tcPr>
            <w:tcW w:type="dxa" w:w="1644"/>
          </w:tcPr>
          <w:p>
            <w:pPr>
              <w:pStyle w:val="TableText"/>
            </w:pPr>
            <w:r/>
            <w:r>
              <w:t>Applicant</w:t>
            </w:r>
          </w:p>
        </w:tc>
        <w:tc>
          <w:tcPr>
            <w:tcW w:type="dxa" w:w="4082"/>
          </w:tcPr>
          <w:p>
            <w:pPr>
              <w:pStyle w:val="TableText"/>
            </w:pPr>
            <w:r/>
            <w:r>
              <w:t>Creates an AIMS applicant account, pays the entrance examination fee and the admission fee, and uploads the receipts.</w:t>
            </w:r>
          </w:p>
        </w:tc>
        <w:tc>
          <w:tcPr>
            <w:tcW w:type="dxa" w:w="1757"/>
          </w:tcPr>
          <w:p>
            <w:pPr>
              <w:pStyle w:val="TableText"/>
            </w:pPr>
            <w:r/>
            <w:r>
              <w:t>AIMS account; official receipts</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GEC</w:t>
            </w:r>
          </w:p>
        </w:tc>
        <w:tc>
          <w:tcPr>
            <w:tcW w:type="dxa" w:w="4082"/>
          </w:tcPr>
          <w:p>
            <w:pPr>
              <w:pStyle w:val="TableText"/>
            </w:pPr>
            <w:r/>
            <w:r>
              <w:t>Sends the examination schedule and link; entrance examination results go to the respective professional school offices; the Graduate School schedules the interview.</w:t>
            </w:r>
          </w:p>
        </w:tc>
        <w:tc>
          <w:tcPr>
            <w:tcW w:type="dxa" w:w="1757"/>
          </w:tcPr>
          <w:p>
            <w:pPr>
              <w:pStyle w:val="TableText"/>
            </w:pPr>
            <w:r/>
            <w:r>
              <w:t>Examination result</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Applicant</w:t>
            </w:r>
          </w:p>
        </w:tc>
        <w:tc>
          <w:tcPr>
            <w:tcW w:type="dxa" w:w="4082"/>
          </w:tcPr>
          <w:p>
            <w:pPr>
              <w:pStyle w:val="TableText"/>
            </w:pPr>
            <w:r/>
            <w:r>
              <w:t>Attends the interview, then uploads the admission requirements in the online account; the recommender sends the Graduate School recommendation form to the Graduate School admission email.</w:t>
            </w:r>
          </w:p>
        </w:tc>
        <w:tc>
          <w:tcPr>
            <w:tcW w:type="dxa" w:w="1757"/>
          </w:tcPr>
          <w:p>
            <w:pPr>
              <w:pStyle w:val="TableText"/>
            </w:pPr>
            <w:r/>
            <w:r>
              <w:t>Admission requirements; Recommendation Form; Essay Questionnaire; Signed Undertaking Form</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Graduate School Dean</w:t>
            </w:r>
          </w:p>
        </w:tc>
        <w:tc>
          <w:tcPr>
            <w:tcW w:type="dxa" w:w="4082"/>
          </w:tcPr>
          <w:p>
            <w:pPr>
              <w:pStyle w:val="TableText"/>
            </w:pPr>
            <w:r/>
            <w:r>
              <w:t>On admission, gives the student information about the program of study. Students who did not meet the admission test cut-off are assigned a volunteer faculty adviser.</w:t>
            </w:r>
          </w:p>
        </w:tc>
        <w:tc>
          <w:tcPr>
            <w:tcW w:type="dxa" w:w="1757"/>
          </w:tcPr>
          <w:p>
            <w:pPr>
              <w:pStyle w:val="TableText"/>
            </w:pPr>
            <w:r/>
            <w:r>
              <w:t>Program of study</w:t>
            </w:r>
          </w:p>
        </w:tc>
        <w:tc>
          <w:tcPr>
            <w:tcW w:type="dxa" w:w="1587"/>
          </w:tcPr>
          <w:p>
            <w:pPr>
              <w:pStyle w:val="TableText"/>
            </w:pPr>
            <w:r/>
            <w:r>
              <w:t>—</w:t>
            </w:r>
          </w:p>
        </w:tc>
      </w:tr>
      <w:tr>
        <w:trPr>
          <w:cantSplit w:val="true"/>
        </w:trPr>
        <w:tc>
          <w:tcPr>
            <w:tcW w:type="dxa" w:w="567"/>
          </w:tcPr>
          <w:p>
            <w:pPr>
              <w:pStyle w:val="TableText"/>
            </w:pPr>
            <w:r/>
            <w:r>
              <w:t>6†</w:t>
            </w:r>
          </w:p>
        </w:tc>
        <w:tc>
          <w:tcPr>
            <w:tcW w:type="dxa" w:w="1644"/>
          </w:tcPr>
          <w:p>
            <w:pPr>
              <w:pStyle w:val="TableText"/>
            </w:pPr>
            <w:r/>
            <w:r>
              <w:t>Registrar</w:t>
            </w:r>
          </w:p>
        </w:tc>
        <w:tc>
          <w:tcPr>
            <w:tcW w:type="dxa" w:w="4082"/>
          </w:tcPr>
          <w:p>
            <w:pPr>
              <w:pStyle w:val="TableText"/>
            </w:pPr>
            <w:r/>
            <w:r>
              <w:t>Creates the student record and sends the admission or enrollment information to the Graduate School (in the format of the monitoring workbook).</w:t>
            </w:r>
          </w:p>
        </w:tc>
        <w:tc>
          <w:tcPr>
            <w:tcW w:type="dxa" w:w="1757"/>
          </w:tcPr>
          <w:p>
            <w:pPr>
              <w:pStyle w:val="TableText"/>
            </w:pPr>
            <w:r/>
            <w:r>
              <w:t>Monitoring workbook / file</w:t>
            </w:r>
          </w:p>
        </w:tc>
        <w:tc>
          <w:tcPr>
            <w:tcW w:type="dxa" w:w="1587"/>
          </w:tcPr>
          <w:p>
            <w:pPr>
              <w:pStyle w:val="TableText"/>
            </w:pPr>
            <w:r/>
            <w:r>
              <w:t>Before the term starts (during the term break)</w:t>
            </w:r>
          </w:p>
        </w:tc>
      </w:tr>
      <w:tr>
        <w:trPr>
          <w:cantSplit w:val="true"/>
        </w:trPr>
        <w:tc>
          <w:tcPr>
            <w:tcW w:type="dxa" w:w="567"/>
          </w:tcPr>
          <w:p>
            <w:pPr>
              <w:pStyle w:val="TableText"/>
            </w:pPr>
            <w:r/>
            <w:r>
              <w:t>7†</w:t>
            </w:r>
          </w:p>
        </w:tc>
        <w:tc>
          <w:tcPr>
            <w:tcW w:type="dxa" w:w="1644"/>
          </w:tcPr>
          <w:p>
            <w:pPr>
              <w:pStyle w:val="TableText"/>
            </w:pPr>
            <w:r/>
            <w:r>
              <w:t>GS staff</w:t>
            </w:r>
          </w:p>
        </w:tc>
        <w:tc>
          <w:tcPr>
            <w:tcW w:type="dxa" w:w="4082"/>
          </w:tcPr>
          <w:p>
            <w:pPr>
              <w:pStyle w:val="TableText"/>
            </w:pPr>
            <w:r/>
            <w:r>
              <w:t>Records the handoff (source and date received) and opens the student's monitoring record by importing the file. GS staff do not create students one by one.</w:t>
            </w:r>
          </w:p>
        </w:tc>
        <w:tc>
          <w:tcPr>
            <w:tcW w:type="dxa" w:w="1757"/>
          </w:tcPr>
          <w:p>
            <w:pPr>
              <w:pStyle w:val="TableText"/>
            </w:pPr>
            <w:r/>
            <w:r>
              <w:t>Monitoring record</w:t>
            </w:r>
          </w:p>
        </w:tc>
        <w:tc>
          <w:tcPr>
            <w:tcW w:type="dxa" w:w="1587"/>
          </w:tcPr>
          <w:p>
            <w:pPr>
              <w:pStyle w:val="TableText"/>
            </w:pPr>
            <w:r/>
            <w:r>
              <w:t>—</w:t>
            </w:r>
          </w:p>
        </w:tc>
      </w:tr>
      <w:tr>
        <w:trPr>
          <w:cantSplit w:val="true"/>
        </w:trPr>
        <w:tc>
          <w:tcPr>
            <w:tcW w:type="dxa" w:w="567"/>
          </w:tcPr>
          <w:p>
            <w:pPr>
              <w:pStyle w:val="TableText"/>
            </w:pPr>
            <w:r/>
            <w:r>
              <w:t>8†</w:t>
            </w:r>
          </w:p>
        </w:tc>
        <w:tc>
          <w:tcPr>
            <w:tcW w:type="dxa" w:w="1644"/>
          </w:tcPr>
          <w:p>
            <w:pPr>
              <w:pStyle w:val="TableText"/>
            </w:pPr>
            <w:r/>
            <w:r>
              <w:t>Academic Coordinator</w:t>
            </w:r>
          </w:p>
        </w:tc>
        <w:tc>
          <w:tcPr>
            <w:tcW w:type="dxa" w:w="4082"/>
          </w:tcPr>
          <w:p>
            <w:pPr>
              <w:pStyle w:val="TableText"/>
            </w:pPr>
            <w:r/>
            <w:r>
              <w:t>Confirms that the program assignment is correct, or asks for a correction.</w:t>
            </w:r>
          </w:p>
        </w:tc>
        <w:tc>
          <w:tcPr>
            <w:tcW w:type="dxa" w:w="1757"/>
          </w:tcPr>
          <w:p>
            <w:pPr>
              <w:pStyle w:val="TableText"/>
            </w:pPr>
            <w:r/>
            <w:r>
              <w:t>Program confirmation</w:t>
            </w:r>
          </w:p>
        </w:tc>
        <w:tc>
          <w:tcPr>
            <w:tcW w:type="dxa" w:w="1587"/>
          </w:tcPr>
          <w:p>
            <w:pPr>
              <w:pStyle w:val="TableText"/>
            </w:pPr>
            <w:r/>
            <w:r>
              <w:t>—</w:t>
            </w:r>
          </w:p>
        </w:tc>
      </w:tr>
      <w:tr>
        <w:trPr>
          <w:cantSplit w:val="true"/>
        </w:trPr>
        <w:tc>
          <w:tcPr>
            <w:tcW w:type="dxa" w:w="567"/>
          </w:tcPr>
          <w:p>
            <w:pPr>
              <w:pStyle w:val="TableText"/>
            </w:pPr>
            <w:r/>
            <w:r>
              <w:t>9†</w:t>
            </w:r>
          </w:p>
        </w:tc>
        <w:tc>
          <w:tcPr>
            <w:tcW w:type="dxa" w:w="1644"/>
          </w:tcPr>
          <w:p>
            <w:pPr>
              <w:pStyle w:val="TableText"/>
            </w:pPr>
            <w:r/>
            <w:r>
              <w:t>GS staff / Dean</w:t>
            </w:r>
          </w:p>
        </w:tc>
        <w:tc>
          <w:tcPr>
            <w:tcW w:type="dxa" w:w="4082"/>
          </w:tcPr>
          <w:p>
            <w:pPr>
              <w:pStyle w:val="TableText"/>
            </w:pPr>
            <w:r/>
            <w:r>
              <w:t>Records onboarding as complete and reports it to the Dean, who acknowledges it.</w:t>
            </w:r>
          </w:p>
        </w:tc>
        <w:tc>
          <w:tcPr>
            <w:tcW w:type="dxa" w:w="1757"/>
          </w:tcPr>
          <w:p>
            <w:pPr>
              <w:pStyle w:val="TableText"/>
            </w:pPr>
            <w:r/>
            <w:r>
              <w:t>Onboarding status record</w:t>
            </w:r>
          </w:p>
        </w:tc>
        <w:tc>
          <w:tcPr>
            <w:tcW w:type="dxa" w:w="1587"/>
          </w:tcPr>
          <w:p>
            <w:pPr>
              <w:pStyle w:val="TableText"/>
            </w:pPr>
            <w:r/>
            <w:r>
              <w:t>—</w:t>
            </w:r>
          </w:p>
        </w:tc>
      </w:tr>
    </w:tbl>
    <w:p>
      <w:pPr>
        <w:spacing w:after="80" w:before="0"/>
      </w:pPr>
    </w:p>
    <w:p>
      <w:r>
        <w:rPr>
          <w:b w:val="0"/>
          <w:i/>
          <w:color w:val="595959"/>
          <w:sz w:val="17"/>
        </w:rPr>
        <w:t>† This step rests on a rule marked Practice or Proposed in section 4.1.5, or on the group's process model; it is not described in the Handbook or the Research Protocol and is to be confirmed by the Graduate School.</w:t>
      </w:r>
    </w:p>
    <w:p>
      <w:pPr>
        <w:pStyle w:val="Heading3"/>
      </w:pPr>
      <w:r>
        <w:t>4.1.5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ADM-01</w:t>
            </w:r>
          </w:p>
        </w:tc>
        <w:tc>
          <w:tcPr>
            <w:tcW w:type="dxa" w:w="4535"/>
          </w:tcPr>
          <w:p>
            <w:pPr>
              <w:pStyle w:val="TableText"/>
            </w:pPr>
            <w:r/>
            <w:r>
              <w:t>A student seeking admission must submit an accomplished admission application form, two letters of recommendation, one 2x2 ID picture, transcript of record, honorable dismissal or transfer credential, pass the entrance examination and interview, comply with program-specific requirements, and sign an undertaking to finish the bridging course in a year.</w:t>
            </w:r>
          </w:p>
        </w:tc>
        <w:tc>
          <w:tcPr>
            <w:tcW w:type="dxa" w:w="3005"/>
          </w:tcPr>
          <w:p>
            <w:pPr>
              <w:pStyle w:val="TableText"/>
            </w:pPr>
            <w:r/>
            <w:r>
              <w:t>Handbook 2022-2023, pp. 42-43</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ADM-02</w:t>
            </w:r>
          </w:p>
        </w:tc>
        <w:tc>
          <w:tcPr>
            <w:tcW w:type="dxa" w:w="4535"/>
          </w:tcPr>
          <w:p>
            <w:pPr>
              <w:pStyle w:val="TableText"/>
            </w:pPr>
            <w:r/>
            <w:r>
              <w:t>The entrance examination fee (Graduate School P400) and the admission fee (P300) are non-refundable.</w:t>
            </w:r>
          </w:p>
        </w:tc>
        <w:tc>
          <w:tcPr>
            <w:tcW w:type="dxa" w:w="3005"/>
          </w:tcPr>
          <w:p>
            <w:pPr>
              <w:pStyle w:val="TableText"/>
            </w:pPr>
            <w:r/>
            <w:r>
              <w:t>Handbook 2022-2023, p. 46</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ADM-03</w:t>
            </w:r>
          </w:p>
        </w:tc>
        <w:tc>
          <w:tcPr>
            <w:tcW w:type="dxa" w:w="4535"/>
          </w:tcPr>
          <w:p>
            <w:pPr>
              <w:pStyle w:val="TableText"/>
            </w:pPr>
            <w:r/>
            <w:r>
              <w:t>An applicant with insufficient background must take prerequisite or bridging courses; an applicant with a non-thesis master's degree enrolls in six units of thesis as a bridging course. The number of units differs by college.</w:t>
            </w:r>
          </w:p>
        </w:tc>
        <w:tc>
          <w:tcPr>
            <w:tcW w:type="dxa" w:w="3005"/>
          </w:tcPr>
          <w:p>
            <w:pPr>
              <w:pStyle w:val="TableText"/>
            </w:pPr>
            <w:r/>
            <w:r>
              <w:t>Handbook 2022-2023, pp. 43-44</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ADM-04</w:t>
            </w:r>
          </w:p>
        </w:tc>
        <w:tc>
          <w:tcPr>
            <w:tcW w:type="dxa" w:w="4535"/>
          </w:tcPr>
          <w:p>
            <w:pPr>
              <w:pStyle w:val="TableText"/>
            </w:pPr>
            <w:r/>
            <w:r>
              <w:t>A transferee may be credited a maximum of 25% of subjects taken during the last five years that are substantially the same in content, not credited to a previous degree, upon recommendation of the Admission Committee and within the residence requirement.</w:t>
            </w:r>
          </w:p>
        </w:tc>
        <w:tc>
          <w:tcPr>
            <w:tcW w:type="dxa" w:w="3005"/>
          </w:tcPr>
          <w:p>
            <w:pPr>
              <w:pStyle w:val="TableText"/>
            </w:pPr>
            <w:r/>
            <w:r>
              <w:t>Handbook 2022-2023, p. 45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ADM-05</w:t>
            </w:r>
          </w:p>
        </w:tc>
        <w:tc>
          <w:tcPr>
            <w:tcW w:type="dxa" w:w="4535"/>
          </w:tcPr>
          <w:p>
            <w:pPr>
              <w:pStyle w:val="TableText"/>
            </w:pPr>
            <w:r/>
            <w:r>
              <w:t>A special student (audit only) needs the permission of the Dean and a signed agreement waiving the right to receive or demand credit.</w:t>
            </w:r>
          </w:p>
        </w:tc>
        <w:tc>
          <w:tcPr>
            <w:tcW w:type="dxa" w:w="3005"/>
          </w:tcPr>
          <w:p>
            <w:pPr>
              <w:pStyle w:val="TableText"/>
            </w:pPr>
            <w:r/>
            <w:r>
              <w:t>Handbook 2022-2023, p. 45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ADM-06</w:t>
            </w:r>
          </w:p>
        </w:tc>
        <w:tc>
          <w:tcPr>
            <w:tcW w:type="dxa" w:w="4535"/>
          </w:tcPr>
          <w:p>
            <w:pPr>
              <w:pStyle w:val="TableText"/>
            </w:pPr>
            <w:r/>
            <w:r>
              <w:t>A foreign student pays an additional annual foreign fee; missionaries and religious, children of Overseas Filipino workers, special exchange students and students on audit are exempt.</w:t>
            </w:r>
          </w:p>
        </w:tc>
        <w:tc>
          <w:tcPr>
            <w:tcW w:type="dxa" w:w="3005"/>
          </w:tcPr>
          <w:p>
            <w:pPr>
              <w:pStyle w:val="TableText"/>
            </w:pPr>
            <w:r/>
            <w:r>
              <w:t>Handbook 2022-2023, p. 45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ADM-07</w:t>
            </w:r>
          </w:p>
        </w:tc>
        <w:tc>
          <w:tcPr>
            <w:tcW w:type="dxa" w:w="4535"/>
          </w:tcPr>
          <w:p>
            <w:pPr>
              <w:pStyle w:val="TableText"/>
            </w:pPr>
            <w:r/>
            <w:r>
              <w:t>Upon admission the Dean gives the student information about the program of study; students who do not meet the admission test cut-off are assigned a volunteer faculty adviser.</w:t>
            </w:r>
          </w:p>
        </w:tc>
        <w:tc>
          <w:tcPr>
            <w:tcW w:type="dxa" w:w="3005"/>
          </w:tcPr>
          <w:p>
            <w:pPr>
              <w:pStyle w:val="TableText"/>
            </w:pPr>
            <w:r/>
            <w:r>
              <w:t>Handbook 2022-2023, p. 42</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ADM-08</w:t>
            </w:r>
          </w:p>
        </w:tc>
        <w:tc>
          <w:tcPr>
            <w:tcW w:type="dxa" w:w="4535"/>
          </w:tcPr>
          <w:p>
            <w:pPr>
              <w:pStyle w:val="TableText"/>
            </w:pPr>
            <w:r/>
            <w:r>
              <w:t>The applicant sends a letter of intent with the transcript of records and waits for notification within 3-5 working days before taking the entrance examination.</w:t>
            </w:r>
          </w:p>
        </w:tc>
        <w:tc>
          <w:tcPr>
            <w:tcW w:type="dxa" w:w="3005"/>
          </w:tcPr>
          <w:p>
            <w:pPr>
              <w:pStyle w:val="TableText"/>
            </w:pPr>
            <w:r/>
            <w:r>
              <w:t>Handbook 2022-2023, p. 45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ADM-09</w:t>
            </w:r>
          </w:p>
        </w:tc>
        <w:tc>
          <w:tcPr>
            <w:tcW w:type="dxa" w:w="4535"/>
          </w:tcPr>
          <w:p>
            <w:pPr>
              <w:pStyle w:val="TableText"/>
            </w:pPr>
            <w:r/>
            <w:r>
              <w:t>The student number and the institutional email are created by the Registrar; the Graduate School does not generate or manually assign them.</w:t>
            </w:r>
          </w:p>
        </w:tc>
        <w:tc>
          <w:tcPr>
            <w:tcW w:type="dxa" w:w="3005"/>
          </w:tcPr>
          <w:p>
            <w:pPr>
              <w:pStyle w:val="TableText"/>
            </w:pPr>
            <w:r/>
            <w:r>
              <w:t>Consultation 15 July 2026, student number created by the Registrar; Group working notes, July 20 checklist, items 3 and 4</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ADM-10</w:t>
            </w:r>
          </w:p>
        </w:tc>
        <w:tc>
          <w:tcPr>
            <w:tcW w:type="dxa" w:w="4535"/>
          </w:tcPr>
          <w:p>
            <w:pPr>
              <w:pStyle w:val="TableText"/>
            </w:pPr>
            <w:r/>
            <w:r>
              <w:t>The admission checklist follows the official USLS admission process. The Graduate School does not repeat it; it records that admission was completed.</w:t>
            </w:r>
          </w:p>
        </w:tc>
        <w:tc>
          <w:tcPr>
            <w:tcW w:type="dxa" w:w="3005"/>
          </w:tcPr>
          <w:p>
            <w:pPr>
              <w:pStyle w:val="TableText"/>
            </w:pPr>
            <w:r/>
            <w:r>
              <w:t>Group working notes, July 20 checklist, item 4 (stakeholder-confirmed answer)</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ADM-11</w:t>
            </w:r>
          </w:p>
        </w:tc>
        <w:tc>
          <w:tcPr>
            <w:tcW w:type="dxa" w:w="4535"/>
          </w:tcPr>
          <w:p>
            <w:pPr>
              <w:pStyle w:val="TableText"/>
            </w:pPr>
            <w:r/>
            <w:r>
              <w:t>Student records enter the Graduate School's record through the monitoring workbook prepared from the official records (AIMS); GS staff do not create student records manually, and a missing student is checked against the official source.</w:t>
            </w:r>
          </w:p>
        </w:tc>
        <w:tc>
          <w:tcPr>
            <w:tcW w:type="dxa" w:w="3005"/>
          </w:tcPr>
          <w:p>
            <w:pPr>
              <w:pStyle w:val="TableText"/>
            </w:pPr>
            <w:r/>
            <w:r>
              <w:t>Group working notes, July 20 checklist, items 2 and 6 (stakeholder-confirmed answer); Consultation 21 July 2026, no AIMS integration</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ADM-12</w:t>
            </w:r>
          </w:p>
        </w:tc>
        <w:tc>
          <w:tcPr>
            <w:tcW w:type="dxa" w:w="4535"/>
          </w:tcPr>
          <w:p>
            <w:pPr>
              <w:pStyle w:val="TableText"/>
            </w:pPr>
            <w:r/>
            <w:r>
              <w:t>GS staff record the source and the date of each handoff; the Academic Coordinator confirms the program assignment; the Dean acknowledges completed onboarding.</w:t>
            </w:r>
          </w:p>
        </w:tc>
        <w:tc>
          <w:tcPr>
            <w:tcW w:type="dxa" w:w="3005"/>
          </w:tcPr>
          <w:p>
            <w:pPr>
              <w:pStyle w:val="TableText"/>
            </w:pPr>
            <w:r/>
            <w:r>
              <w:t>Group working notes, BPM accurate flow, section 1</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ADM-13</w:t>
            </w:r>
          </w:p>
        </w:tc>
        <w:tc>
          <w:tcPr>
            <w:tcW w:type="dxa" w:w="4535"/>
          </w:tcPr>
          <w:p>
            <w:pPr>
              <w:pStyle w:val="TableText"/>
            </w:pPr>
            <w:r/>
            <w:r>
              <w:t>A possible duplicate student is identified by the student number, never by name alone; staff compare the records and confirm or merge them only when verified.</w:t>
            </w:r>
          </w:p>
        </w:tc>
        <w:tc>
          <w:tcPr>
            <w:tcW w:type="dxa" w:w="3005"/>
          </w:tcPr>
          <w:p>
            <w:pPr>
              <w:pStyle w:val="TableText"/>
            </w:pPr>
            <w:r/>
            <w:r>
              <w:t>Group working notes, July 20 checklist, items 13 and 14</w:t>
            </w:r>
          </w:p>
        </w:tc>
        <w:tc>
          <w:tcPr>
            <w:tcW w:type="dxa" w:w="1191"/>
            <w:shd w:val="clear" w:color="auto" w:fill="DDEBF7"/>
          </w:tcPr>
          <w:p>
            <w:pPr>
              <w:pStyle w:val="TableText"/>
            </w:pPr>
            <w:r>
              <w:rPr>
                <w:b/>
              </w:rPr>
            </w:r>
            <w:r>
              <w:rPr>
                <w:b/>
              </w:rPr>
              <w:t>Proposed</w:t>
            </w:r>
          </w:p>
        </w:tc>
      </w:tr>
    </w:tbl>
    <w:p>
      <w:pPr>
        <w:spacing w:after="80" w:before="0"/>
      </w:pPr>
    </w:p>
    <w:p>
      <w:pPr>
        <w:pStyle w:val="Heading3"/>
      </w:pPr>
      <w:r>
        <w:t>4.1.6 Exceptions and unusual cases</w:t>
      </w:r>
    </w:p>
    <w:p>
      <w:pPr>
        <w:pStyle w:val="ListBullet"/>
        <w:spacing w:after="40"/>
      </w:pPr>
      <w:r>
        <w:t>The file is incomplete or a column is blank: the row is held and GS staff ask for a corrected file; the incomplete row is not entered (Proposed; Consultation 20 July 2026 discussion).</w:t>
      </w:r>
    </w:p>
    <w:p>
      <w:pPr>
        <w:pStyle w:val="ListBullet"/>
        <w:spacing w:after="40"/>
      </w:pPr>
      <w:r>
        <w:t>A student is admitted late, after the file was sent: the Registrar sends an updated file; existing students are updated, new students are added (Consultation 20 July 2026 discussion).</w:t>
      </w:r>
    </w:p>
    <w:p>
      <w:pPr>
        <w:pStyle w:val="ListBullet"/>
        <w:spacing w:after="40"/>
      </w:pPr>
      <w:r>
        <w:t>The Graduate School record and the official record disagree (for example a misspelled name): the official record is followed, the change is shown to the user, and the difference is flagged for follow-up (Proposed; Consultation 20 July 2026).</w:t>
      </w:r>
    </w:p>
    <w:p>
      <w:pPr>
        <w:pStyle w:val="ListBullet"/>
        <w:spacing w:after="40"/>
      </w:pPr>
      <w:r>
        <w:t>A foreign student must submit additional authenticated requirements (grade interpretation, course syllabus, recommendation in narrative form, passport, medical insurance) to the ASAO Director (Handbook 2022-2023, pp. 46-47).</w:t>
      </w:r>
    </w:p>
    <w:p>
      <w:pPr>
        <w:pStyle w:val="Heading3"/>
      </w:pPr>
      <w:r>
        <w:t>4.1.7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Monitoring record created from the handoff file</w:t>
            </w:r>
          </w:p>
        </w:tc>
        <w:tc>
          <w:tcPr>
            <w:tcW w:type="dxa" w:w="5102"/>
          </w:tcPr>
          <w:p>
            <w:pPr>
              <w:pStyle w:val="TableText"/>
            </w:pPr>
            <w:r/>
            <w:r>
              <w:t>GS staff; the student monitoring workbook</w:t>
            </w:r>
          </w:p>
        </w:tc>
      </w:tr>
      <w:tr>
        <w:trPr>
          <w:cantSplit w:val="true"/>
        </w:trPr>
        <w:tc>
          <w:tcPr>
            <w:tcW w:type="dxa" w:w="4535"/>
          </w:tcPr>
          <w:p>
            <w:pPr>
              <w:pStyle w:val="TableText"/>
            </w:pPr>
            <w:r/>
            <w:r>
              <w:t>Program confirmation and onboarding status</w:t>
            </w:r>
          </w:p>
        </w:tc>
        <w:tc>
          <w:tcPr>
            <w:tcW w:type="dxa" w:w="5102"/>
          </w:tcPr>
          <w:p>
            <w:pPr>
              <w:pStyle w:val="TableText"/>
            </w:pPr>
            <w:r/>
            <w:r>
              <w:t>GS staff; reported to the Dean</w:t>
            </w:r>
          </w:p>
        </w:tc>
      </w:tr>
      <w:tr>
        <w:trPr>
          <w:cantSplit w:val="true"/>
        </w:trPr>
        <w:tc>
          <w:tcPr>
            <w:tcW w:type="dxa" w:w="4535"/>
          </w:tcPr>
          <w:p>
            <w:pPr>
              <w:pStyle w:val="TableText"/>
            </w:pPr>
            <w:r/>
            <w:r>
              <w:t>Admission documents and receipts</w:t>
            </w:r>
          </w:p>
        </w:tc>
        <w:tc>
          <w:tcPr>
            <w:tcW w:type="dxa" w:w="5102"/>
          </w:tcPr>
          <w:p>
            <w:pPr>
              <w:pStyle w:val="TableText"/>
            </w:pPr>
            <w:r/>
            <w:r>
              <w:t>Admission offices and AIMS (not kept by the Graduate School)</w:t>
            </w:r>
          </w:p>
        </w:tc>
      </w:tr>
    </w:tbl>
    <w:p>
      <w:pPr>
        <w:spacing w:after="80" w:before="0"/>
      </w:pPr>
    </w:p>
    <w:p>
      <w:pPr>
        <w:pStyle w:val="Heading3"/>
      </w:pPr>
      <w:r>
        <w:t>4.1.8 How the platform supports this process</w:t>
      </w:r>
    </w:p>
    <w:p>
      <w:r>
        <w:rPr>
          <w:b w:val="0"/>
          <w:i w:val="0"/>
        </w:rPr>
        <w:t>GS staff upload the monitoring workbook (only the Graduate School staff role, or an administrator, can; the Academic Coordinator cannot). Before any row is applied, the platform checks it. A row with a missing student number, name or entry year, a duplicate student number in the file, a program that does not match, a student number already held by another student or with a different name, a different entry year, or a possible duplicate under another number is held as an unresolved validation issue and is not applied. Staff or the Academic Coordinator resolve each held row (keep the existing value, use the uploaded one, edit it, or upload a corrected workbook), and every resolution is logged. A clean row creates the student's record, the curriculum subject rows, the semester enrollment and a portal login whose first password the student must change at the first sign-in. Staff or the Academic Coordinator can also add one student by hand. The Dean then acts as the gate for onboarding: the report for an upload can be submitted only when the handoff is recorded, the profiles are created, every student has a program assignment and no validation issue is unresolved; the Dean approves it or returns it with remarks.</w:t>
      </w:r>
    </w:p>
    <w:p>
      <w:r>
        <w:rPr>
          <w:b/>
          <w:i w:val="0"/>
        </w:rPr>
        <w:t xml:space="preserve">Difference between the platform and the rule. </w:t>
      </w:r>
      <w:r>
        <w:t>The platform does not repeat the admission checklist of the admission offices. A student number on an upload always comes from the file. One staff-only form for adding a single student can still generate a provisional number when the field is left blank; that is a convenience of the prototype and does not follow ADM-09, which leaves numbering to the Registrar. The platform creates a portal login for each student; it does not create the institutional email. The five-item onboarding list kept for each student (admission approval, student profile sheet, program assignment, enrollment signal, official transcript) is the group's model and is not in any official source; the Dean's gate uses the four derived checks above. The Handbook's admission requirements, fees and special cases (ADM-01 to ADM-08) are left to the admission offices. Who imports the workbook is decided in the platform (Graduate School staff only) but is still open for confirmation (OQ-33).</w:t>
      </w:r>
    </w:p>
    <w:p>
      <w:pPr>
        <w:pStyle w:val="Heading2"/>
        <w:spacing w:before="360"/>
      </w:pPr>
      <w:r>
        <w:t>4.2 Enrollment and academic load</w:t>
      </w:r>
    </w:p>
    <w:p>
      <w:pPr>
        <w:pStyle w:val="Heading3"/>
      </w:pPr>
      <w:r>
        <w:t>4.2.1 Purpose</w:t>
      </w:r>
    </w:p>
    <w:p>
      <w:r>
        <w:rPr>
          <w:b w:val="0"/>
          <w:i w:val="0"/>
        </w:rPr>
        <w:t>To state how a graduate student is advised and enrolled each semester and how many units a student may carry, and to state what the Graduate School records. Enrollment itself is done in AIMS through the Registrar and the Business Office.</w:t>
      </w:r>
    </w:p>
    <w:p>
      <w:pPr>
        <w:pStyle w:val="Heading3"/>
      </w:pPr>
      <w:r>
        <w:t>4.2.2 Who is involved</w:t>
      </w:r>
    </w:p>
    <w:p>
      <w:r>
        <w:rPr>
          <w:b w:val="0"/>
          <w:i w:val="0"/>
        </w:rPr>
        <w:t>Student; Academic Coordinator; Business Office / Cashier (external); Registrar (external); GS staff.</w:t>
      </w:r>
    </w:p>
    <w:p>
      <w:pPr>
        <w:pStyle w:val="Heading3"/>
      </w:pPr>
      <w:r>
        <w:t>4.2.3 Trigger and preconditions</w:t>
      </w:r>
    </w:p>
    <w:p>
      <w:r>
        <w:rPr>
          <w:b/>
          <w:i w:val="0"/>
        </w:rPr>
        <w:t xml:space="preserve">Trigger. </w:t>
      </w:r>
      <w:r>
        <w:t>The enrollment period opens (normally June to July) or a student returns for a new semester.</w:t>
      </w:r>
    </w:p>
    <w:p>
      <w:r>
        <w:rPr>
          <w:b/>
          <w:i w:val="0"/>
        </w:rPr>
        <w:t>Preconditions.</w:t>
      </w:r>
    </w:p>
    <w:p>
      <w:pPr>
        <w:pStyle w:val="ListBullet"/>
        <w:spacing w:after="40"/>
      </w:pPr>
      <w:r>
        <w:t>The student is admitted and has a student record.</w:t>
      </w:r>
    </w:p>
    <w:p>
      <w:pPr>
        <w:pStyle w:val="ListBullet"/>
        <w:spacing w:after="40"/>
      </w:pPr>
      <w:r>
        <w:t>The subject offering for the term has been set (see 4.3).</w:t>
      </w:r>
    </w:p>
    <w:p>
      <w:pPr>
        <w:pStyle w:val="ListBullet"/>
        <w:spacing w:after="40"/>
      </w:pPr>
      <w:r>
        <w:t>The student has no unsettled financial delinquency from the previous semester (ENR-04).</w:t>
      </w:r>
    </w:p>
    <w:p>
      <w:pPr>
        <w:pStyle w:val="Heading3"/>
      </w:pPr>
      <w:r>
        <w:t>4.2.4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Student</w:t>
            </w:r>
          </w:p>
        </w:tc>
        <w:tc>
          <w:tcPr>
            <w:tcW w:type="dxa" w:w="4082"/>
          </w:tcPr>
          <w:p>
            <w:pPr>
              <w:pStyle w:val="TableText"/>
            </w:pPr>
            <w:r/>
            <w:r>
              <w:t>Consults the Academic Coordinator for academic evaluation and electronic advising.</w:t>
            </w:r>
          </w:p>
        </w:tc>
        <w:tc>
          <w:tcPr>
            <w:tcW w:type="dxa" w:w="1757"/>
          </w:tcPr>
          <w:p>
            <w:pPr>
              <w:pStyle w:val="TableText"/>
            </w:pPr>
            <w:r/>
            <w:r>
              <w:t>Advising in AIMS</w:t>
            </w:r>
          </w:p>
        </w:tc>
        <w:tc>
          <w:tcPr>
            <w:tcW w:type="dxa" w:w="1587"/>
          </w:tcPr>
          <w:p>
            <w:pPr>
              <w:pStyle w:val="TableText"/>
            </w:pPr>
            <w:r/>
            <w:r>
              <w:t>Enrollment period (normally June to July)</w:t>
            </w:r>
          </w:p>
        </w:tc>
      </w:tr>
      <w:tr>
        <w:trPr>
          <w:cantSplit w:val="true"/>
        </w:trPr>
        <w:tc>
          <w:tcPr>
            <w:tcW w:type="dxa" w:w="567"/>
          </w:tcPr>
          <w:p>
            <w:pPr>
              <w:pStyle w:val="TableText"/>
            </w:pPr>
            <w:r/>
            <w:r>
              <w:t>2†</w:t>
            </w:r>
          </w:p>
        </w:tc>
        <w:tc>
          <w:tcPr>
            <w:tcW w:type="dxa" w:w="1644"/>
          </w:tcPr>
          <w:p>
            <w:pPr>
              <w:pStyle w:val="TableText"/>
            </w:pPr>
            <w:r/>
            <w:r>
              <w:t>Academic Coordinator</w:t>
            </w:r>
          </w:p>
        </w:tc>
        <w:tc>
          <w:tcPr>
            <w:tcW w:type="dxa" w:w="4082"/>
          </w:tcPr>
          <w:p>
            <w:pPr>
              <w:pStyle w:val="TableText"/>
            </w:pPr>
            <w:r/>
            <w:r>
              <w:t>Studies the student's subjects taken and not taken and advises which offered subjects to take. Advises the subjects in AIMS and tags the student as enrolled in those subjects in the Graduate School's record.</w:t>
            </w:r>
          </w:p>
        </w:tc>
        <w:tc>
          <w:tcPr>
            <w:tcW w:type="dxa" w:w="1757"/>
          </w:tcPr>
          <w:p>
            <w:pPr>
              <w:pStyle w:val="TableText"/>
            </w:pPr>
            <w:r/>
            <w:r>
              <w:t>AIMS advising; subject status tag</w:t>
            </w:r>
          </w:p>
        </w:tc>
        <w:tc>
          <w:tcPr>
            <w:tcW w:type="dxa" w:w="1587"/>
          </w:tcPr>
          <w:p>
            <w:pPr>
              <w:pStyle w:val="TableText"/>
            </w:pPr>
            <w:r/>
            <w:r>
              <w:t>On the day of advising</w:t>
            </w:r>
          </w:p>
        </w:tc>
      </w:tr>
      <w:tr>
        <w:trPr>
          <w:cantSplit w:val="true"/>
        </w:trPr>
        <w:tc>
          <w:tcPr>
            <w:tcW w:type="dxa" w:w="567"/>
          </w:tcPr>
          <w:p>
            <w:pPr>
              <w:pStyle w:val="TableText"/>
            </w:pPr>
            <w:r/>
            <w:r>
              <w:t>3</w:t>
            </w:r>
          </w:p>
        </w:tc>
        <w:tc>
          <w:tcPr>
            <w:tcW w:type="dxa" w:w="1644"/>
          </w:tcPr>
          <w:p>
            <w:pPr>
              <w:pStyle w:val="TableText"/>
            </w:pPr>
            <w:r/>
            <w:r>
              <w:t>Student</w:t>
            </w:r>
          </w:p>
        </w:tc>
        <w:tc>
          <w:tcPr>
            <w:tcW w:type="dxa" w:w="4082"/>
          </w:tcPr>
          <w:p>
            <w:pPr>
              <w:pStyle w:val="TableText"/>
            </w:pPr>
            <w:r/>
            <w:r>
              <w:t>Pays at the Cashier in the Business Office.</w:t>
            </w:r>
          </w:p>
        </w:tc>
        <w:tc>
          <w:tcPr>
            <w:tcW w:type="dxa" w:w="1757"/>
          </w:tcPr>
          <w:p>
            <w:pPr>
              <w:pStyle w:val="TableText"/>
            </w:pPr>
            <w:r/>
            <w:r>
              <w:t>Official receipt</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Student</w:t>
            </w:r>
          </w:p>
        </w:tc>
        <w:tc>
          <w:tcPr>
            <w:tcW w:type="dxa" w:w="4082"/>
          </w:tcPr>
          <w:p>
            <w:pPr>
              <w:pStyle w:val="TableText"/>
            </w:pPr>
            <w:r/>
            <w:r>
              <w:t>Validates the enrollment in the AIMS account.</w:t>
            </w:r>
          </w:p>
        </w:tc>
        <w:tc>
          <w:tcPr>
            <w:tcW w:type="dxa" w:w="1757"/>
          </w:tcPr>
          <w:p>
            <w:pPr>
              <w:pStyle w:val="TableText"/>
            </w:pPr>
            <w:r/>
            <w:r>
              <w:t>AIMS validation</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Student</w:t>
            </w:r>
          </w:p>
        </w:tc>
        <w:tc>
          <w:tcPr>
            <w:tcW w:type="dxa" w:w="4082"/>
          </w:tcPr>
          <w:p>
            <w:pPr>
              <w:pStyle w:val="TableText"/>
            </w:pPr>
            <w:r/>
            <w:r>
              <w:t>Secures the ID sticker (continuing students) or ID (new students) from the Audio Visual Resource Center.</w:t>
            </w:r>
          </w:p>
        </w:tc>
        <w:tc>
          <w:tcPr>
            <w:tcW w:type="dxa" w:w="1757"/>
          </w:tcPr>
          <w:p>
            <w:pPr>
              <w:pStyle w:val="TableText"/>
            </w:pPr>
            <w:r/>
            <w:r>
              <w:t>ID sticker</w:t>
            </w:r>
          </w:p>
        </w:tc>
        <w:tc>
          <w:tcPr>
            <w:tcW w:type="dxa" w:w="1587"/>
          </w:tcPr>
          <w:p>
            <w:pPr>
              <w:pStyle w:val="TableText"/>
            </w:pPr>
            <w:r/>
            <w:r>
              <w:t>—</w:t>
            </w:r>
          </w:p>
        </w:tc>
      </w:tr>
      <w:tr>
        <w:trPr>
          <w:cantSplit w:val="true"/>
        </w:trPr>
        <w:tc>
          <w:tcPr>
            <w:tcW w:type="dxa" w:w="567"/>
          </w:tcPr>
          <w:p>
            <w:pPr>
              <w:pStyle w:val="TableText"/>
            </w:pPr>
            <w:r/>
            <w:r>
              <w:t>6†</w:t>
            </w:r>
          </w:p>
        </w:tc>
        <w:tc>
          <w:tcPr>
            <w:tcW w:type="dxa" w:w="1644"/>
          </w:tcPr>
          <w:p>
            <w:pPr>
              <w:pStyle w:val="TableText"/>
            </w:pPr>
            <w:r/>
            <w:r>
              <w:t>GS staff / Academic Coordinator</w:t>
            </w:r>
          </w:p>
        </w:tc>
        <w:tc>
          <w:tcPr>
            <w:tcW w:type="dxa" w:w="4082"/>
          </w:tcPr>
          <w:p>
            <w:pPr>
              <w:pStyle w:val="TableText"/>
            </w:pPr>
            <w:r/>
            <w:r>
              <w:t>Keeps the subject status current. A student who enrolls late is added to the class list by searching for the student and tagging the subject.</w:t>
            </w:r>
          </w:p>
        </w:tc>
        <w:tc>
          <w:tcPr>
            <w:tcW w:type="dxa" w:w="1757"/>
          </w:tcPr>
          <w:p>
            <w:pPr>
              <w:pStyle w:val="TableText"/>
            </w:pPr>
            <w:r/>
            <w:r>
              <w:t>Class list; subject status</w:t>
            </w:r>
          </w:p>
        </w:tc>
        <w:tc>
          <w:tcPr>
            <w:tcW w:type="dxa" w:w="1587"/>
          </w:tcPr>
          <w:p>
            <w:pPr>
              <w:pStyle w:val="TableText"/>
            </w:pPr>
            <w:r/>
            <w:r>
              <w:t>As students are advised</w:t>
            </w:r>
          </w:p>
        </w:tc>
      </w:tr>
    </w:tbl>
    <w:p>
      <w:pPr>
        <w:spacing w:after="80" w:before="0"/>
      </w:pPr>
    </w:p>
    <w:p>
      <w:r>
        <w:rPr>
          <w:b w:val="0"/>
          <w:i/>
          <w:color w:val="595959"/>
          <w:sz w:val="17"/>
        </w:rPr>
        <w:t>† This step rests on a rule marked Practice or Proposed in section 4.2.5, or on the group's process model; it is not described in the Handbook or the Research Protocol and is to be confirmed by the Graduate School.</w:t>
      </w:r>
    </w:p>
    <w:p>
      <w:pPr>
        <w:pStyle w:val="Heading3"/>
      </w:pPr>
      <w:r>
        <w:t>4.2.5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ENR-01</w:t>
            </w:r>
          </w:p>
        </w:tc>
        <w:tc>
          <w:tcPr>
            <w:tcW w:type="dxa" w:w="4535"/>
          </w:tcPr>
          <w:p>
            <w:pPr>
              <w:pStyle w:val="TableText"/>
            </w:pPr>
            <w:r/>
            <w:r>
              <w:t>The enrolment procedures are: (1) academic evaluation and electronic advising with the Academic Coordinator, (2) payment at the Cashiers in the Business Office, (3) validation in the student's AIMS account, (4) ID issuance or renewal.</w:t>
            </w:r>
          </w:p>
        </w:tc>
        <w:tc>
          <w:tcPr>
            <w:tcW w:type="dxa" w:w="3005"/>
          </w:tcPr>
          <w:p>
            <w:pPr>
              <w:pStyle w:val="TableText"/>
            </w:pPr>
            <w:r/>
            <w:r>
              <w:t>Handbook 2022-2023, p. 47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ENR-02</w:t>
            </w:r>
          </w:p>
        </w:tc>
        <w:tc>
          <w:tcPr>
            <w:tcW w:type="dxa" w:w="4535"/>
          </w:tcPr>
          <w:p>
            <w:pPr>
              <w:pStyle w:val="TableText"/>
            </w:pPr>
            <w:r/>
            <w:r>
              <w:t>The normal load of a part-time graduate student is six (6) to nine (9) units per semester, and twelve (12) units for a full-time student.</w:t>
            </w:r>
          </w:p>
        </w:tc>
        <w:tc>
          <w:tcPr>
            <w:tcW w:type="dxa" w:w="3005"/>
          </w:tcPr>
          <w:p>
            <w:pPr>
              <w:pStyle w:val="TableText"/>
            </w:pPr>
            <w:r/>
            <w:r>
              <w:t>Handbook 2022-2023, p. 48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ENR-03</w:t>
            </w:r>
          </w:p>
        </w:tc>
        <w:tc>
          <w:tcPr>
            <w:tcW w:type="dxa" w:w="4535"/>
          </w:tcPr>
          <w:p>
            <w:pPr>
              <w:pStyle w:val="TableText"/>
            </w:pPr>
            <w:r/>
            <w:r>
              <w:t>Attendance is counted from the first regular class meeting regardless of the time of registration.</w:t>
            </w:r>
          </w:p>
        </w:tc>
        <w:tc>
          <w:tcPr>
            <w:tcW w:type="dxa" w:w="3005"/>
          </w:tcPr>
          <w:p>
            <w:pPr>
              <w:pStyle w:val="TableText"/>
            </w:pPr>
            <w:r/>
            <w:r>
              <w:t>Handbook 2022-2023, p. 52</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ENR-04</w:t>
            </w:r>
          </w:p>
        </w:tc>
        <w:tc>
          <w:tcPr>
            <w:tcW w:type="dxa" w:w="4535"/>
          </w:tcPr>
          <w:p>
            <w:pPr>
              <w:pStyle w:val="TableText"/>
            </w:pPr>
            <w:r/>
            <w:r>
              <w:t>Students with financial delinquencies at the close of the semester are not permitted to register in the succeeding semester unless previous accounts are settled.</w:t>
            </w:r>
          </w:p>
        </w:tc>
        <w:tc>
          <w:tcPr>
            <w:tcW w:type="dxa" w:w="3005"/>
          </w:tcPr>
          <w:p>
            <w:pPr>
              <w:pStyle w:val="TableText"/>
            </w:pPr>
            <w:r/>
            <w:r>
              <w:t>Handbook 2022-2023, p. 51</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ENR-05</w:t>
            </w:r>
          </w:p>
        </w:tc>
        <w:tc>
          <w:tcPr>
            <w:tcW w:type="dxa" w:w="4535"/>
          </w:tcPr>
          <w:p>
            <w:pPr>
              <w:pStyle w:val="TableText"/>
            </w:pPr>
            <w:r/>
            <w:r>
              <w:t>A master's student may transfer to another master's option with the approval of the Dean, upon the recommendation of the Academic Coordinator and endorsed by the Associate Dean.</w:t>
            </w:r>
          </w:p>
        </w:tc>
        <w:tc>
          <w:tcPr>
            <w:tcW w:type="dxa" w:w="3005"/>
          </w:tcPr>
          <w:p>
            <w:pPr>
              <w:pStyle w:val="TableText"/>
            </w:pPr>
            <w:r/>
            <w:r>
              <w:t>Handbook 2022-2023, p. 48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ENR-06</w:t>
            </w:r>
          </w:p>
        </w:tc>
        <w:tc>
          <w:tcPr>
            <w:tcW w:type="dxa" w:w="4535"/>
          </w:tcPr>
          <w:p>
            <w:pPr>
              <w:pStyle w:val="TableText"/>
            </w:pPr>
            <w:r/>
            <w:r>
              <w:t>Coursework at another institution is credited only if the student secured the Dean's written permission in advance; the Registrar then issues a cross-enrollment permit. Cross-enrollment is normally allowed only to a graduating student for a course not offered in the graduating semester, and never for major elective or major professional courses.</w:t>
            </w:r>
          </w:p>
        </w:tc>
        <w:tc>
          <w:tcPr>
            <w:tcW w:type="dxa" w:w="3005"/>
          </w:tcPr>
          <w:p>
            <w:pPr>
              <w:pStyle w:val="TableText"/>
            </w:pPr>
            <w:r/>
            <w:r>
              <w:t>Handbook 2022-2023, p. 50</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ENR-07</w:t>
            </w:r>
          </w:p>
        </w:tc>
        <w:tc>
          <w:tcPr>
            <w:tcW w:type="dxa" w:w="4535"/>
          </w:tcPr>
          <w:p>
            <w:pPr>
              <w:pStyle w:val="TableText"/>
            </w:pPr>
            <w:r/>
            <w:r>
              <w:t>A special class may be requested by the Academic Coordinator through the Dean, addressed to the Vice Chancellor for Academic Affairs. An undersized class is treated as a special class.</w:t>
            </w:r>
          </w:p>
        </w:tc>
        <w:tc>
          <w:tcPr>
            <w:tcW w:type="dxa" w:w="3005"/>
          </w:tcPr>
          <w:p>
            <w:pPr>
              <w:pStyle w:val="TableText"/>
            </w:pPr>
            <w:r/>
            <w:r>
              <w:t>Handbook 2022-2023, p. 48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ENR-08</w:t>
            </w:r>
          </w:p>
        </w:tc>
        <w:tc>
          <w:tcPr>
            <w:tcW w:type="dxa" w:w="4535"/>
          </w:tcPr>
          <w:p>
            <w:pPr>
              <w:pStyle w:val="TableText"/>
            </w:pPr>
            <w:r/>
            <w:r>
              <w:t>Enrollment takes place in AIMS. The Academic Coordinator advises the subjects and tags the student as enrolled in the Graduate School's record; the Graduate School record is a monitoring record.</w:t>
            </w:r>
          </w:p>
        </w:tc>
        <w:tc>
          <w:tcPr>
            <w:tcW w:type="dxa" w:w="3005"/>
          </w:tcPr>
          <w:p>
            <w:pPr>
              <w:pStyle w:val="TableText"/>
            </w:pPr>
            <w:r/>
            <w:r>
              <w:t>Consultation 21 July 2026</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ENR-09</w:t>
            </w:r>
          </w:p>
        </w:tc>
        <w:tc>
          <w:tcPr>
            <w:tcW w:type="dxa" w:w="4535"/>
          </w:tcPr>
          <w:p>
            <w:pPr>
              <w:pStyle w:val="TableText"/>
            </w:pPr>
            <w:r/>
            <w:r>
              <w:t>There are no ordinary course-to-course prerequisites in the Graduate School; eligibility rules apply mainly to the comprehensive examination and to the thesis or dissertation stage.</w:t>
            </w:r>
          </w:p>
        </w:tc>
        <w:tc>
          <w:tcPr>
            <w:tcW w:type="dxa" w:w="3005"/>
          </w:tcPr>
          <w:p>
            <w:pPr>
              <w:pStyle w:val="TableText"/>
            </w:pPr>
            <w:r/>
            <w:r>
              <w:t>Group working notes, July 20 checklist, items 16 and 75 (stakeholder-confirmed answer)</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ENR-10</w:t>
            </w:r>
          </w:p>
        </w:tc>
        <w:tc>
          <w:tcPr>
            <w:tcW w:type="dxa" w:w="4535"/>
          </w:tcPr>
          <w:p>
            <w:pPr>
              <w:pStyle w:val="TableText"/>
            </w:pPr>
            <w:r/>
            <w:r>
              <w:t>Enrollment normally occurs in June to July. Dates are kept as configurable academic periods, not fixed dates.</w:t>
            </w:r>
          </w:p>
        </w:tc>
        <w:tc>
          <w:tcPr>
            <w:tcW w:type="dxa" w:w="3005"/>
          </w:tcPr>
          <w:p>
            <w:pPr>
              <w:pStyle w:val="TableText"/>
            </w:pPr>
            <w:r/>
            <w:r>
              <w:t>Group working notes, July 20 checklist, items 10 and 76 (stakeholder-confirmed answer)</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ENR-11</w:t>
            </w:r>
          </w:p>
        </w:tc>
        <w:tc>
          <w:tcPr>
            <w:tcW w:type="dxa" w:w="4535"/>
          </w:tcPr>
          <w:p>
            <w:pPr>
              <w:pStyle w:val="TableText"/>
            </w:pPr>
            <w:r/>
            <w:r>
              <w:t>Each student-subject pair has one status: not taken, enrolled, taken, dropped, withdrawn; and, as reported by faculty, incomplete or failed.</w:t>
            </w:r>
          </w:p>
        </w:tc>
        <w:tc>
          <w:tcPr>
            <w:tcW w:type="dxa" w:w="3005"/>
          </w:tcPr>
          <w:p>
            <w:pPr>
              <w:pStyle w:val="TableText"/>
            </w:pPr>
            <w:r/>
            <w:r>
              <w:t>Consultation 21 July 2026</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ENR-12</w:t>
            </w:r>
          </w:p>
        </w:tc>
        <w:tc>
          <w:tcPr>
            <w:tcW w:type="dxa" w:w="4535"/>
          </w:tcPr>
          <w:p>
            <w:pPr>
              <w:pStyle w:val="TableText"/>
            </w:pPr>
            <w:r/>
            <w:r>
              <w:t>Faculty do not enter grades in the Graduate School record. A professor who fails a student or gives an incomplete reports it to the Academic Coordinator, who tags the status.</w:t>
            </w:r>
          </w:p>
        </w:tc>
        <w:tc>
          <w:tcPr>
            <w:tcW w:type="dxa" w:w="3005"/>
          </w:tcPr>
          <w:p>
            <w:pPr>
              <w:pStyle w:val="TableText"/>
            </w:pPr>
            <w:r/>
            <w:r>
              <w:t>Consultation 21 July 2026</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ENR-13</w:t>
            </w:r>
          </w:p>
        </w:tc>
        <w:tc>
          <w:tcPr>
            <w:tcW w:type="dxa" w:w="4535"/>
          </w:tcPr>
          <w:p>
            <w:pPr>
              <w:pStyle w:val="TableText"/>
            </w:pPr>
            <w:r/>
            <w:r>
              <w:t>The platform shows the Academic Coordinator the load tagged for a student (below six units, six to nine units part-time, above nine to twelve units full-time). A load above twelve units is flagged and can be saved only with a documented exception; a load below twelve units is information and does not block the tag.</w:t>
            </w:r>
          </w:p>
        </w:tc>
        <w:tc>
          <w:tcPr>
            <w:tcW w:type="dxa" w:w="3005"/>
          </w:tcPr>
          <w:p>
            <w:pPr>
              <w:pStyle w:val="TableText"/>
            </w:pPr>
            <w:r/>
            <w:r>
              <w:t>Handbook 2022-2023, p. 48</w:t>
            </w:r>
          </w:p>
        </w:tc>
        <w:tc>
          <w:tcPr>
            <w:tcW w:type="dxa" w:w="1191"/>
            <w:shd w:val="clear" w:color="auto" w:fill="DDEBF7"/>
          </w:tcPr>
          <w:p>
            <w:pPr>
              <w:pStyle w:val="TableText"/>
            </w:pPr>
            <w:r>
              <w:rPr>
                <w:b/>
              </w:rPr>
            </w:r>
            <w:r>
              <w:rPr>
                <w:b/>
              </w:rPr>
              <w:t>Proposed</w:t>
            </w:r>
          </w:p>
        </w:tc>
      </w:tr>
    </w:tbl>
    <w:p>
      <w:pPr>
        <w:spacing w:after="80" w:before="0"/>
      </w:pPr>
    </w:p>
    <w:p>
      <w:pPr>
        <w:pStyle w:val="Heading3"/>
      </w:pPr>
      <w:r>
        <w:t>4.2.6 Exceptions and unusual cases</w:t>
      </w:r>
    </w:p>
    <w:p>
      <w:pPr>
        <w:pStyle w:val="ListBullet"/>
        <w:spacing w:after="40"/>
      </w:pPr>
      <w:r>
        <w:t>A student enrolls late or in a special class: the student is added to the class list of the subject by GS staff or the Academic Coordinator (Consultation 21 July 2026).</w:t>
      </w:r>
    </w:p>
    <w:p>
      <w:pPr>
        <w:pStyle w:val="ListBullet"/>
        <w:spacing w:after="40"/>
      </w:pPr>
      <w:r>
        <w:t>A student who is not enrolled in any subject but wants to complete an INC, take the comprehensive examination, or wait for a research publication must enroll for residency (see 4.9).</w:t>
      </w:r>
    </w:p>
    <w:p>
      <w:pPr>
        <w:pStyle w:val="ListBullet"/>
        <w:spacing w:after="40"/>
      </w:pPr>
      <w:r>
        <w:t>A student who does not intend to enroll for a valid reason such as medical reasons and still has remaining units files for a leave of absence, not residency (see 4.6).</w:t>
      </w:r>
    </w:p>
    <w:p>
      <w:pPr>
        <w:pStyle w:val="ListBullet"/>
        <w:spacing w:after="40"/>
      </w:pPr>
      <w:r>
        <w:t>A student with a financial delinquency at the close of the semester may not register in the next semester until previous accounts are settled (ENR-04).</w:t>
      </w:r>
    </w:p>
    <w:p>
      <w:pPr>
        <w:pStyle w:val="Heading3"/>
      </w:pPr>
      <w:r>
        <w:t>4.2.7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Subject status per student and subject (enrolled)</w:t>
            </w:r>
          </w:p>
        </w:tc>
        <w:tc>
          <w:tcPr>
            <w:tcW w:type="dxa" w:w="5102"/>
          </w:tcPr>
          <w:p>
            <w:pPr>
              <w:pStyle w:val="TableText"/>
            </w:pPr>
            <w:r/>
            <w:r>
              <w:t>Monitoring workbook and platform record</w:t>
            </w:r>
          </w:p>
        </w:tc>
      </w:tr>
      <w:tr>
        <w:trPr>
          <w:cantSplit w:val="true"/>
        </w:trPr>
        <w:tc>
          <w:tcPr>
            <w:tcW w:type="dxa" w:w="4535"/>
          </w:tcPr>
          <w:p>
            <w:pPr>
              <w:pStyle w:val="TableText"/>
            </w:pPr>
            <w:r/>
            <w:r>
              <w:t>Class list per subject offering</w:t>
            </w:r>
          </w:p>
        </w:tc>
        <w:tc>
          <w:tcPr>
            <w:tcW w:type="dxa" w:w="5102"/>
          </w:tcPr>
          <w:p>
            <w:pPr>
              <w:pStyle w:val="TableText"/>
            </w:pPr>
            <w:r/>
            <w:r>
              <w:t>Academic Coordinator and GS staff</w:t>
            </w:r>
          </w:p>
        </w:tc>
      </w:tr>
      <w:tr>
        <w:trPr>
          <w:cantSplit w:val="true"/>
        </w:trPr>
        <w:tc>
          <w:tcPr>
            <w:tcW w:type="dxa" w:w="4535"/>
          </w:tcPr>
          <w:p>
            <w:pPr>
              <w:pStyle w:val="TableText"/>
            </w:pPr>
            <w:r/>
            <w:r>
              <w:t>Official enrollment and receipts</w:t>
            </w:r>
          </w:p>
        </w:tc>
        <w:tc>
          <w:tcPr>
            <w:tcW w:type="dxa" w:w="5102"/>
          </w:tcPr>
          <w:p>
            <w:pPr>
              <w:pStyle w:val="TableText"/>
            </w:pPr>
            <w:r/>
            <w:r>
              <w:t>AIMS and the Business Office</w:t>
            </w:r>
          </w:p>
        </w:tc>
      </w:tr>
    </w:tbl>
    <w:p>
      <w:pPr>
        <w:spacing w:after="80" w:before="0"/>
      </w:pPr>
    </w:p>
    <w:p>
      <w:pPr>
        <w:pStyle w:val="Heading3"/>
      </w:pPr>
      <w:r>
        <w:t>4.2.8 How the platform supports this process</w:t>
      </w:r>
    </w:p>
    <w:p>
      <w:r>
        <w:rPr>
          <w:b w:val="0"/>
          <w:i w:val="0"/>
        </w:rPr>
        <w:t>The platform shows each student's subjects and statuses. The Academic Coordinator or GS staff tag subjects as enrolled through an enrollment preview (by search or by class-list upload), and a student can select offered subjects in the student portal within the same limits. The preview applies the register. It blocks a student who is AWOL, on leave, withdrawn, graduated or completed, a subject from another program, and a subject the student has already completed. It flags, and lets the tag be saved only with a documented exception chosen by the staff member, a load above the full-time load of 12 units, an addition or change of subject after the first week (see 4.3), a subject that is not on the published offering list, and a subject already active in another semester. The load is classified for information: below 6 units, 6 to 9 units (part-time), above 9 to 12 units (full-time). A student cannot grant himself or herself an exception: the portal refuses a selection that would need one. The class-list upload applies the standing, program, offering and duplicate checks but not the load check or the first-week check. The platform does not perform the official enrollment in AIMS.</w:t>
      </w:r>
    </w:p>
    <w:p>
      <w:r>
        <w:rPr>
          <w:b/>
          <w:i w:val="0"/>
        </w:rPr>
        <w:t xml:space="preserve">Difference between the platform and the rule. </w:t>
      </w:r>
      <w:r>
        <w:t>The platform follows the Handbook's load (ENR-02) in part. The 12-unit full-time load is enforced with a documented exception. The 6-unit and 9-unit bounds of the part-time load are shown as information only, because the Handbook calls them the normal load and not a limit. ENR-13 is therefore implemented as a classification that blocks only above 12 units. The platform does not check financial delinquency (ENR-04, Business Office), attendance counting (ENR-03), the transfer of option (ENR-05), cross-enrollment (ENR-06) or special classes (ENR-07); these are left to people. It has no enrollment period: a semester carries start and end dates only (ENR-10).</w:t>
      </w:r>
    </w:p>
    <w:p>
      <w:pPr>
        <w:pStyle w:val="Heading2"/>
        <w:spacing w:before="360"/>
      </w:pPr>
      <w:r>
        <w:t>4.3 Course offering and course adjustments (change and add of subject)</w:t>
      </w:r>
    </w:p>
    <w:p>
      <w:pPr>
        <w:pStyle w:val="Heading3"/>
      </w:pPr>
      <w:r>
        <w:t>4.3.1 Purpose</w:t>
      </w:r>
    </w:p>
    <w:p>
      <w:r>
        <w:rPr>
          <w:b w:val="0"/>
          <w:i w:val="0"/>
        </w:rPr>
        <w:t>To decide which subjects will be offered in a coming semester, to assign faculty and schedules, and to state when a student may change or add a subject after enrolling.</w:t>
      </w:r>
    </w:p>
    <w:p>
      <w:pPr>
        <w:pStyle w:val="Heading3"/>
      </w:pPr>
      <w:r>
        <w:t>4.3.2 Who is involved</w:t>
      </w:r>
    </w:p>
    <w:p>
      <w:r>
        <w:rPr>
          <w:b w:val="0"/>
          <w:i w:val="0"/>
        </w:rPr>
        <w:t>Academic Coordinator; Graduate School Dean; Associate Dean; GS staff; Business Office (external); Student.</w:t>
      </w:r>
    </w:p>
    <w:p>
      <w:pPr>
        <w:pStyle w:val="Heading3"/>
      </w:pPr>
      <w:r>
        <w:t>4.3.3 Trigger and preconditions</w:t>
      </w:r>
    </w:p>
    <w:p>
      <w:r>
        <w:rPr>
          <w:b/>
          <w:i w:val="0"/>
        </w:rPr>
        <w:t xml:space="preserve">Trigger. </w:t>
      </w:r>
      <w:r>
        <w:t>The semester is ending or has ended (term break) and the office must plan the next semester; or a student asks to change or add a subject in the first week of classes.</w:t>
      </w:r>
    </w:p>
    <w:p>
      <w:r>
        <w:rPr>
          <w:b/>
          <w:i w:val="0"/>
        </w:rPr>
        <w:t>Preconditions.</w:t>
      </w:r>
    </w:p>
    <w:p>
      <w:pPr>
        <w:pStyle w:val="ListBullet"/>
        <w:spacing w:after="40"/>
      </w:pPr>
      <w:r>
        <w:t>Current subject statuses are recorded (who has taken which subject).</w:t>
      </w:r>
    </w:p>
    <w:p>
      <w:pPr>
        <w:pStyle w:val="ListBullet"/>
        <w:spacing w:after="40"/>
      </w:pPr>
      <w:r>
        <w:t>The monitoring record shows, for each program, which required subjects the students have not yet taken.</w:t>
      </w:r>
    </w:p>
    <w:p>
      <w:pPr>
        <w:pStyle w:val="Heading3"/>
      </w:pPr>
      <w:r>
        <w:t>4.3.4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Academic Coordinator</w:t>
            </w:r>
          </w:p>
        </w:tc>
        <w:tc>
          <w:tcPr>
            <w:tcW w:type="dxa" w:w="4082"/>
          </w:tcPr>
          <w:p>
            <w:pPr>
              <w:pStyle w:val="TableText"/>
            </w:pPr>
            <w:r/>
            <w:r>
              <w:t>Reviews the consolidated list of students and subjects (taken and not taken) and the count of students who still need each subject (the subject needs report).</w:t>
            </w:r>
          </w:p>
        </w:tc>
        <w:tc>
          <w:tcPr>
            <w:tcW w:type="dxa" w:w="1757"/>
          </w:tcPr>
          <w:p>
            <w:pPr>
              <w:pStyle w:val="TableText"/>
            </w:pPr>
            <w:r/>
            <w:r>
              <w:t>Subject needs report; monitoring workbook</w:t>
            </w:r>
          </w:p>
        </w:tc>
        <w:tc>
          <w:tcPr>
            <w:tcW w:type="dxa" w:w="1587"/>
          </w:tcPr>
          <w:p>
            <w:pPr>
              <w:pStyle w:val="TableText"/>
            </w:pPr>
            <w:r/>
            <w:r>
              <w:t>During the term break, before enrollment</w:t>
            </w:r>
          </w:p>
        </w:tc>
      </w:tr>
      <w:tr>
        <w:trPr>
          <w:cantSplit w:val="true"/>
        </w:trPr>
        <w:tc>
          <w:tcPr>
            <w:tcW w:type="dxa" w:w="567"/>
          </w:tcPr>
          <w:p>
            <w:pPr>
              <w:pStyle w:val="TableText"/>
            </w:pPr>
            <w:r/>
            <w:r>
              <w:t>2†</w:t>
            </w:r>
          </w:p>
        </w:tc>
        <w:tc>
          <w:tcPr>
            <w:tcW w:type="dxa" w:w="1644"/>
          </w:tcPr>
          <w:p>
            <w:pPr>
              <w:pStyle w:val="TableText"/>
            </w:pPr>
            <w:r/>
            <w:r>
              <w:t>Academic Coordinator</w:t>
            </w:r>
          </w:p>
        </w:tc>
        <w:tc>
          <w:tcPr>
            <w:tcW w:type="dxa" w:w="4082"/>
          </w:tcPr>
          <w:p>
            <w:pPr>
              <w:pStyle w:val="TableText"/>
            </w:pPr>
            <w:r/>
            <w:r>
              <w:t>Decides which subjects will be offered, and assigns the professor and schedule for each. Subjects with too few students may be left out or treated as a special class.</w:t>
            </w:r>
          </w:p>
        </w:tc>
        <w:tc>
          <w:tcPr>
            <w:tcW w:type="dxa" w:w="1757"/>
          </w:tcPr>
          <w:p>
            <w:pPr>
              <w:pStyle w:val="TableText"/>
            </w:pPr>
            <w:r/>
            <w:r>
              <w:t>Subject offering list (program, subject code, subject, faculty, schedule)</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Dean</w:t>
            </w:r>
          </w:p>
        </w:tc>
        <w:tc>
          <w:tcPr>
            <w:tcW w:type="dxa" w:w="4082"/>
          </w:tcPr>
          <w:p>
            <w:pPr>
              <w:pStyle w:val="TableText"/>
            </w:pPr>
            <w:r/>
            <w:r>
              <w:t>Reviews and approves the offering plan, or asks for a revision. (Group's process model; not confirmed.)</w:t>
            </w:r>
          </w:p>
        </w:tc>
        <w:tc>
          <w:tcPr>
            <w:tcW w:type="dxa" w:w="1757"/>
          </w:tcPr>
          <w:p>
            <w:pPr>
              <w:pStyle w:val="TableText"/>
            </w:pPr>
            <w:r/>
            <w:r>
              <w:t>Approved offering list</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GS staff</w:t>
            </w:r>
          </w:p>
        </w:tc>
        <w:tc>
          <w:tcPr>
            <w:tcW w:type="dxa" w:w="4082"/>
          </w:tcPr>
          <w:p>
            <w:pPr>
              <w:pStyle w:val="TableText"/>
            </w:pPr>
            <w:r/>
            <w:r>
              <w:t>Publishes and records the final offering list; students are tagged as enrolled in the offered subjects during enrollment (see 4.2).</w:t>
            </w:r>
          </w:p>
        </w:tc>
        <w:tc>
          <w:tcPr>
            <w:tcW w:type="dxa" w:w="1757"/>
          </w:tcPr>
          <w:p>
            <w:pPr>
              <w:pStyle w:val="TableText"/>
            </w:pPr>
            <w:r/>
            <w:r>
              <w:t>Offering list</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Student</w:t>
            </w:r>
          </w:p>
        </w:tc>
        <w:tc>
          <w:tcPr>
            <w:tcW w:type="dxa" w:w="4082"/>
          </w:tcPr>
          <w:p>
            <w:pPr>
              <w:pStyle w:val="TableText"/>
            </w:pPr>
            <w:r/>
            <w:r>
              <w:t>To change a subject: within the first week of classes, if the original subject is dissolved, if there is a schedule conflict, or if the student failed the prerequisite subject.</w:t>
            </w:r>
          </w:p>
        </w:tc>
        <w:tc>
          <w:tcPr>
            <w:tcW w:type="dxa" w:w="1757"/>
          </w:tcPr>
          <w:p>
            <w:pPr>
              <w:pStyle w:val="TableText"/>
            </w:pPr>
            <w:r/>
            <w:r>
              <w:t>Request to the Academic Coordinator</w:t>
            </w:r>
          </w:p>
        </w:tc>
        <w:tc>
          <w:tcPr>
            <w:tcW w:type="dxa" w:w="1587"/>
          </w:tcPr>
          <w:p>
            <w:pPr>
              <w:pStyle w:val="TableText"/>
            </w:pPr>
            <w:r/>
            <w:r>
              <w:t>First week of classes</w:t>
            </w:r>
          </w:p>
        </w:tc>
      </w:tr>
      <w:tr>
        <w:trPr>
          <w:cantSplit w:val="true"/>
        </w:trPr>
        <w:tc>
          <w:tcPr>
            <w:tcW w:type="dxa" w:w="567"/>
          </w:tcPr>
          <w:p>
            <w:pPr>
              <w:pStyle w:val="TableText"/>
            </w:pPr>
            <w:r/>
            <w:r>
              <w:t>6</w:t>
            </w:r>
          </w:p>
        </w:tc>
        <w:tc>
          <w:tcPr>
            <w:tcW w:type="dxa" w:w="1644"/>
          </w:tcPr>
          <w:p>
            <w:pPr>
              <w:pStyle w:val="TableText"/>
            </w:pPr>
            <w:r/>
            <w:r>
              <w:t>Student</w:t>
            </w:r>
          </w:p>
        </w:tc>
        <w:tc>
          <w:tcPr>
            <w:tcW w:type="dxa" w:w="4082"/>
          </w:tcPr>
          <w:p>
            <w:pPr>
              <w:pStyle w:val="TableText"/>
            </w:pPr>
            <w:r/>
            <w:r>
              <w:t>To add a subject: obtains the written approval of the Associate Dean in the first week of classes.</w:t>
            </w:r>
          </w:p>
        </w:tc>
        <w:tc>
          <w:tcPr>
            <w:tcW w:type="dxa" w:w="1757"/>
          </w:tcPr>
          <w:p>
            <w:pPr>
              <w:pStyle w:val="TableText"/>
            </w:pPr>
            <w:r/>
            <w:r>
              <w:t>Associate Dean's written approval</w:t>
            </w:r>
          </w:p>
        </w:tc>
        <w:tc>
          <w:tcPr>
            <w:tcW w:type="dxa" w:w="1587"/>
          </w:tcPr>
          <w:p>
            <w:pPr>
              <w:pStyle w:val="TableText"/>
            </w:pPr>
            <w:r/>
            <w:r>
              <w:t>First week of classes</w:t>
            </w:r>
          </w:p>
        </w:tc>
      </w:tr>
      <w:tr>
        <w:trPr>
          <w:cantSplit w:val="true"/>
        </w:trPr>
        <w:tc>
          <w:tcPr>
            <w:tcW w:type="dxa" w:w="567"/>
          </w:tcPr>
          <w:p>
            <w:pPr>
              <w:pStyle w:val="TableText"/>
            </w:pPr>
            <w:r/>
            <w:r>
              <w:t>7</w:t>
            </w:r>
          </w:p>
        </w:tc>
        <w:tc>
          <w:tcPr>
            <w:tcW w:type="dxa" w:w="1644"/>
          </w:tcPr>
          <w:p>
            <w:pPr>
              <w:pStyle w:val="TableText"/>
            </w:pPr>
            <w:r/>
            <w:r>
              <w:t>Student</w:t>
            </w:r>
          </w:p>
        </w:tc>
        <w:tc>
          <w:tcPr>
            <w:tcW w:type="dxa" w:w="4082"/>
          </w:tcPr>
          <w:p>
            <w:pPr>
              <w:pStyle w:val="TableText"/>
            </w:pPr>
            <w:r/>
            <w:r>
              <w:t>Un-tags the enrollment form at the Business Office, obtains an Advice Slip from the Graduate School Office, and goes through the enrolment procedure again.</w:t>
            </w:r>
          </w:p>
        </w:tc>
        <w:tc>
          <w:tcPr>
            <w:tcW w:type="dxa" w:w="1757"/>
          </w:tcPr>
          <w:p>
            <w:pPr>
              <w:pStyle w:val="TableText"/>
            </w:pPr>
            <w:r/>
            <w:r>
              <w:t>Advice Slip</w:t>
            </w:r>
          </w:p>
        </w:tc>
        <w:tc>
          <w:tcPr>
            <w:tcW w:type="dxa" w:w="1587"/>
          </w:tcPr>
          <w:p>
            <w:pPr>
              <w:pStyle w:val="TableText"/>
            </w:pPr>
            <w:r/>
            <w:r>
              <w:t>First week of classes</w:t>
            </w:r>
          </w:p>
        </w:tc>
      </w:tr>
    </w:tbl>
    <w:p>
      <w:pPr>
        <w:spacing w:after="80" w:before="0"/>
      </w:pPr>
    </w:p>
    <w:p>
      <w:r>
        <w:rPr>
          <w:b w:val="0"/>
          <w:i/>
          <w:color w:val="595959"/>
          <w:sz w:val="17"/>
        </w:rPr>
        <w:t>† This step rests on a rule marked Practice or Proposed in section 4.3.5, or on the group's process model; it is not described in the Handbook or the Research Protocol and is to be confirmed by the Graduate School.</w:t>
      </w:r>
    </w:p>
    <w:p>
      <w:pPr>
        <w:pStyle w:val="Heading3"/>
      </w:pPr>
      <w:r>
        <w:t>4.3.5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CRS-01</w:t>
            </w:r>
          </w:p>
        </w:tc>
        <w:tc>
          <w:tcPr>
            <w:tcW w:type="dxa" w:w="4535"/>
          </w:tcPr>
          <w:p>
            <w:pPr>
              <w:pStyle w:val="TableText"/>
            </w:pPr>
            <w:r/>
            <w:r>
              <w:t>Changing one subject for another is allowed during the first week of classes if the original subject is dissolved, if the student has a schedule conflict, or if the student fails the prerequisite subject.</w:t>
            </w:r>
          </w:p>
        </w:tc>
        <w:tc>
          <w:tcPr>
            <w:tcW w:type="dxa" w:w="3005"/>
          </w:tcPr>
          <w:p>
            <w:pPr>
              <w:pStyle w:val="TableText"/>
            </w:pPr>
            <w:r/>
            <w:r>
              <w:t>Handbook 2022-2023, pp. 48-49</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CRS-02</w:t>
            </w:r>
          </w:p>
        </w:tc>
        <w:tc>
          <w:tcPr>
            <w:tcW w:type="dxa" w:w="4535"/>
          </w:tcPr>
          <w:p>
            <w:pPr>
              <w:pStyle w:val="TableText"/>
            </w:pPr>
            <w:r/>
            <w:r>
              <w:t>Adding subjects is allowed during the first week of classes upon the written approval of the Associate Dean.</w:t>
            </w:r>
          </w:p>
        </w:tc>
        <w:tc>
          <w:tcPr>
            <w:tcW w:type="dxa" w:w="3005"/>
          </w:tcPr>
          <w:p>
            <w:pPr>
              <w:pStyle w:val="TableText"/>
            </w:pPr>
            <w:r/>
            <w:r>
              <w:t>Handbook 2022-2023, p. 49</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CRS-03</w:t>
            </w:r>
          </w:p>
        </w:tc>
        <w:tc>
          <w:tcPr>
            <w:tcW w:type="dxa" w:w="4535"/>
          </w:tcPr>
          <w:p>
            <w:pPr>
              <w:pStyle w:val="TableText"/>
            </w:pPr>
            <w:r/>
            <w:r>
              <w:t>To add a subject: (1) un-tag the enrolment form in the Business Office, (2) secure an Advice Slip from the Graduate School Office, (3) go through the enrolment procedure.</w:t>
            </w:r>
          </w:p>
        </w:tc>
        <w:tc>
          <w:tcPr>
            <w:tcW w:type="dxa" w:w="3005"/>
          </w:tcPr>
          <w:p>
            <w:pPr>
              <w:pStyle w:val="TableText"/>
            </w:pPr>
            <w:r/>
            <w:r>
              <w:t>Handbook 2022-2023, p. 49</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CRS-04</w:t>
            </w:r>
          </w:p>
        </w:tc>
        <w:tc>
          <w:tcPr>
            <w:tcW w:type="dxa" w:w="4535"/>
          </w:tcPr>
          <w:p>
            <w:pPr>
              <w:pStyle w:val="TableText"/>
            </w:pPr>
            <w:r/>
            <w:r>
              <w:t>An undersized class is treated as a special class; the Graduate School Dean ensures that each new batch reaches the minimum number of enrollees to allow for attrition.</w:t>
            </w:r>
          </w:p>
        </w:tc>
        <w:tc>
          <w:tcPr>
            <w:tcW w:type="dxa" w:w="3005"/>
          </w:tcPr>
          <w:p>
            <w:pPr>
              <w:pStyle w:val="TableText"/>
            </w:pPr>
            <w:r/>
            <w:r>
              <w:t>Handbook 2022-2023, p. 48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CRS-05</w:t>
            </w:r>
          </w:p>
        </w:tc>
        <w:tc>
          <w:tcPr>
            <w:tcW w:type="dxa" w:w="4535"/>
          </w:tcPr>
          <w:p>
            <w:pPr>
              <w:pStyle w:val="TableText"/>
            </w:pPr>
            <w:r/>
            <w:r>
              <w:t>A full refund is made to students for any courses discontinued by the school.</w:t>
            </w:r>
          </w:p>
        </w:tc>
        <w:tc>
          <w:tcPr>
            <w:tcW w:type="dxa" w:w="3005"/>
          </w:tcPr>
          <w:p>
            <w:pPr>
              <w:pStyle w:val="TableText"/>
            </w:pPr>
            <w:r/>
            <w:r>
              <w:t>Handbook 2022-2023, p. 51</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CRS-06</w:t>
            </w:r>
          </w:p>
        </w:tc>
        <w:tc>
          <w:tcPr>
            <w:tcW w:type="dxa" w:w="4535"/>
          </w:tcPr>
          <w:p>
            <w:pPr>
              <w:pStyle w:val="TableText"/>
            </w:pPr>
            <w:r/>
            <w:r>
              <w:t>Course adjustments (change and add) may continue until the first week of classes.</w:t>
            </w:r>
          </w:p>
        </w:tc>
        <w:tc>
          <w:tcPr>
            <w:tcW w:type="dxa" w:w="3005"/>
          </w:tcPr>
          <w:p>
            <w:pPr>
              <w:pStyle w:val="TableText"/>
            </w:pPr>
            <w:r/>
            <w:r>
              <w:t>Group working notes, July 20 checklist, items 10, 34 and 77 (stakeholder-confirmed answer)</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CRS-07</w:t>
            </w:r>
          </w:p>
        </w:tc>
        <w:tc>
          <w:tcPr>
            <w:tcW w:type="dxa" w:w="4535"/>
          </w:tcPr>
          <w:p>
            <w:pPr>
              <w:pStyle w:val="TableText"/>
            </w:pPr>
            <w:r/>
            <w:r>
              <w:t>The Academic Coordinator chooses the subjects to offer by studying which subjects students have and have not taken; each offering states the subject, the schedule and the professor; the Academic Coordinator decides who teaches it.</w:t>
            </w:r>
          </w:p>
        </w:tc>
        <w:tc>
          <w:tcPr>
            <w:tcW w:type="dxa" w:w="3005"/>
          </w:tcPr>
          <w:p>
            <w:pPr>
              <w:pStyle w:val="TableText"/>
            </w:pPr>
            <w:r/>
            <w:r>
              <w:t>Consultation 21 July 2026</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CRS-08</w:t>
            </w:r>
          </w:p>
        </w:tc>
        <w:tc>
          <w:tcPr>
            <w:tcW w:type="dxa" w:w="4535"/>
          </w:tcPr>
          <w:p>
            <w:pPr>
              <w:pStyle w:val="TableText"/>
            </w:pPr>
            <w:r/>
            <w:r>
              <w:t>A subject counts as needed when at least one student needs it. A need is not an offering: subject need, proposed offering, approved offering and scheduled class are kept separate.</w:t>
            </w:r>
          </w:p>
        </w:tc>
        <w:tc>
          <w:tcPr>
            <w:tcW w:type="dxa" w:w="3005"/>
          </w:tcPr>
          <w:p>
            <w:pPr>
              <w:pStyle w:val="TableText"/>
            </w:pPr>
            <w:r/>
            <w:r>
              <w:t>Group working notes, July 20 checklist, items 31 and 85 (answer attributed to the Associate Dean); Consultation 29 July 2026, the group reports the demand cutoff of one as the Associate Dean's answer</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CRS-09</w:t>
            </w:r>
          </w:p>
        </w:tc>
        <w:tc>
          <w:tcPr>
            <w:tcW w:type="dxa" w:w="4535"/>
          </w:tcPr>
          <w:p>
            <w:pPr>
              <w:pStyle w:val="TableText"/>
            </w:pPr>
            <w:r/>
            <w:r>
              <w:t>Offerings are planned during the term break, after the previous semester ends and before enrollment.</w:t>
            </w:r>
          </w:p>
        </w:tc>
        <w:tc>
          <w:tcPr>
            <w:tcW w:type="dxa" w:w="3005"/>
          </w:tcPr>
          <w:p>
            <w:pPr>
              <w:pStyle w:val="TableText"/>
            </w:pPr>
            <w:r/>
            <w:r>
              <w:t>Group working notes, July 20 checklist, item 34; Consultation 29 July 2026 rehearsal</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CRS-10</w:t>
            </w:r>
          </w:p>
        </w:tc>
        <w:tc>
          <w:tcPr>
            <w:tcW w:type="dxa" w:w="4535"/>
          </w:tcPr>
          <w:p>
            <w:pPr>
              <w:pStyle w:val="TableText"/>
            </w:pPr>
            <w:r/>
            <w:r>
              <w:t>The Dean approves the offering plan before it is published.</w:t>
            </w:r>
          </w:p>
        </w:tc>
        <w:tc>
          <w:tcPr>
            <w:tcW w:type="dxa" w:w="3005"/>
          </w:tcPr>
          <w:p>
            <w:pPr>
              <w:pStyle w:val="TableText"/>
            </w:pPr>
            <w:r/>
            <w:r>
              <w:t>Group working notes, BPM accurate flow, section 3</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CRS-11</w:t>
            </w:r>
          </w:p>
        </w:tc>
        <w:tc>
          <w:tcPr>
            <w:tcW w:type="dxa" w:w="4535"/>
          </w:tcPr>
          <w:p>
            <w:pPr>
              <w:pStyle w:val="TableText"/>
            </w:pPr>
            <w:r/>
            <w:r>
              <w:t>When the Academic Coordinator decides not to offer a subject, the platform shows which students would be delayed, so that the decision can be made with that information; the decision stays with the Academic Coordinator.</w:t>
            </w:r>
          </w:p>
        </w:tc>
        <w:tc>
          <w:tcPr>
            <w:tcW w:type="dxa" w:w="3005"/>
          </w:tcPr>
          <w:p>
            <w:pPr>
              <w:pStyle w:val="TableText"/>
            </w:pPr>
            <w:r/>
            <w:r>
              <w:t>Group working notes, July 20 checklist, items 32, 33 and 86</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CRS-12</w:t>
            </w:r>
          </w:p>
        </w:tc>
        <w:tc>
          <w:tcPr>
            <w:tcW w:type="dxa" w:w="4535"/>
          </w:tcPr>
          <w:p>
            <w:pPr>
              <w:pStyle w:val="TableText"/>
            </w:pPr>
            <w:r/>
            <w:r>
              <w:t>When assigning a professor the Academic Coordinator considers the professor's preferred subjects, availability, qualifications, current load and schedule conflicts; the platform only suggests.</w:t>
            </w:r>
          </w:p>
        </w:tc>
        <w:tc>
          <w:tcPr>
            <w:tcW w:type="dxa" w:w="3005"/>
          </w:tcPr>
          <w:p>
            <w:pPr>
              <w:pStyle w:val="TableText"/>
            </w:pPr>
            <w:r/>
            <w:r>
              <w:t>Group working notes, July 20 checklist, items 36-40, 88-90</w:t>
            </w:r>
          </w:p>
        </w:tc>
        <w:tc>
          <w:tcPr>
            <w:tcW w:type="dxa" w:w="1191"/>
            <w:shd w:val="clear" w:color="auto" w:fill="DDEBF7"/>
          </w:tcPr>
          <w:p>
            <w:pPr>
              <w:pStyle w:val="TableText"/>
            </w:pPr>
            <w:r>
              <w:rPr>
                <w:b/>
              </w:rPr>
            </w:r>
            <w:r>
              <w:rPr>
                <w:b/>
              </w:rPr>
              <w:t>Proposed</w:t>
            </w:r>
          </w:p>
        </w:tc>
      </w:tr>
    </w:tbl>
    <w:p>
      <w:pPr>
        <w:spacing w:after="80" w:before="0"/>
      </w:pPr>
    </w:p>
    <w:p>
      <w:pPr>
        <w:pStyle w:val="Heading3"/>
      </w:pPr>
      <w:r>
        <w:t>4.3.6 Exceptions and unusual cases</w:t>
      </w:r>
    </w:p>
    <w:p>
      <w:pPr>
        <w:pStyle w:val="ListBullet"/>
        <w:spacing w:after="40"/>
      </w:pPr>
      <w:r>
        <w:t>A subject is not offered because demand is too low: affected students are advised to take another subject or wait; a special class may be requested through the Dean to the Vice Chancellor for Academic Affairs (Handbook 2022-2023, p. 48).</w:t>
      </w:r>
    </w:p>
    <w:p>
      <w:pPr>
        <w:pStyle w:val="ListBullet"/>
        <w:spacing w:after="40"/>
      </w:pPr>
      <w:r>
        <w:t>Two subjects assigned to the same professor at the same time: the Academic Coordinator changes the professor or the schedule before the offering is confirmed (Consultation 29 July 2026 rehearsal; Proposed).</w:t>
      </w:r>
    </w:p>
    <w:p>
      <w:pPr>
        <w:pStyle w:val="ListBullet"/>
        <w:spacing w:after="40"/>
      </w:pPr>
      <w:r>
        <w:t>A student enrolls late or in an unusual case outside the normal flow: the Registrar sends a list and the student is added to the class list (Consultation 29 July 2026; process not fully described in the sources).</w:t>
      </w:r>
    </w:p>
    <w:p>
      <w:pPr>
        <w:pStyle w:val="Heading3"/>
      </w:pPr>
      <w:r>
        <w:t>4.3.7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Subject needs report and offering decisions</w:t>
            </w:r>
          </w:p>
        </w:tc>
        <w:tc>
          <w:tcPr>
            <w:tcW w:type="dxa" w:w="5102"/>
          </w:tcPr>
          <w:p>
            <w:pPr>
              <w:pStyle w:val="TableText"/>
            </w:pPr>
            <w:r/>
            <w:r>
              <w:t>Academic Coordinator; Dean</w:t>
            </w:r>
          </w:p>
        </w:tc>
      </w:tr>
      <w:tr>
        <w:trPr>
          <w:cantSplit w:val="true"/>
        </w:trPr>
        <w:tc>
          <w:tcPr>
            <w:tcW w:type="dxa" w:w="4535"/>
          </w:tcPr>
          <w:p>
            <w:pPr>
              <w:pStyle w:val="TableText"/>
            </w:pPr>
            <w:r/>
            <w:r>
              <w:t>Published subject offering list</w:t>
            </w:r>
          </w:p>
        </w:tc>
        <w:tc>
          <w:tcPr>
            <w:tcW w:type="dxa" w:w="5102"/>
          </w:tcPr>
          <w:p>
            <w:pPr>
              <w:pStyle w:val="TableText"/>
            </w:pPr>
            <w:r/>
            <w:r>
              <w:t>GS staff; used for enrollment</w:t>
            </w:r>
          </w:p>
        </w:tc>
      </w:tr>
      <w:tr>
        <w:trPr>
          <w:cantSplit w:val="true"/>
        </w:trPr>
        <w:tc>
          <w:tcPr>
            <w:tcW w:type="dxa" w:w="4535"/>
          </w:tcPr>
          <w:p>
            <w:pPr>
              <w:pStyle w:val="TableText"/>
            </w:pPr>
            <w:r/>
            <w:r>
              <w:t>Advice Slip and written approval for added subjects</w:t>
            </w:r>
          </w:p>
        </w:tc>
        <w:tc>
          <w:tcPr>
            <w:tcW w:type="dxa" w:w="5102"/>
          </w:tcPr>
          <w:p>
            <w:pPr>
              <w:pStyle w:val="TableText"/>
            </w:pPr>
            <w:r/>
            <w:r>
              <w:t>GS Office and Associate Dean</w:t>
            </w:r>
          </w:p>
        </w:tc>
      </w:tr>
    </w:tbl>
    <w:p>
      <w:pPr>
        <w:spacing w:after="80" w:before="0"/>
      </w:pPr>
    </w:p>
    <w:p>
      <w:pPr>
        <w:pStyle w:val="Heading3"/>
      </w:pPr>
      <w:r>
        <w:t>4.3.8 How the platform supports this process</w:t>
      </w:r>
    </w:p>
    <w:p>
      <w:r>
        <w:rPr>
          <w:b w:val="0"/>
          <w:i w:val="0"/>
        </w:rPr>
        <w:t>The platform computes the subject needs from the curriculum and the subjects each student has taken (completed, taken and currently enrolled subjects are excluded; dropped, withdrawn and failed subjects count as a need). For each subject it shows how many students need it and, if the subject is left out, which students would be delayed. The Academic Coordinator chooses what to offer and what to leave out, assigns a professor (only active faculty of the program's college; the suggestions rank faculty by preferred subject, availability and current load, and the register caps a professor at 24 teaching units per semester, a prototype value) and submits the plan to the Dean. The Dean approves the plan or returns it with a comment. Only an approved plan can be published, and publication is refused if it would remove a subject in which students are already enrolled. Schedules and sections are entered as free text in the course offering setup. One student is enough for a subject to count as needed (a fixed value in the software, not in the register). A class list can be uploaded or students tagged one at a time. Adding a subject, or changing one subject for another, is checked against the first-week window (7 calendar days counted from the semester start date, register values course_adjustment.add_subject_window_days and change_subject_window_days). After the window the enrollment preview flags the change and it can be saved only by staff with a documented exception: the Associate Dean's written approval for an addition, or one of the three conditions for a change. A student cannot make the change through the portal after the window.</w:t>
      </w:r>
    </w:p>
    <w:p>
      <w:r>
        <w:rPr>
          <w:b/>
          <w:i w:val="0"/>
        </w:rPr>
        <w:t xml:space="preserve">Difference between the platform and the rule. </w:t>
      </w:r>
      <w:r>
        <w:t>The first-week window of CRS-01, CRS-02 and CRS-06 is now checked, as the Handbook says. The conditions for a change (subject dissolved, schedule conflict, failed prerequisite) and the Associate Dean's written approval are recorded as the option chosen; the platform cannot see schedules or grades and does not verify the reason. It has no Advice Slip or Business Office un-tagging step (CRS-03) and no refund for a discontinued course (CRS-05). It suggests a subject for offering when one student needs it (CRS-08), which is how the Associate Dean described the need, but it does not test a minimum class size (CRS-04); whether a subject with one student should be opened is an open question (OQ-34). It does not check that planning happens in the term break (CRS-09). The Dean's approval before publication (CRS-10) is enforced.</w:t>
      </w:r>
    </w:p>
    <w:p>
      <w:pPr>
        <w:pStyle w:val="Heading2"/>
        <w:spacing w:before="360"/>
      </w:pPr>
      <w:r>
        <w:t>4.4 Withdrawal of subject</w:t>
      </w:r>
    </w:p>
    <w:tbl>
      <w:tblPr>
        <w:tblW w:w="9639" w:type="dxa"/>
        <w:jc w:val="center"/>
        <w:tblBorders>
          <w:top w:val="single" w:sz="8" w:space="0" w:color="BF9000"/>
          <w:left w:val="single" w:sz="8" w:space="0" w:color="BF9000"/>
          <w:bottom w:val="single" w:sz="8" w:space="0" w:color="BF9000"/>
          <w:right w:val="single" w:sz="8" w:space="0" w:color="BF9000"/>
        </w:tblBorders>
        <w:tblLayout w:type="fixed"/>
        <w:tblCellMar>
          <w:top w:w="90" w:type="dxa"/>
          <w:left w:w="140" w:type="dxa"/>
          <w:bottom w:w="90" w:type="dxa"/>
          <w:right w:w="140" w:type="dxa"/>
        </w:tblCellMar>
        <w:tblLook w:firstColumn="1" w:firstRow="1" w:lastColumn="0" w:lastRow="0" w:noHBand="0" w:noVBand="1" w:val="04A0"/>
      </w:tblPr>
      <w:tblGrid>
        <w:gridCol w:w="9639"/>
      </w:tblGrid>
      <w:tr>
        <w:trPr>
          <w:cantSplit w:val="true"/>
        </w:trPr>
        <w:tc>
          <w:tcPr>
            <w:tcW w:type="dxa" w:w="9638"/>
            <w:shd w:val="clear" w:color="auto" w:fill="FFF2CC"/>
          </w:tcPr>
          <w:p>
            <w:pPr>
              <w:keepNext/>
              <w:spacing w:after="0"/>
            </w:pPr>
            <w:r/>
            <w:r>
              <w:rPr>
                <w:b/>
                <w:sz w:val="19"/>
              </w:rPr>
              <w:t>Panel question:</w:t>
            </w:r>
            <w:r>
              <w:rPr>
                <w:sz w:val="19"/>
              </w:rPr>
              <w:t xml:space="preserve"> can a student drop a subject at any time, for example on Day 1? Answer from the Handbook (2022-2023, pp. 49-53): Yes. Day 1 is inside the first week, so a student may withdraw a subject on Day 1 with the Dean's approval, but it is not free: 10% of the total amount due for the term is charged in the first week and 20% in the second week. A student may also change a subject or add a subject only in the first week. After the second week the student may still withdraw but pays the full fees (or fees up to the last month of attendance if the reason is justifiable). A student who is absent for more than 20% of the class hours in a course is dropped automatically by the professor with the grade DRP (see 4.5). What the Handbook does not say is what a withdrawal before the first day of classes costs (OQ-02), and what a withdrawal after the second week is called and marked (OQ-03).</w:t>
            </w:r>
          </w:p>
        </w:tc>
      </w:tr>
    </w:tbl>
    <w:p>
      <w:pPr>
        <w:keepNext/>
        <w:spacing w:after="80"/>
      </w:pPr>
    </w:p>
    <w:p>
      <w:pPr>
        <w:pStyle w:val="Heading3"/>
      </w:pPr>
      <w:r>
        <w:t>4.4.1 Purpose</w:t>
      </w:r>
    </w:p>
    <w:p>
      <w:r>
        <w:rPr>
          <w:b w:val="0"/>
          <w:i w:val="0"/>
        </w:rPr>
        <w:t>To state when and how a student may withdraw from one subject, what the student pays, and what the Graduate School records. This chapter answers the panel's question on whether a student can drop at any time, including the first day.</w:t>
      </w:r>
    </w:p>
    <w:p>
      <w:pPr>
        <w:pStyle w:val="Heading3"/>
      </w:pPr>
      <w:r>
        <w:t>4.4.2 Who is involved</w:t>
      </w:r>
    </w:p>
    <w:p>
      <w:r>
        <w:rPr>
          <w:b w:val="0"/>
          <w:i w:val="0"/>
        </w:rPr>
        <w:t>Student; Graduate School Dean; GS staff; Registrar (external); Accounting Office and Business Office (external).</w:t>
      </w:r>
    </w:p>
    <w:p>
      <w:pPr>
        <w:pStyle w:val="Heading3"/>
      </w:pPr>
      <w:r>
        <w:t>4.4.3 Trigger and preconditions</w:t>
      </w:r>
    </w:p>
    <w:p>
      <w:r>
        <w:rPr>
          <w:b/>
          <w:i w:val="0"/>
        </w:rPr>
        <w:t xml:space="preserve">Trigger. </w:t>
      </w:r>
      <w:r>
        <w:t>A student who is enrolled in a subject decides not to continue with it (for example for work reasons) and writes to the Dean.</w:t>
      </w:r>
    </w:p>
    <w:p>
      <w:r>
        <w:rPr>
          <w:b/>
          <w:i w:val="0"/>
        </w:rPr>
        <w:t>Preconditions.</w:t>
      </w:r>
    </w:p>
    <w:p>
      <w:pPr>
        <w:pStyle w:val="ListBullet"/>
        <w:spacing w:after="40"/>
      </w:pPr>
      <w:r>
        <w:t>The student is enrolled in the subject.</w:t>
      </w:r>
    </w:p>
    <w:p>
      <w:pPr>
        <w:pStyle w:val="ListBullet"/>
        <w:spacing w:after="40"/>
      </w:pPr>
      <w:r>
        <w:t>For a withdrawal at the lowest charge: no more than one week of classes has passed.</w:t>
      </w:r>
    </w:p>
    <w:p>
      <w:pPr>
        <w:pStyle w:val="Heading3"/>
      </w:pPr>
      <w:r>
        <w:t>4.4.4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Student</w:t>
            </w:r>
          </w:p>
        </w:tc>
        <w:tc>
          <w:tcPr>
            <w:tcW w:type="dxa" w:w="4082"/>
          </w:tcPr>
          <w:p>
            <w:pPr>
              <w:pStyle w:val="TableText"/>
            </w:pPr>
            <w:r/>
            <w:r>
              <w:t>Writes a letter to the Dean asking to withdraw the named subject and giving the reason.</w:t>
            </w:r>
          </w:p>
        </w:tc>
        <w:tc>
          <w:tcPr>
            <w:tcW w:type="dxa" w:w="1757"/>
          </w:tcPr>
          <w:p>
            <w:pPr>
              <w:pStyle w:val="TableText"/>
            </w:pPr>
            <w:r/>
            <w:r>
              <w:t>Letter to the Dean</w:t>
            </w:r>
          </w:p>
        </w:tc>
        <w:tc>
          <w:tcPr>
            <w:tcW w:type="dxa" w:w="1587"/>
          </w:tcPr>
          <w:p>
            <w:pPr>
              <w:pStyle w:val="TableText"/>
            </w:pPr>
            <w:r/>
            <w:r>
              <w:t>Until the second week from the start of classes (see the timeline below)</w:t>
            </w:r>
          </w:p>
        </w:tc>
      </w:tr>
      <w:tr>
        <w:trPr>
          <w:cantSplit w:val="true"/>
        </w:trPr>
        <w:tc>
          <w:tcPr>
            <w:tcW w:type="dxa" w:w="567"/>
          </w:tcPr>
          <w:p>
            <w:pPr>
              <w:pStyle w:val="TableText"/>
            </w:pPr>
            <w:r/>
            <w:r>
              <w:t>2</w:t>
            </w:r>
          </w:p>
        </w:tc>
        <w:tc>
          <w:tcPr>
            <w:tcW w:type="dxa" w:w="1644"/>
          </w:tcPr>
          <w:p>
            <w:pPr>
              <w:pStyle w:val="TableText"/>
            </w:pPr>
            <w:r/>
            <w:r>
              <w:t>Dean</w:t>
            </w:r>
          </w:p>
        </w:tc>
        <w:tc>
          <w:tcPr>
            <w:tcW w:type="dxa" w:w="4082"/>
          </w:tcPr>
          <w:p>
            <w:pPr>
              <w:pStyle w:val="TableText"/>
            </w:pPr>
            <w:r/>
            <w:r>
              <w:t>Approves or denies the request. (The Handbook says the student seeks approval from the Dean.)</w:t>
            </w:r>
          </w:p>
        </w:tc>
        <w:tc>
          <w:tcPr>
            <w:tcW w:type="dxa" w:w="1757"/>
          </w:tcPr>
          <w:p>
            <w:pPr>
              <w:pStyle w:val="TableText"/>
            </w:pPr>
            <w:r/>
            <w:r>
              <w:t>Dean's decision</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Student</w:t>
            </w:r>
          </w:p>
        </w:tc>
        <w:tc>
          <w:tcPr>
            <w:tcW w:type="dxa" w:w="4082"/>
          </w:tcPr>
          <w:p>
            <w:pPr>
              <w:pStyle w:val="TableText"/>
            </w:pPr>
            <w:r/>
            <w:r>
              <w:t>Once approved, accomplishes the Withdrawal Form and settles all financial obligations.</w:t>
            </w:r>
          </w:p>
        </w:tc>
        <w:tc>
          <w:tcPr>
            <w:tcW w:type="dxa" w:w="1757"/>
          </w:tcPr>
          <w:p>
            <w:pPr>
              <w:pStyle w:val="TableText"/>
            </w:pPr>
            <w:r/>
            <w:r>
              <w:t>Withdrawal Form</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Graduate School</w:t>
            </w:r>
          </w:p>
        </w:tc>
        <w:tc>
          <w:tcPr>
            <w:tcW w:type="dxa" w:w="4082"/>
          </w:tcPr>
          <w:p>
            <w:pPr>
              <w:pStyle w:val="TableText"/>
            </w:pPr>
            <w:r/>
            <w:r>
              <w:t>Gives a copy of the accomplished Withdrawal Form to the Registrar, to the Accounting Office, and to the student.</w:t>
            </w:r>
          </w:p>
        </w:tc>
        <w:tc>
          <w:tcPr>
            <w:tcW w:type="dxa" w:w="1757"/>
          </w:tcPr>
          <w:p>
            <w:pPr>
              <w:pStyle w:val="TableText"/>
            </w:pPr>
            <w:r/>
            <w:r>
              <w:t>Withdrawal Form copies (3)</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GS staff</w:t>
            </w:r>
          </w:p>
        </w:tc>
        <w:tc>
          <w:tcPr>
            <w:tcW w:type="dxa" w:w="4082"/>
          </w:tcPr>
          <w:p>
            <w:pPr>
              <w:pStyle w:val="TableText"/>
            </w:pPr>
            <w:r/>
            <w:r>
              <w:t>Tags the subject as withdrawn in the Graduate School's record with the date applied, the date granted and a note.</w:t>
            </w:r>
          </w:p>
        </w:tc>
        <w:tc>
          <w:tcPr>
            <w:tcW w:type="dxa" w:w="1757"/>
          </w:tcPr>
          <w:p>
            <w:pPr>
              <w:pStyle w:val="TableText"/>
            </w:pPr>
            <w:r/>
            <w:r>
              <w:t>Subject status: withdrawn</w:t>
            </w:r>
          </w:p>
        </w:tc>
        <w:tc>
          <w:tcPr>
            <w:tcW w:type="dxa" w:w="1587"/>
          </w:tcPr>
          <w:p>
            <w:pPr>
              <w:pStyle w:val="TableText"/>
            </w:pPr>
            <w:r/>
            <w:r>
              <w:t>After the Dean's approval</w:t>
            </w:r>
          </w:p>
        </w:tc>
      </w:tr>
      <w:tr>
        <w:trPr>
          <w:cantSplit w:val="true"/>
        </w:trPr>
        <w:tc>
          <w:tcPr>
            <w:tcW w:type="dxa" w:w="567"/>
          </w:tcPr>
          <w:p>
            <w:pPr>
              <w:pStyle w:val="TableText"/>
            </w:pPr>
            <w:r/>
            <w:r>
              <w:t>6†</w:t>
            </w:r>
          </w:p>
        </w:tc>
        <w:tc>
          <w:tcPr>
            <w:tcW w:type="dxa" w:w="1644"/>
          </w:tcPr>
          <w:p>
            <w:pPr>
              <w:pStyle w:val="TableText"/>
            </w:pPr>
            <w:r/>
            <w:r>
              <w:t>Registrar</w:t>
            </w:r>
          </w:p>
        </w:tc>
        <w:tc>
          <w:tcPr>
            <w:tcW w:type="dxa" w:w="4082"/>
          </w:tcPr>
          <w:p>
            <w:pPr>
              <w:pStyle w:val="TableText"/>
            </w:pPr>
            <w:r/>
            <w:r>
              <w:t>Processes the withdrawal in the registration system; the Business Office then arranges any tuition adjustment. The Graduate School's part ends when the request has been sent to the Registrar.</w:t>
            </w:r>
          </w:p>
        </w:tc>
        <w:tc>
          <w:tcPr>
            <w:tcW w:type="dxa" w:w="1757"/>
          </w:tcPr>
          <w:p>
            <w:pPr>
              <w:pStyle w:val="TableText"/>
            </w:pPr>
            <w:r/>
            <w:r>
              <w:t>Registrar processing (external)</w:t>
            </w:r>
          </w:p>
        </w:tc>
        <w:tc>
          <w:tcPr>
            <w:tcW w:type="dxa" w:w="1587"/>
          </w:tcPr>
          <w:p>
            <w:pPr>
              <w:pStyle w:val="TableText"/>
            </w:pPr>
            <w:r/>
            <w:r>
              <w:t>—</w:t>
            </w:r>
          </w:p>
        </w:tc>
      </w:tr>
    </w:tbl>
    <w:p>
      <w:pPr>
        <w:spacing w:after="80" w:before="0"/>
      </w:pPr>
    </w:p>
    <w:p>
      <w:r>
        <w:rPr>
          <w:b w:val="0"/>
          <w:i/>
          <w:color w:val="595959"/>
          <w:sz w:val="17"/>
        </w:rPr>
        <w:t>† This step rests on a rule marked Practice or Proposed in section 4.4.5, or on the group's process model; it is not described in the Handbook or the Research Protocol and is to be confirmed by the Graduate School.</w:t>
      </w:r>
    </w:p>
    <w:p>
      <w:r>
        <w:rPr>
          <w:b/>
          <w:i w:val="0"/>
        </w:rPr>
        <w:t>Timeline of consequences (Handbook 2022-2023, pp. 49-53)</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1814"/>
        <w:gridCol w:w="3742"/>
        <w:gridCol w:w="2154"/>
        <w:gridCol w:w="1927"/>
      </w:tblGrid>
      <w:tr>
        <w:trPr>
          <w:tblHeader w:val="true"/>
          <w:cantSplit w:val="true"/>
        </w:trPr>
        <w:tc>
          <w:tcPr>
            <w:tcW w:type="dxa" w:w="1814"/>
            <w:shd w:val="clear" w:color="auto" w:fill="1F4E3D"/>
          </w:tcPr>
          <w:p>
            <w:pPr>
              <w:pStyle w:val="TableHead"/>
            </w:pPr>
            <w:r/>
            <w:r>
              <w:t>When</w:t>
            </w:r>
          </w:p>
        </w:tc>
        <w:tc>
          <w:tcPr>
            <w:tcW w:type="dxa" w:w="3742"/>
            <w:shd w:val="clear" w:color="auto" w:fill="1F4E3D"/>
          </w:tcPr>
          <w:p>
            <w:pPr>
              <w:pStyle w:val="TableHead"/>
            </w:pPr>
            <w:r/>
            <w:r>
              <w:t>What the student may do</w:t>
            </w:r>
          </w:p>
        </w:tc>
        <w:tc>
          <w:tcPr>
            <w:tcW w:type="dxa" w:w="2154"/>
            <w:shd w:val="clear" w:color="auto" w:fill="1F4E3D"/>
          </w:tcPr>
          <w:p>
            <w:pPr>
              <w:pStyle w:val="TableHead"/>
            </w:pPr>
            <w:r/>
            <w:r>
              <w:t>Fee consequence</w:t>
            </w:r>
          </w:p>
        </w:tc>
        <w:tc>
          <w:tcPr>
            <w:tcW w:type="dxa" w:w="1928"/>
            <w:shd w:val="clear" w:color="auto" w:fill="1F4E3D"/>
          </w:tcPr>
          <w:p>
            <w:pPr>
              <w:pStyle w:val="TableHead"/>
            </w:pPr>
            <w:r/>
            <w:r>
              <w:t>Source</w:t>
            </w:r>
          </w:p>
        </w:tc>
      </w:tr>
      <w:tr>
        <w:trPr>
          <w:cantSplit w:val="true"/>
        </w:trPr>
        <w:tc>
          <w:tcPr>
            <w:tcW w:type="dxa" w:w="1814"/>
          </w:tcPr>
          <w:p>
            <w:pPr>
              <w:pStyle w:val="TableText"/>
            </w:pPr>
            <w:r/>
            <w:r>
              <w:t>Before classes begin</w:t>
            </w:r>
          </w:p>
        </w:tc>
        <w:tc>
          <w:tcPr>
            <w:tcW w:type="dxa" w:w="3742"/>
          </w:tcPr>
          <w:p>
            <w:pPr>
              <w:pStyle w:val="TableText"/>
            </w:pPr>
            <w:r/>
            <w:r>
              <w:t>The Handbook does not state a rule. (Consultation: withdrawal is possible before classes begin.)</w:t>
            </w:r>
          </w:p>
        </w:tc>
        <w:tc>
          <w:tcPr>
            <w:tcW w:type="dxa" w:w="2154"/>
          </w:tcPr>
          <w:p>
            <w:pPr>
              <w:pStyle w:val="TableText"/>
            </w:pPr>
            <w:r/>
            <w:r>
              <w:t>Not stated (OQ-02)</w:t>
            </w:r>
          </w:p>
        </w:tc>
        <w:tc>
          <w:tcPr>
            <w:tcW w:type="dxa" w:w="1928"/>
          </w:tcPr>
          <w:p>
            <w:pPr>
              <w:pStyle w:val="TableText"/>
            </w:pPr>
            <w:r/>
            <w:r>
              <w:t>Handbook silent; Consultation 29 July 2026</w:t>
            </w:r>
          </w:p>
        </w:tc>
      </w:tr>
      <w:tr>
        <w:trPr>
          <w:cantSplit w:val="true"/>
        </w:trPr>
        <w:tc>
          <w:tcPr>
            <w:tcW w:type="dxa" w:w="1814"/>
          </w:tcPr>
          <w:p>
            <w:pPr>
              <w:pStyle w:val="TableText"/>
            </w:pPr>
            <w:r/>
            <w:r>
              <w:t>First week of classes, including Day 1</w:t>
            </w:r>
          </w:p>
        </w:tc>
        <w:tc>
          <w:tcPr>
            <w:tcW w:type="dxa" w:w="3742"/>
          </w:tcPr>
          <w:p>
            <w:pPr>
              <w:pStyle w:val="TableText"/>
            </w:pPr>
            <w:r/>
            <w:r>
              <w:t>Withdraw a subject with the Dean's approval. Change a subject (three conditions). Add a subject with the Associate Dean's written approval.</w:t>
            </w:r>
          </w:p>
        </w:tc>
        <w:tc>
          <w:tcPr>
            <w:tcW w:type="dxa" w:w="2154"/>
          </w:tcPr>
          <w:p>
            <w:pPr>
              <w:pStyle w:val="TableText"/>
            </w:pPr>
            <w:r/>
            <w:r>
              <w:t>10% of the total amount due for the term</w:t>
            </w:r>
          </w:p>
        </w:tc>
        <w:tc>
          <w:tcPr>
            <w:tcW w:type="dxa" w:w="1928"/>
          </w:tcPr>
          <w:p>
            <w:pPr>
              <w:pStyle w:val="TableText"/>
            </w:pPr>
            <w:r/>
            <w:r>
              <w:t>Handbook 2022-2023, pp. 48-49, 51</w:t>
            </w:r>
          </w:p>
        </w:tc>
      </w:tr>
      <w:tr>
        <w:trPr>
          <w:cantSplit w:val="true"/>
        </w:trPr>
        <w:tc>
          <w:tcPr>
            <w:tcW w:type="dxa" w:w="1814"/>
          </w:tcPr>
          <w:p>
            <w:pPr>
              <w:pStyle w:val="TableText"/>
            </w:pPr>
            <w:r/>
            <w:r>
              <w:t>Second week of classes</w:t>
            </w:r>
          </w:p>
        </w:tc>
        <w:tc>
          <w:tcPr>
            <w:tcW w:type="dxa" w:w="3742"/>
          </w:tcPr>
          <w:p>
            <w:pPr>
              <w:pStyle w:val="TableText"/>
            </w:pPr>
            <w:r/>
            <w:r>
              <w:t>Withdraw a subject. Changing and adding are no longer allowed.</w:t>
            </w:r>
          </w:p>
        </w:tc>
        <w:tc>
          <w:tcPr>
            <w:tcW w:type="dxa" w:w="2154"/>
          </w:tcPr>
          <w:p>
            <w:pPr>
              <w:pStyle w:val="TableText"/>
            </w:pPr>
            <w:r/>
            <w:r>
              <w:t>20% of the total amount due for the term</w:t>
            </w:r>
          </w:p>
        </w:tc>
        <w:tc>
          <w:tcPr>
            <w:tcW w:type="dxa" w:w="1928"/>
          </w:tcPr>
          <w:p>
            <w:pPr>
              <w:pStyle w:val="TableText"/>
            </w:pPr>
            <w:r/>
            <w:r>
              <w:t>Handbook 2022-2023, pp. 49, 51</w:t>
            </w:r>
          </w:p>
        </w:tc>
      </w:tr>
      <w:tr>
        <w:trPr>
          <w:cantSplit w:val="true"/>
        </w:trPr>
        <w:tc>
          <w:tcPr>
            <w:tcW w:type="dxa" w:w="1814"/>
          </w:tcPr>
          <w:p>
            <w:pPr>
              <w:pStyle w:val="TableText"/>
            </w:pPr>
            <w:r/>
            <w:r>
              <w:t>After the second week</w:t>
            </w:r>
          </w:p>
        </w:tc>
        <w:tc>
          <w:tcPr>
            <w:tcW w:type="dxa" w:w="3742"/>
          </w:tcPr>
          <w:p>
            <w:pPr>
              <w:pStyle w:val="TableText"/>
            </w:pPr>
            <w:r/>
            <w:r>
              <w:t>The student keeps the right to withdraw all subjects at any time, and may file a leave of absence.</w:t>
            </w:r>
          </w:p>
        </w:tc>
        <w:tc>
          <w:tcPr>
            <w:tcW w:type="dxa" w:w="2154"/>
          </w:tcPr>
          <w:p>
            <w:pPr>
              <w:pStyle w:val="TableText"/>
            </w:pPr>
            <w:r/>
            <w:r>
              <w:t>Full enrolment fees for the semester (only up to the last month of attendance if the reason is justifiable)</w:t>
            </w:r>
          </w:p>
        </w:tc>
        <w:tc>
          <w:tcPr>
            <w:tcW w:type="dxa" w:w="1928"/>
          </w:tcPr>
          <w:p>
            <w:pPr>
              <w:pStyle w:val="TableText"/>
            </w:pPr>
            <w:r/>
            <w:r>
              <w:t>Handbook 2022-2023, pp. 49, 51</w:t>
            </w:r>
          </w:p>
        </w:tc>
      </w:tr>
      <w:tr>
        <w:trPr>
          <w:cantSplit w:val="true"/>
        </w:trPr>
        <w:tc>
          <w:tcPr>
            <w:tcW w:type="dxa" w:w="1814"/>
          </w:tcPr>
          <w:p>
            <w:pPr>
              <w:pStyle w:val="TableText"/>
            </w:pPr>
            <w:r/>
            <w:r>
              <w:t>Any time, for absences</w:t>
            </w:r>
          </w:p>
        </w:tc>
        <w:tc>
          <w:tcPr>
            <w:tcW w:type="dxa" w:w="3742"/>
          </w:tcPr>
          <w:p>
            <w:pPr>
              <w:pStyle w:val="TableText"/>
            </w:pPr>
            <w:r/>
            <w:r>
              <w:t>If unexcused absences exceed 20% of the class hours in a course, the professor drops the student automatically (grade DRP, 5.0).</w:t>
            </w:r>
          </w:p>
        </w:tc>
        <w:tc>
          <w:tcPr>
            <w:tcW w:type="dxa" w:w="2154"/>
          </w:tcPr>
          <w:p>
            <w:pPr>
              <w:pStyle w:val="TableText"/>
            </w:pPr>
            <w:r/>
            <w:r>
              <w:t>Not stated</w:t>
            </w:r>
          </w:p>
        </w:tc>
        <w:tc>
          <w:tcPr>
            <w:tcW w:type="dxa" w:w="1928"/>
          </w:tcPr>
          <w:p>
            <w:pPr>
              <w:pStyle w:val="TableText"/>
            </w:pPr>
            <w:r/>
            <w:r>
              <w:t>Handbook 2022-2023, p. 52</w:t>
            </w:r>
          </w:p>
        </w:tc>
      </w:tr>
    </w:tbl>
    <w:p>
      <w:pPr>
        <w:spacing w:after="80" w:before="0"/>
      </w:pPr>
    </w:p>
    <w:p>
      <w:pPr>
        <w:pStyle w:val="Heading3"/>
      </w:pPr>
      <w:r>
        <w:t>4.4.5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WD-01</w:t>
            </w:r>
          </w:p>
        </w:tc>
        <w:tc>
          <w:tcPr>
            <w:tcW w:type="dxa" w:w="4535"/>
          </w:tcPr>
          <w:p>
            <w:pPr>
              <w:pStyle w:val="TableText"/>
            </w:pPr>
            <w:r/>
            <w:r>
              <w:t>The student may withdraw subjects until the second week from the start of classes regardless of whether or not classes have been attended.</w:t>
            </w:r>
          </w:p>
        </w:tc>
        <w:tc>
          <w:tcPr>
            <w:tcW w:type="dxa" w:w="3005"/>
          </w:tcPr>
          <w:p>
            <w:pPr>
              <w:pStyle w:val="TableText"/>
            </w:pPr>
            <w:r/>
            <w:r>
              <w:t>Handbook 2022-2023, p. 49</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WD-02</w:t>
            </w:r>
          </w:p>
        </w:tc>
        <w:tc>
          <w:tcPr>
            <w:tcW w:type="dxa" w:w="4535"/>
          </w:tcPr>
          <w:p>
            <w:pPr>
              <w:pStyle w:val="TableText"/>
            </w:pPr>
            <w:r/>
            <w:r>
              <w:t>Ten percent (10%) of the total amount due for the term is charged if the withdrawal is within the first week of classes, and twenty percent (20%) if within the second week, regardless of whether or not classes have been attended.</w:t>
            </w:r>
          </w:p>
        </w:tc>
        <w:tc>
          <w:tcPr>
            <w:tcW w:type="dxa" w:w="3005"/>
          </w:tcPr>
          <w:p>
            <w:pPr>
              <w:pStyle w:val="TableText"/>
            </w:pPr>
            <w:r/>
            <w:r>
              <w:t>Handbook 2022-2023, p. 49; Handbook 2022-2023, p. 51</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WD-03</w:t>
            </w:r>
          </w:p>
        </w:tc>
        <w:tc>
          <w:tcPr>
            <w:tcW w:type="dxa" w:w="4535"/>
          </w:tcPr>
          <w:p>
            <w:pPr>
              <w:pStyle w:val="TableText"/>
            </w:pPr>
            <w:r/>
            <w:r>
              <w:t>The student retains the right to withdraw all subjects at any time of the semester after the second week but pays the full enrolment fees for the semester.</w:t>
            </w:r>
          </w:p>
        </w:tc>
        <w:tc>
          <w:tcPr>
            <w:tcW w:type="dxa" w:w="3005"/>
          </w:tcPr>
          <w:p>
            <w:pPr>
              <w:pStyle w:val="TableText"/>
            </w:pPr>
            <w:r/>
            <w:r>
              <w:t>Handbook 2022-2023, p. 49</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WD-04</w:t>
            </w:r>
          </w:p>
        </w:tc>
        <w:tc>
          <w:tcPr>
            <w:tcW w:type="dxa" w:w="4535"/>
          </w:tcPr>
          <w:p>
            <w:pPr>
              <w:pStyle w:val="TableText"/>
            </w:pPr>
            <w:r/>
            <w:r>
              <w:t>The student may be charged all school fees in full if withdrawal is made at any time after the second week of classes. If the withdrawal is due to a justifiable reason, the student is charged pertinent fees only up to and including the last month of attendance.</w:t>
            </w:r>
          </w:p>
        </w:tc>
        <w:tc>
          <w:tcPr>
            <w:tcW w:type="dxa" w:w="3005"/>
          </w:tcPr>
          <w:p>
            <w:pPr>
              <w:pStyle w:val="TableText"/>
            </w:pPr>
            <w:r/>
            <w:r>
              <w:t>Handbook 2022-2023, p. 51</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WD-05</w:t>
            </w:r>
          </w:p>
        </w:tc>
        <w:tc>
          <w:tcPr>
            <w:tcW w:type="dxa" w:w="4535"/>
          </w:tcPr>
          <w:p>
            <w:pPr>
              <w:pStyle w:val="TableText"/>
            </w:pPr>
            <w:r/>
            <w:r>
              <w:t>A student may seek a refund if he or she withdraws during the first two weeks of classes when tuition and other fees have been paid in full, or for any length longer than one month.</w:t>
            </w:r>
          </w:p>
        </w:tc>
        <w:tc>
          <w:tcPr>
            <w:tcW w:type="dxa" w:w="3005"/>
          </w:tcPr>
          <w:p>
            <w:pPr>
              <w:pStyle w:val="TableText"/>
            </w:pPr>
            <w:r/>
            <w:r>
              <w:t>Handbook 2022-2023, pp. 50-51</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WD-06</w:t>
            </w:r>
          </w:p>
        </w:tc>
        <w:tc>
          <w:tcPr>
            <w:tcW w:type="dxa" w:w="4535"/>
          </w:tcPr>
          <w:p>
            <w:pPr>
              <w:pStyle w:val="TableText"/>
            </w:pPr>
            <w:r/>
            <w:r>
              <w:t>To file a withdrawal of subject, the student writes a letter and seeks approval from the Dean.</w:t>
            </w:r>
          </w:p>
        </w:tc>
        <w:tc>
          <w:tcPr>
            <w:tcW w:type="dxa" w:w="3005"/>
          </w:tcPr>
          <w:p>
            <w:pPr>
              <w:pStyle w:val="TableText"/>
            </w:pPr>
            <w:r/>
            <w:r>
              <w:t>Handbook 2022-2023, p. 49</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WD-07</w:t>
            </w:r>
          </w:p>
        </w:tc>
        <w:tc>
          <w:tcPr>
            <w:tcW w:type="dxa" w:w="4535"/>
          </w:tcPr>
          <w:p>
            <w:pPr>
              <w:pStyle w:val="TableText"/>
            </w:pPr>
            <w:r/>
            <w:r>
              <w:t>Once approved, the student accomplishes the Withdrawal Form and settles all financial obligations.</w:t>
            </w:r>
          </w:p>
        </w:tc>
        <w:tc>
          <w:tcPr>
            <w:tcW w:type="dxa" w:w="3005"/>
          </w:tcPr>
          <w:p>
            <w:pPr>
              <w:pStyle w:val="TableText"/>
            </w:pPr>
            <w:r/>
            <w:r>
              <w:t>Handbook 2022-2023, p. 49</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WD-08</w:t>
            </w:r>
          </w:p>
        </w:tc>
        <w:tc>
          <w:tcPr>
            <w:tcW w:type="dxa" w:w="4535"/>
          </w:tcPr>
          <w:p>
            <w:pPr>
              <w:pStyle w:val="TableText"/>
            </w:pPr>
            <w:r/>
            <w:r>
              <w:t>The accomplished Withdrawal Form is provided to the Registrar, the Accounting Office, and the student.</w:t>
            </w:r>
          </w:p>
        </w:tc>
        <w:tc>
          <w:tcPr>
            <w:tcW w:type="dxa" w:w="3005"/>
          </w:tcPr>
          <w:p>
            <w:pPr>
              <w:pStyle w:val="TableText"/>
            </w:pPr>
            <w:r/>
            <w:r>
              <w:t>Handbook 2022-2023, p. 49</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WD-09</w:t>
            </w:r>
          </w:p>
        </w:tc>
        <w:tc>
          <w:tcPr>
            <w:tcW w:type="dxa" w:w="4535"/>
          </w:tcPr>
          <w:p>
            <w:pPr>
              <w:pStyle w:val="TableText"/>
            </w:pPr>
            <w:r/>
            <w:r>
              <w:t>The grade symbol W means Withdrawn.</w:t>
            </w:r>
          </w:p>
        </w:tc>
        <w:tc>
          <w:tcPr>
            <w:tcW w:type="dxa" w:w="3005"/>
          </w:tcPr>
          <w:p>
            <w:pPr>
              <w:pStyle w:val="TableText"/>
            </w:pPr>
            <w:r/>
            <w:r>
              <w:t>Handbook 2022-2023, p. 53</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WD-10</w:t>
            </w:r>
          </w:p>
        </w:tc>
        <w:tc>
          <w:tcPr>
            <w:tcW w:type="dxa" w:w="4535"/>
          </w:tcPr>
          <w:p>
            <w:pPr>
              <w:pStyle w:val="TableText"/>
            </w:pPr>
            <w:r/>
            <w:r>
              <w:t>A subject withdrawal (from one subject, not from the Graduate School) before or in the first week of classes does not count against the student; dropping is the act of leaving a subject in the middle of the semester.</w:t>
            </w:r>
          </w:p>
        </w:tc>
        <w:tc>
          <w:tcPr>
            <w:tcW w:type="dxa" w:w="3005"/>
          </w:tcPr>
          <w:p>
            <w:pPr>
              <w:pStyle w:val="TableText"/>
            </w:pPr>
            <w:r/>
            <w:r>
              <w:t>Consultation 21 July 2026</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WD-11</w:t>
            </w:r>
          </w:p>
        </w:tc>
        <w:tc>
          <w:tcPr>
            <w:tcW w:type="dxa" w:w="4535"/>
          </w:tcPr>
          <w:p>
            <w:pPr>
              <w:pStyle w:val="TableText"/>
            </w:pPr>
            <w:r/>
            <w:r>
              <w:t>An approved withdrawal is sent to the Registrar, which processes it in the registration system, and then to the Business Office for any fee arrangement. The Graduate School's responsibility ends at sending the request to the Registrar.</w:t>
            </w:r>
          </w:p>
        </w:tc>
        <w:tc>
          <w:tcPr>
            <w:tcW w:type="dxa" w:w="3005"/>
          </w:tcPr>
          <w:p>
            <w:pPr>
              <w:pStyle w:val="TableText"/>
            </w:pPr>
            <w:r/>
            <w:r>
              <w:t>Consultation 21 July 2026</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WD-12</w:t>
            </w:r>
          </w:p>
        </w:tc>
        <w:tc>
          <w:tcPr>
            <w:tcW w:type="dxa" w:w="4535"/>
          </w:tcPr>
          <w:p>
            <w:pPr>
              <w:pStyle w:val="TableText"/>
            </w:pPr>
            <w:r/>
            <w:r>
              <w:t>After the Registrar has been sent the request, the Graduate School tags the subject as withdrawn (a manual tag is enough), with the date applied, the date granted and a text area for the result.</w:t>
            </w:r>
          </w:p>
        </w:tc>
        <w:tc>
          <w:tcPr>
            <w:tcW w:type="dxa" w:w="3005"/>
          </w:tcPr>
          <w:p>
            <w:pPr>
              <w:pStyle w:val="TableText"/>
            </w:pPr>
            <w:r/>
            <w:r>
              <w:t>Consultation 21 July 2026</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WD-13</w:t>
            </w:r>
          </w:p>
        </w:tc>
        <w:tc>
          <w:tcPr>
            <w:tcW w:type="dxa" w:w="4535"/>
          </w:tcPr>
          <w:p>
            <w:pPr>
              <w:pStyle w:val="TableText"/>
            </w:pPr>
            <w:r/>
            <w:r>
              <w:t>According to the Associate Dean, a student may withdraw before classes begin or in the first week of classes; the Dean decides with discretion, and a request submitted after the deadline or with an insufficient or inconsistent justification is normally denied. (This is a second-hand account recorded by the group and conflicts with the Handbook's second week; see OQ-01.)</w:t>
            </w:r>
          </w:p>
        </w:tc>
        <w:tc>
          <w:tcPr>
            <w:tcW w:type="dxa" w:w="3005"/>
          </w:tcPr>
          <w:p>
            <w:pPr>
              <w:pStyle w:val="TableText"/>
            </w:pPr>
            <w:r/>
            <w:r>
              <w:t>Consultation 29 July 2026, account of the Associate Dean's answer</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WD-14</w:t>
            </w:r>
          </w:p>
        </w:tc>
        <w:tc>
          <w:tcPr>
            <w:tcW w:type="dxa" w:w="4535"/>
          </w:tcPr>
          <w:p>
            <w:pPr>
              <w:pStyle w:val="TableText"/>
            </w:pPr>
            <w:r/>
            <w:r>
              <w:t>The platform shows the student and the staff the Handbook's fee bracket for the date of the request (10% in the first week, 20% in the second week, full fees after the window) as information only; the Business Office computes the fee.</w:t>
            </w:r>
          </w:p>
        </w:tc>
        <w:tc>
          <w:tcPr>
            <w:tcW w:type="dxa" w:w="3005"/>
          </w:tcPr>
          <w:p>
            <w:pPr>
              <w:pStyle w:val="TableText"/>
            </w:pPr>
            <w:r/>
            <w:r>
              <w:t>Handbook 2022-2023, pp. 49, 51</w:t>
            </w:r>
          </w:p>
        </w:tc>
        <w:tc>
          <w:tcPr>
            <w:tcW w:type="dxa" w:w="1191"/>
            <w:shd w:val="clear" w:color="auto" w:fill="DDEBF7"/>
          </w:tcPr>
          <w:p>
            <w:pPr>
              <w:pStyle w:val="TableText"/>
            </w:pPr>
            <w:r>
              <w:rPr>
                <w:b/>
              </w:rPr>
            </w:r>
            <w:r>
              <w:rPr>
                <w:b/>
              </w:rPr>
              <w:t>Proposed</w:t>
            </w:r>
          </w:p>
        </w:tc>
      </w:tr>
    </w:tbl>
    <w:p>
      <w:pPr>
        <w:spacing w:after="80" w:before="0"/>
      </w:pPr>
    </w:p>
    <w:p>
      <w:pPr>
        <w:pStyle w:val="Heading3"/>
      </w:pPr>
      <w:r>
        <w:t>4.4.6 Exceptions and unusual cases</w:t>
      </w:r>
    </w:p>
    <w:p>
      <w:pPr>
        <w:pStyle w:val="ListBullet"/>
        <w:spacing w:after="40"/>
      </w:pPr>
      <w:r>
        <w:t>Withdrawal after the second week: the student may still withdraw but pays the full fees of the semester, unless the reason is justifiable, in which case fees are charged only up to the last month of attendance (WD-03, WD-04).</w:t>
      </w:r>
    </w:p>
    <w:p>
      <w:pPr>
        <w:pStyle w:val="ListBullet"/>
        <w:spacing w:after="40"/>
      </w:pPr>
      <w:r>
        <w:t>Withdrawal from all subjects after two weeks have passed: the student files a leave of absence instead and pays the withdrawal fee at the Cashier's office (see 4.6).</w:t>
      </w:r>
    </w:p>
    <w:p>
      <w:pPr>
        <w:pStyle w:val="ListBullet"/>
        <w:spacing w:after="40"/>
      </w:pPr>
      <w:r>
        <w:t>A course discontinued by the school: the student receives a full refund (CRS-05).</w:t>
      </w:r>
    </w:p>
    <w:p>
      <w:pPr>
        <w:pStyle w:val="ListBullet"/>
        <w:spacing w:after="40"/>
      </w:pPr>
      <w:r>
        <w:t>The Dean denies the request: the subject stays enrolled and the student's record is unchanged. (The Handbook says the student seeks the Dean's approval but names no reasons for denial; the reasons in WD-13 are an account of the Associate Dean's answer. See OQ-04.)</w:t>
      </w:r>
    </w:p>
    <w:p>
      <w:pPr>
        <w:pStyle w:val="ListBullet"/>
        <w:spacing w:after="40"/>
      </w:pPr>
      <w:r>
        <w:t>The Withdrawal Form: the Handbook names it but the blank form was not available to the group, so the form's fields are not described here.</w:t>
      </w:r>
    </w:p>
    <w:p>
      <w:pPr>
        <w:pStyle w:val="Heading3"/>
      </w:pPr>
      <w:r>
        <w:t>4.4.7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Student's letter and the Dean's decision</w:t>
            </w:r>
          </w:p>
        </w:tc>
        <w:tc>
          <w:tcPr>
            <w:tcW w:type="dxa" w:w="5102"/>
          </w:tcPr>
          <w:p>
            <w:pPr>
              <w:pStyle w:val="TableText"/>
            </w:pPr>
            <w:r/>
            <w:r>
              <w:t>Dean's office; GS staff</w:t>
            </w:r>
          </w:p>
        </w:tc>
      </w:tr>
      <w:tr>
        <w:trPr>
          <w:cantSplit w:val="true"/>
        </w:trPr>
        <w:tc>
          <w:tcPr>
            <w:tcW w:type="dxa" w:w="4535"/>
          </w:tcPr>
          <w:p>
            <w:pPr>
              <w:pStyle w:val="TableText"/>
            </w:pPr>
            <w:r/>
            <w:r>
              <w:t>Withdrawal Form (three copies)</w:t>
            </w:r>
          </w:p>
        </w:tc>
        <w:tc>
          <w:tcPr>
            <w:tcW w:type="dxa" w:w="5102"/>
          </w:tcPr>
          <w:p>
            <w:pPr>
              <w:pStyle w:val="TableText"/>
            </w:pPr>
            <w:r/>
            <w:r>
              <w:t>Registrar, Accounting Office, student</w:t>
            </w:r>
          </w:p>
        </w:tc>
      </w:tr>
      <w:tr>
        <w:trPr>
          <w:cantSplit w:val="true"/>
        </w:trPr>
        <w:tc>
          <w:tcPr>
            <w:tcW w:type="dxa" w:w="4535"/>
          </w:tcPr>
          <w:p>
            <w:pPr>
              <w:pStyle w:val="TableText"/>
            </w:pPr>
            <w:r/>
            <w:r>
              <w:t>Subject status: withdrawn, with date applied, date granted and notes</w:t>
            </w:r>
          </w:p>
        </w:tc>
        <w:tc>
          <w:tcPr>
            <w:tcW w:type="dxa" w:w="5102"/>
          </w:tcPr>
          <w:p>
            <w:pPr>
              <w:pStyle w:val="TableText"/>
            </w:pPr>
            <w:r/>
            <w:r>
              <w:t>Graduate School record; export to the Registrar</w:t>
            </w:r>
          </w:p>
        </w:tc>
      </w:tr>
    </w:tbl>
    <w:p>
      <w:pPr>
        <w:spacing w:after="80" w:before="0"/>
      </w:pPr>
    </w:p>
    <w:p>
      <w:pPr>
        <w:pStyle w:val="Heading3"/>
      </w:pPr>
      <w:r>
        <w:t>4.4.8 How the platform supports this process</w:t>
      </w:r>
    </w:p>
    <w:p>
      <w:r>
        <w:rPr>
          <w:b w:val="0"/>
          <w:i w:val="0"/>
        </w:rPr>
        <w:t>The student files a structured withdrawal request for one active enrolled subject, with a reason. The platform judges the window from the date of the request: a request is accepted before classes begin and until the end of the second week of classes (14 calendar days counted from the semester start date, register value withdrawal.window_days), and after that it is refused with a message that names the rule and its Handbook page and explains that the student may still withdraw from all subjects at full fees or file a leave of absence. The platform shows the fee tier for the date of the request as information only: 10% of the term's total due in the first week (days 1 to 7), 20% in the second week, and the full fees of the semester after the window. It does not compute or collect any payment, and for a request made before classes begin it says that the Handbook states no amount and that the Business Office confirms it. GS staff forward the request to the Dean. The Dean approves or denies it; a denial needs a reason and leaves the student's record unchanged. On approval a task is created for GS staff to tag only the selected subject as Withdrawn, and staff then export the Excel list of approved withdrawals (with the window deadline and the fee columns) to be sent to the Registrar manually. The student stays Active and the other subjects are unchanged. No grade W is recorded, because grades are outside the platform.</w:t>
      </w:r>
    </w:p>
    <w:p>
      <w:r>
        <w:rPr>
          <w:b/>
          <w:i w:val="0"/>
        </w:rPr>
        <w:t xml:space="preserve">Difference between the platform and the rule. </w:t>
      </w:r>
      <w:r>
        <w:t>The platform now follows the Handbook: the window is the end of the second week with the 10% and 20% charges (WD-01, WD-02). The earlier build accepted a withdrawal only before classes or in the first seven calendar days and stated that no penalty applied; that rule came from the group's account of a consultation (WD-13), not from the Handbook. Seven days is now only the boundary between the first-week and second-week fee tiers. Some differences remain. The platform does not compute fees, so WD-02 to WD-05 rest on the Business Office. It replaces the student's letter and the Withdrawal Form with a structured request approved in the portal and does not produce the form (WD-06 to WD-08); whether the Graduate School accepts this is OQ-12. It does not write the grade W (WD-09). The Dean's decision does not re-check the window, because eligibility is judged on the date of the request. The second-hand account in WD-13 still differs from the Handbook; the Handbook is in force and the difference stays as OQ-01 for the Graduate School to confirm.</w:t>
      </w:r>
    </w:p>
    <w:p>
      <w:pPr>
        <w:pStyle w:val="Heading2"/>
        <w:spacing w:before="360"/>
      </w:pPr>
      <w:r>
        <w:t>4.5 Dropping, including being dropped for absences</w:t>
      </w:r>
    </w:p>
    <w:tbl>
      <w:tblPr>
        <w:tblW w:w="9639" w:type="dxa"/>
        <w:jc w:val="center"/>
        <w:tblBorders>
          <w:top w:val="single" w:sz="8" w:space="0" w:color="BF9000"/>
          <w:left w:val="single" w:sz="8" w:space="0" w:color="BF9000"/>
          <w:bottom w:val="single" w:sz="8" w:space="0" w:color="BF9000"/>
          <w:right w:val="single" w:sz="8" w:space="0" w:color="BF9000"/>
        </w:tblBorders>
        <w:tblLayout w:type="fixed"/>
        <w:tblCellMar>
          <w:top w:w="90" w:type="dxa"/>
          <w:left w:w="140" w:type="dxa"/>
          <w:bottom w:w="90" w:type="dxa"/>
          <w:right w:w="140" w:type="dxa"/>
        </w:tblCellMar>
        <w:tblLook w:firstColumn="1" w:firstRow="1" w:lastColumn="0" w:lastRow="0" w:noHBand="0" w:noVBand="1" w:val="04A0"/>
      </w:tblPr>
      <w:tblGrid>
        <w:gridCol w:w="9639"/>
      </w:tblGrid>
      <w:tr>
        <w:trPr>
          <w:cantSplit w:val="true"/>
        </w:trPr>
        <w:tc>
          <w:tcPr>
            <w:tcW w:type="dxa" w:w="9638"/>
            <w:shd w:val="clear" w:color="auto" w:fill="FFF2CC"/>
          </w:tcPr>
          <w:p>
            <w:pPr>
              <w:keepNext/>
              <w:spacing w:after="0"/>
            </w:pPr>
            <w:r/>
            <w:r>
              <w:rPr>
                <w:b/>
                <w:sz w:val="19"/>
              </w:rPr>
              <w:t>Panel question:</w:t>
            </w:r>
            <w:r>
              <w:rPr>
                <w:sz w:val="19"/>
              </w:rPr>
              <w:t xml:space="preserve"> can a student drop a subject at any time, for example on Day 1? See the answer and the timeline in 4.4. In short: a Day 1 request is a withdrawal, allowed with the Dean's approval at a 10% charge; there is no rule in the Handbook that lets a student simply drop without a charge, and the Handbook's dropping rule is the automatic drop for absences.</w:t>
            </w:r>
          </w:p>
        </w:tc>
      </w:tr>
    </w:tbl>
    <w:p>
      <w:pPr>
        <w:keepNext/>
        <w:spacing w:after="80"/>
      </w:pPr>
    </w:p>
    <w:p>
      <w:pPr>
        <w:pStyle w:val="Heading3"/>
      </w:pPr>
      <w:r>
        <w:t>4.5.1 Purpose</w:t>
      </w:r>
    </w:p>
    <w:p>
      <w:r>
        <w:rPr>
          <w:b w:val="0"/>
          <w:i w:val="0"/>
        </w:rPr>
        <w:t>To state how a subject is dropped, whether by the professor for excessive absences or at the student's request during the semester, and how the Graduate School records it.</w:t>
      </w:r>
    </w:p>
    <w:p>
      <w:pPr>
        <w:pStyle w:val="Heading3"/>
      </w:pPr>
      <w:r>
        <w:t>4.5.2 Who is involved</w:t>
      </w:r>
    </w:p>
    <w:p>
      <w:r>
        <w:rPr>
          <w:b w:val="0"/>
          <w:i w:val="0"/>
        </w:rPr>
        <w:t>Student; Professor; Academic Coordinator; GS staff; Registrar (external).</w:t>
      </w:r>
    </w:p>
    <w:p>
      <w:pPr>
        <w:pStyle w:val="Heading3"/>
      </w:pPr>
      <w:r>
        <w:t>4.5.3 Trigger and preconditions</w:t>
      </w:r>
    </w:p>
    <w:p>
      <w:r>
        <w:rPr>
          <w:b/>
          <w:i w:val="0"/>
        </w:rPr>
        <w:t xml:space="preserve">Trigger. </w:t>
      </w:r>
      <w:r>
        <w:t>Either the student's unexcused absences in a course exceed 20% of the scheduled hours, or a student in the middle of the semester decides to drop a subject.</w:t>
      </w:r>
    </w:p>
    <w:p>
      <w:r>
        <w:rPr>
          <w:b/>
          <w:i w:val="0"/>
        </w:rPr>
        <w:t>Preconditions.</w:t>
      </w:r>
    </w:p>
    <w:p>
      <w:pPr>
        <w:pStyle w:val="ListBullet"/>
        <w:spacing w:after="40"/>
      </w:pPr>
      <w:r>
        <w:t>The student is enrolled in the subject.</w:t>
      </w:r>
    </w:p>
    <w:p>
      <w:pPr>
        <w:pStyle w:val="ListBullet"/>
        <w:spacing w:after="40"/>
      </w:pPr>
      <w:r>
        <w:t>For a request after the second week of classes, see 4.4 for the alternative (withdrawal with full fees).</w:t>
      </w:r>
    </w:p>
    <w:p>
      <w:pPr>
        <w:pStyle w:val="Heading3"/>
      </w:pPr>
      <w:r>
        <w:t>4.5.4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Professor</w:t>
            </w:r>
          </w:p>
        </w:tc>
        <w:tc>
          <w:tcPr>
            <w:tcW w:type="dxa" w:w="4082"/>
          </w:tcPr>
          <w:p>
            <w:pPr>
              <w:pStyle w:val="TableText"/>
            </w:pPr>
            <w:r/>
            <w:r>
              <w:t>Counts attendance from the first regular class meeting. When unexcused absence exceeds 20% of the hours of recitation, lecture, laboratory or other scheduled work in a course, drops the student from the course.</w:t>
            </w:r>
          </w:p>
        </w:tc>
        <w:tc>
          <w:tcPr>
            <w:tcW w:type="dxa" w:w="1757"/>
          </w:tcPr>
          <w:p>
            <w:pPr>
              <w:pStyle w:val="TableText"/>
            </w:pPr>
            <w:r/>
            <w:r>
              <w:t>Attendance record; grade DRP (5.0)</w:t>
            </w:r>
          </w:p>
        </w:tc>
        <w:tc>
          <w:tcPr>
            <w:tcW w:type="dxa" w:w="1587"/>
          </w:tcPr>
          <w:p>
            <w:pPr>
              <w:pStyle w:val="TableText"/>
            </w:pPr>
            <w:r/>
            <w:r>
              <w:t>Automatic when the 20% limit is exceeded</w:t>
            </w:r>
          </w:p>
        </w:tc>
      </w:tr>
      <w:tr>
        <w:trPr>
          <w:cantSplit w:val="true"/>
        </w:trPr>
        <w:tc>
          <w:tcPr>
            <w:tcW w:type="dxa" w:w="567"/>
          </w:tcPr>
          <w:p>
            <w:pPr>
              <w:pStyle w:val="TableText"/>
            </w:pPr>
            <w:r/>
            <w:r>
              <w:t>2†</w:t>
            </w:r>
          </w:p>
        </w:tc>
        <w:tc>
          <w:tcPr>
            <w:tcW w:type="dxa" w:w="1644"/>
          </w:tcPr>
          <w:p>
            <w:pPr>
              <w:pStyle w:val="TableText"/>
            </w:pPr>
            <w:r/>
            <w:r>
              <w:t>Student (voluntary drop)</w:t>
            </w:r>
          </w:p>
        </w:tc>
        <w:tc>
          <w:tcPr>
            <w:tcW w:type="dxa" w:w="4082"/>
          </w:tcPr>
          <w:p>
            <w:pPr>
              <w:pStyle w:val="TableText"/>
            </w:pPr>
            <w:r/>
            <w:r>
              <w:t>Tells the Academic Coordinator (in person or by email) that the student wishes to drop the subject. The request is made outside the platform.</w:t>
            </w:r>
          </w:p>
        </w:tc>
        <w:tc>
          <w:tcPr>
            <w:tcW w:type="dxa" w:w="1757"/>
          </w:tcPr>
          <w:p>
            <w:pPr>
              <w:pStyle w:val="TableText"/>
            </w:pPr>
            <w:r/>
            <w:r>
              <w:t>Email or conversation</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Academic Coordinator / GS staff</w:t>
            </w:r>
          </w:p>
        </w:tc>
        <w:tc>
          <w:tcPr>
            <w:tcW w:type="dxa" w:w="4082"/>
          </w:tcPr>
          <w:p>
            <w:pPr>
              <w:pStyle w:val="TableText"/>
            </w:pPr>
            <w:r/>
            <w:r>
              <w:t>Once the drop is agreed, tags the subject as dropped, with the date and a note, in the Graduate School's record.</w:t>
            </w:r>
          </w:p>
        </w:tc>
        <w:tc>
          <w:tcPr>
            <w:tcW w:type="dxa" w:w="1757"/>
          </w:tcPr>
          <w:p>
            <w:pPr>
              <w:pStyle w:val="TableText"/>
            </w:pPr>
            <w:r/>
            <w:r>
              <w:t>Subject status: dropped</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GS staff</w:t>
            </w:r>
          </w:p>
        </w:tc>
        <w:tc>
          <w:tcPr>
            <w:tcW w:type="dxa" w:w="4082"/>
          </w:tcPr>
          <w:p>
            <w:pPr>
              <w:pStyle w:val="TableText"/>
            </w:pPr>
            <w:r/>
            <w:r>
              <w:t>Drops the subject in AIMS as well, so that the Graduate School record and AIMS agree.</w:t>
            </w:r>
          </w:p>
        </w:tc>
        <w:tc>
          <w:tcPr>
            <w:tcW w:type="dxa" w:w="1757"/>
          </w:tcPr>
          <w:p>
            <w:pPr>
              <w:pStyle w:val="TableText"/>
            </w:pPr>
            <w:r/>
            <w:r>
              <w:t>AIMS record</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Registrar</w:t>
            </w:r>
          </w:p>
        </w:tc>
        <w:tc>
          <w:tcPr>
            <w:tcW w:type="dxa" w:w="4082"/>
          </w:tcPr>
          <w:p>
            <w:pPr>
              <w:pStyle w:val="TableText"/>
            </w:pPr>
            <w:r/>
            <w:r>
              <w:t>Holds the official record of the drop.</w:t>
            </w:r>
          </w:p>
        </w:tc>
        <w:tc>
          <w:tcPr>
            <w:tcW w:type="dxa" w:w="1757"/>
          </w:tcPr>
          <w:p>
            <w:pPr>
              <w:pStyle w:val="TableText"/>
            </w:pPr>
            <w:r/>
            <w:r>
              <w:t>Registrar's record (external)</w:t>
            </w:r>
          </w:p>
        </w:tc>
        <w:tc>
          <w:tcPr>
            <w:tcW w:type="dxa" w:w="1587"/>
          </w:tcPr>
          <w:p>
            <w:pPr>
              <w:pStyle w:val="TableText"/>
            </w:pPr>
            <w:r/>
            <w:r>
              <w:t>—</w:t>
            </w:r>
          </w:p>
        </w:tc>
      </w:tr>
    </w:tbl>
    <w:p>
      <w:pPr>
        <w:spacing w:after="80" w:before="0"/>
      </w:pPr>
    </w:p>
    <w:p>
      <w:r>
        <w:rPr>
          <w:b w:val="0"/>
          <w:i/>
          <w:color w:val="595959"/>
          <w:sz w:val="17"/>
        </w:rPr>
        <w:t>† This step rests on a rule marked Practice or Proposed in section 4.5.5, or on the group's process model; it is not described in the Handbook or the Research Protocol and is to be confirmed by the Graduate School.</w:t>
      </w:r>
    </w:p>
    <w:p>
      <w:pPr>
        <w:pStyle w:val="Heading3"/>
      </w:pPr>
      <w:r>
        <w:t>4.5.5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DRP-01</w:t>
            </w:r>
          </w:p>
        </w:tc>
        <w:tc>
          <w:tcPr>
            <w:tcW w:type="dxa" w:w="4535"/>
          </w:tcPr>
          <w:p>
            <w:pPr>
              <w:pStyle w:val="TableText"/>
            </w:pPr>
            <w:r/>
            <w:r>
              <w:t>Students are expected to attend classes regularly; the maximum number of absences allowed a student is 20% of the total number of class hours for the whole semester.</w:t>
            </w:r>
          </w:p>
        </w:tc>
        <w:tc>
          <w:tcPr>
            <w:tcW w:type="dxa" w:w="3005"/>
          </w:tcPr>
          <w:p>
            <w:pPr>
              <w:pStyle w:val="TableText"/>
            </w:pPr>
            <w:r/>
            <w:r>
              <w:t>Handbook 2022-2023, p. 52</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DRP-02</w:t>
            </w:r>
          </w:p>
        </w:tc>
        <w:tc>
          <w:tcPr>
            <w:tcW w:type="dxa" w:w="4535"/>
          </w:tcPr>
          <w:p>
            <w:pPr>
              <w:pStyle w:val="TableText"/>
            </w:pPr>
            <w:r/>
            <w:r>
              <w:t>A student may be excused for a death in the family, illness (with a medical certificate from the USLS clinic or a personal doctor), or a graduate program activity endorsed by the Dean. Excuses are for time missed only, and all work missed must be made up to the satisfaction of the professor within a reasonable time.</w:t>
            </w:r>
          </w:p>
        </w:tc>
        <w:tc>
          <w:tcPr>
            <w:tcW w:type="dxa" w:w="3005"/>
          </w:tcPr>
          <w:p>
            <w:pPr>
              <w:pStyle w:val="TableText"/>
            </w:pPr>
            <w:r/>
            <w:r>
              <w:t>Handbook 2022-2023, p. 52</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DRP-03</w:t>
            </w:r>
          </w:p>
        </w:tc>
        <w:tc>
          <w:tcPr>
            <w:tcW w:type="dxa" w:w="4535"/>
          </w:tcPr>
          <w:p>
            <w:pPr>
              <w:pStyle w:val="TableText"/>
            </w:pPr>
            <w:r/>
            <w:r>
              <w:t>When unexcused absence reaches more than 20% of the stipulated hours in one course, the student is automatically dropped from the course by the professor and is given a grade of DRP with a 5.0 grade.</w:t>
            </w:r>
          </w:p>
        </w:tc>
        <w:tc>
          <w:tcPr>
            <w:tcW w:type="dxa" w:w="3005"/>
          </w:tcPr>
          <w:p>
            <w:pPr>
              <w:pStyle w:val="TableText"/>
            </w:pPr>
            <w:r/>
            <w:r>
              <w:t>Handbook 2022-2023, p. 52</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DRP-04</w:t>
            </w:r>
          </w:p>
        </w:tc>
        <w:tc>
          <w:tcPr>
            <w:tcW w:type="dxa" w:w="4535"/>
          </w:tcPr>
          <w:p>
            <w:pPr>
              <w:pStyle w:val="TableText"/>
            </w:pPr>
            <w:r/>
            <w:r>
              <w:t>A student who takes part in a school-sponsored activity or represents the University in an official capacity is granted an Approved Absence on the Dean's approval; it is not counted against the allowed absences.</w:t>
            </w:r>
          </w:p>
        </w:tc>
        <w:tc>
          <w:tcPr>
            <w:tcW w:type="dxa" w:w="3005"/>
          </w:tcPr>
          <w:p>
            <w:pPr>
              <w:pStyle w:val="TableText"/>
            </w:pPr>
            <w:r/>
            <w:r>
              <w:t>Handbook 2022-2023, p. 52</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DRP-05</w:t>
            </w:r>
          </w:p>
        </w:tc>
        <w:tc>
          <w:tcPr>
            <w:tcW w:type="dxa" w:w="4535"/>
          </w:tcPr>
          <w:p>
            <w:pPr>
              <w:pStyle w:val="TableText"/>
            </w:pPr>
            <w:r/>
            <w:r>
              <w:t>The grade symbols D (Dropped) and W (Withdrawn) appear in the grading system; students with grades INC, D or W, or who repeated a subject, are not eligible for the special academic honors.</w:t>
            </w:r>
          </w:p>
        </w:tc>
        <w:tc>
          <w:tcPr>
            <w:tcW w:type="dxa" w:w="3005"/>
          </w:tcPr>
          <w:p>
            <w:pPr>
              <w:pStyle w:val="TableText"/>
            </w:pPr>
            <w:r/>
            <w:r>
              <w:t>Handbook 2022-2023, pp. 53, 55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DRP-06</w:t>
            </w:r>
          </w:p>
        </w:tc>
        <w:tc>
          <w:tcPr>
            <w:tcW w:type="dxa" w:w="4535"/>
          </w:tcPr>
          <w:p>
            <w:pPr>
              <w:pStyle w:val="TableText"/>
            </w:pPr>
            <w:r/>
            <w:r>
              <w:t>If a student gets a 5.0 he or she is automatically dropped from the program; failure in any subject means no re-admission to the program.</w:t>
            </w:r>
          </w:p>
        </w:tc>
        <w:tc>
          <w:tcPr>
            <w:tcW w:type="dxa" w:w="3005"/>
          </w:tcPr>
          <w:p>
            <w:pPr>
              <w:pStyle w:val="TableText"/>
            </w:pPr>
            <w:r/>
            <w:r>
              <w:t>Handbook 2022-2023, p. 54</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DRP-07</w:t>
            </w:r>
          </w:p>
        </w:tc>
        <w:tc>
          <w:tcPr>
            <w:tcW w:type="dxa" w:w="4535"/>
          </w:tcPr>
          <w:p>
            <w:pPr>
              <w:pStyle w:val="TableText"/>
            </w:pPr>
            <w:r/>
            <w:r>
              <w:t>A student drops a subject during the semester by talking or writing to the Academic Coordinator. Once agreed, the Academic Coordinator or GS staff tag the subject as dropped with a date and notes. No student-facing drop request is needed in the Graduate School's record.</w:t>
            </w:r>
          </w:p>
        </w:tc>
        <w:tc>
          <w:tcPr>
            <w:tcW w:type="dxa" w:w="3005"/>
          </w:tcPr>
          <w:p>
            <w:pPr>
              <w:pStyle w:val="TableText"/>
            </w:pPr>
            <w:r/>
            <w:r>
              <w:t>Consultation 21 July 2026</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DRP-08</w:t>
            </w:r>
          </w:p>
        </w:tc>
        <w:tc>
          <w:tcPr>
            <w:tcW w:type="dxa" w:w="4535"/>
          </w:tcPr>
          <w:p>
            <w:pPr>
              <w:pStyle w:val="TableText"/>
            </w:pPr>
            <w:r/>
            <w:r>
              <w:t>The Graduate School drops the subject in AIMS as well as in its own record.</w:t>
            </w:r>
          </w:p>
        </w:tc>
        <w:tc>
          <w:tcPr>
            <w:tcW w:type="dxa" w:w="3005"/>
          </w:tcPr>
          <w:p>
            <w:pPr>
              <w:pStyle w:val="TableText"/>
            </w:pPr>
            <w:r/>
            <w:r>
              <w:t>Consultation 21 July 2026</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DRP-09</w:t>
            </w:r>
          </w:p>
        </w:tc>
        <w:tc>
          <w:tcPr>
            <w:tcW w:type="dxa" w:w="4535"/>
          </w:tcPr>
          <w:p>
            <w:pPr>
              <w:pStyle w:val="TableText"/>
            </w:pPr>
            <w:r/>
            <w:r>
              <w:t>A drop agreed between the student and the Academic Coordinator is recorded by the Academic Coordinator without a separate Graduate School approval step (there is no Deny); the record stays marked as awaiting confirmation until the Graduate School has seen the change in AIMS. (The platform has no student drop request; see DRP-03 for the absence limit it enforces.)</w:t>
            </w:r>
          </w:p>
        </w:tc>
        <w:tc>
          <w:tcPr>
            <w:tcW w:type="dxa" w:w="3005"/>
          </w:tcPr>
          <w:p>
            <w:pPr>
              <w:pStyle w:val="TableText"/>
            </w:pPr>
            <w:r/>
            <w:r>
              <w:t>Group working notes, July 20 checklist, items 18, 19 and 79 (revision adopted after the 15 July adviser session)</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DRP-10</w:t>
            </w:r>
          </w:p>
        </w:tc>
        <w:tc>
          <w:tcPr>
            <w:tcW w:type="dxa" w:w="4535"/>
          </w:tcPr>
          <w:p>
            <w:pPr>
              <w:pStyle w:val="TableText"/>
            </w:pPr>
            <w:r/>
            <w:r>
              <w:t>A student's request to leave a single subject up to the end of the second week of classes is handled as a withdrawal (see WD-01); after that the Handbook gives no way to withdraw a single subject, and a subject is dropped by the professor for unexcused absences above 20% (DRP-03). The dividing line is the group's reading of the Associate Dean's distinction between withdrawal and dropping; what a student who wants to leave one subject after the second week may do is OQ-03.</w:t>
            </w:r>
          </w:p>
        </w:tc>
        <w:tc>
          <w:tcPr>
            <w:tcW w:type="dxa" w:w="3005"/>
          </w:tcPr>
          <w:p>
            <w:pPr>
              <w:pStyle w:val="TableText"/>
            </w:pPr>
            <w:r/>
            <w:r>
              <w:t>Handbook 2022-2023, p. 49; Consultation 21 July 2026</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DRP-11</w:t>
            </w:r>
          </w:p>
        </w:tc>
        <w:tc>
          <w:tcPr>
            <w:tcW w:type="dxa" w:w="4535"/>
          </w:tcPr>
          <w:p>
            <w:pPr>
              <w:pStyle w:val="TableText"/>
            </w:pPr>
            <w:r/>
            <w:r>
              <w:t>To remain in good standing a master's student must maintain a weighted average of 2.0 or better, and a doctorate student 1.75 or better, at the end of each academic year; a grade of 3.0 (master's) or 2.0 (doctorate) is passing but carries no graduate credit.</w:t>
            </w:r>
          </w:p>
        </w:tc>
        <w:tc>
          <w:tcPr>
            <w:tcW w:type="dxa" w:w="3005"/>
          </w:tcPr>
          <w:p>
            <w:pPr>
              <w:pStyle w:val="TableText"/>
            </w:pPr>
            <w:r/>
            <w:r>
              <w:t>Handbook 2022-2023, p. 54</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DRP-12</w:t>
            </w:r>
          </w:p>
        </w:tc>
        <w:tc>
          <w:tcPr>
            <w:tcW w:type="dxa" w:w="4535"/>
          </w:tcPr>
          <w:p>
            <w:pPr>
              <w:pStyle w:val="TableText"/>
            </w:pPr>
            <w:r/>
            <w:r>
              <w:t>A grade of INC may be given if the class standing is passing but the student fails to take the final examination or complete other requirements for illness or other valid reasons. It is removed within one academic year by meeting all course requirements and submitting the Incomplete Grade Removal Form to the Graduate School Office within the set deadline; after a year without compliance the grade becomes 3.0 (master's) or 2.0 (doctorate) and the subject is taken again; a student with INC in all subjects is dropped from the rolls of the Graduate School.</w:t>
            </w:r>
          </w:p>
        </w:tc>
        <w:tc>
          <w:tcPr>
            <w:tcW w:type="dxa" w:w="3005"/>
          </w:tcPr>
          <w:p>
            <w:pPr>
              <w:pStyle w:val="TableText"/>
            </w:pPr>
            <w:r/>
            <w:r>
              <w:t>Handbook 2022-2023, p. 54</w:t>
            </w:r>
          </w:p>
        </w:tc>
        <w:tc>
          <w:tcPr>
            <w:tcW w:type="dxa" w:w="1191"/>
            <w:shd w:val="clear" w:color="auto" w:fill="E2F0D9"/>
          </w:tcPr>
          <w:p>
            <w:pPr>
              <w:pStyle w:val="TableText"/>
            </w:pPr>
            <w:r>
              <w:rPr>
                <w:b/>
              </w:rPr>
            </w:r>
            <w:r>
              <w:rPr>
                <w:b/>
              </w:rPr>
              <w:t>Official</w:t>
            </w:r>
          </w:p>
        </w:tc>
      </w:tr>
    </w:tbl>
    <w:p>
      <w:pPr>
        <w:spacing w:after="80" w:before="0"/>
      </w:pPr>
    </w:p>
    <w:p>
      <w:pPr>
        <w:pStyle w:val="Heading3"/>
      </w:pPr>
      <w:r>
        <w:t>4.5.6 Exceptions and unusual cases</w:t>
      </w:r>
    </w:p>
    <w:p>
      <w:pPr>
        <w:pStyle w:val="ListBullet"/>
        <w:spacing w:after="40"/>
      </w:pPr>
      <w:r>
        <w:t>Absence reaches more than 20% because of illness or death in the family: the excuse with a medical certificate or proof applies and the absence is not unexcused (DRP-02).</w:t>
      </w:r>
    </w:p>
    <w:p>
      <w:pPr>
        <w:pStyle w:val="ListBullet"/>
        <w:spacing w:after="40"/>
      </w:pPr>
      <w:r>
        <w:t>A student drops a subject without telling anyone: the Graduate School learns of it only from the professor's report or from AIMS. The sources do not say how the Graduate School is informed (OQ-05).</w:t>
      </w:r>
    </w:p>
    <w:p>
      <w:pPr>
        <w:pStyle w:val="ListBullet"/>
        <w:spacing w:after="40"/>
      </w:pPr>
      <w:r>
        <w:t>A student who stops enrolling without a leave of absence may be treated as absent without leave (see 4.8); the platform treats a full-semester withdrawal without an approved leave as AWOL evidence (Proposed).</w:t>
      </w:r>
    </w:p>
    <w:p>
      <w:pPr>
        <w:pStyle w:val="ListBullet"/>
        <w:spacing w:after="40"/>
      </w:pPr>
      <w:r>
        <w:t>A drop that causes a student to fall behind the curriculum is a delayed case that the Academic Coordinator follows up (Proposed).</w:t>
      </w:r>
    </w:p>
    <w:p>
      <w:pPr>
        <w:pStyle w:val="Heading3"/>
      </w:pPr>
      <w:r>
        <w:t>4.5.7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Attendance record and DRP grade</w:t>
            </w:r>
          </w:p>
        </w:tc>
        <w:tc>
          <w:tcPr>
            <w:tcW w:type="dxa" w:w="5102"/>
          </w:tcPr>
          <w:p>
            <w:pPr>
              <w:pStyle w:val="TableText"/>
            </w:pPr>
            <w:r/>
            <w:r>
              <w:t>Professor; Registrar</w:t>
            </w:r>
          </w:p>
        </w:tc>
      </w:tr>
      <w:tr>
        <w:trPr>
          <w:cantSplit w:val="true"/>
        </w:trPr>
        <w:tc>
          <w:tcPr>
            <w:tcW w:type="dxa" w:w="4535"/>
          </w:tcPr>
          <w:p>
            <w:pPr>
              <w:pStyle w:val="TableText"/>
            </w:pPr>
            <w:r/>
            <w:r>
              <w:t>Subject status: dropped, date and notes</w:t>
            </w:r>
          </w:p>
        </w:tc>
        <w:tc>
          <w:tcPr>
            <w:tcW w:type="dxa" w:w="5102"/>
          </w:tcPr>
          <w:p>
            <w:pPr>
              <w:pStyle w:val="TableText"/>
            </w:pPr>
            <w:r/>
            <w:r>
              <w:t>Graduate School record</w:t>
            </w:r>
          </w:p>
        </w:tc>
      </w:tr>
      <w:tr>
        <w:trPr>
          <w:cantSplit w:val="true"/>
        </w:trPr>
        <w:tc>
          <w:tcPr>
            <w:tcW w:type="dxa" w:w="4535"/>
          </w:tcPr>
          <w:p>
            <w:pPr>
              <w:pStyle w:val="TableText"/>
            </w:pPr>
            <w:r/>
            <w:r>
              <w:t>AIMS drop</w:t>
            </w:r>
          </w:p>
        </w:tc>
        <w:tc>
          <w:tcPr>
            <w:tcW w:type="dxa" w:w="5102"/>
          </w:tcPr>
          <w:p>
            <w:pPr>
              <w:pStyle w:val="TableText"/>
            </w:pPr>
            <w:r/>
            <w:r>
              <w:t>Registrar / AIMS</w:t>
            </w:r>
          </w:p>
        </w:tc>
      </w:tr>
    </w:tbl>
    <w:p>
      <w:pPr>
        <w:spacing w:after="80" w:before="0"/>
      </w:pPr>
    </w:p>
    <w:p>
      <w:pPr>
        <w:pStyle w:val="Heading3"/>
      </w:pPr>
      <w:r>
        <w:t>4.5.8 How the platform supports this process</w:t>
      </w:r>
    </w:p>
    <w:p>
      <w:r>
        <w:rPr>
          <w:b w:val="0"/>
          <w:i w:val="0"/>
        </w:rPr>
        <w:t>Only the Academic Coordinator can record a subject as Dropped in the platform (GS staff cannot). The platform accepts the record only when the Academic Coordinator enters the student's unexcused absences as a percentage and the figure is above the limit in the register (20%, register value dropping.absence_limit_percent); otherwise it refuses and points to the withdrawal request. A note of at least three characters and an effective date inside the semester are also required. The percentage and the note are kept in the record and the log, and the student is notified. A student cannot request a drop in the platform: a student who wants to leave a subject files a withdrawal (see 4.4). The platform does not produce the DRP grade and does not apply the 5.0 consequences, the retention averages or the INC rule, which are kept in the register as documented only.</w:t>
      </w:r>
    </w:p>
    <w:p>
      <w:r>
        <w:rPr>
          <w:b/>
          <w:i w:val="0"/>
        </w:rPr>
        <w:t xml:space="preserve">Difference between the platform and the rule. </w:t>
      </w:r>
      <w:r>
        <w:t>The platform follows the Handbook's 20% rule (DRP-01, DRP-03) for the drop record. It no longer treats dropping as a student request that needs no approval (DRP-09 and DRP-10 describe the group's earlier proposal): there is no drop request, and the date does not separate a drop from a withdrawal. Excuses and approved absences (DRP-02, DRP-04) are kept by the professor; the platform only receives the percentage. It does not drop the subject in AIMS (DRP-08). Two routes can record the status Dropped without the 20% check: a class-list upload that marks a student as dropped, and a manual status entry in the monitoring sheet; for these the check rests on the person. Whether a drop may be refused, what a drop costs, and whether a DRP 5.0 also ends the student's program are open questions (OQ-04 to OQ-06).</w:t>
      </w:r>
    </w:p>
    <w:p>
      <w:pPr>
        <w:pStyle w:val="Heading2"/>
        <w:spacing w:before="360"/>
      </w:pPr>
      <w:r>
        <w:t>4.6 Leave of absence (LOA)</w:t>
      </w:r>
    </w:p>
    <w:p>
      <w:pPr>
        <w:pStyle w:val="Heading3"/>
      </w:pPr>
      <w:r>
        <w:t>4.6.1 Purpose</w:t>
      </w:r>
    </w:p>
    <w:p>
      <w:r>
        <w:rPr>
          <w:b w:val="0"/>
          <w:i w:val="0"/>
        </w:rPr>
        <w:t>To allow a student who does not intend to enroll in a semester to stay connected to the University, and to state the limits on the leave.</w:t>
      </w:r>
    </w:p>
    <w:p>
      <w:pPr>
        <w:pStyle w:val="Heading3"/>
      </w:pPr>
      <w:r>
        <w:t>4.6.2 Who is involved</w:t>
      </w:r>
    </w:p>
    <w:p>
      <w:r>
        <w:rPr>
          <w:b w:val="0"/>
          <w:i w:val="0"/>
        </w:rPr>
        <w:t>Student; GS staff; Graduate School Dean (or Associate Dean / authorised representative); University Registrar (external); Cashier (external).</w:t>
      </w:r>
    </w:p>
    <w:p>
      <w:pPr>
        <w:pStyle w:val="Heading3"/>
      </w:pPr>
      <w:r>
        <w:t>4.6.3 Trigger and preconditions</w:t>
      </w:r>
    </w:p>
    <w:p>
      <w:r>
        <w:rPr>
          <w:b/>
          <w:i w:val="0"/>
        </w:rPr>
        <w:t xml:space="preserve">Trigger. </w:t>
      </w:r>
      <w:r>
        <w:t>A student decides not to enroll in a semester for a valid reason (for example medical reasons) while still having units to take.</w:t>
      </w:r>
    </w:p>
    <w:p>
      <w:r>
        <w:rPr>
          <w:b/>
          <w:i w:val="0"/>
        </w:rPr>
        <w:t>Preconditions.</w:t>
      </w:r>
    </w:p>
    <w:p>
      <w:pPr>
        <w:pStyle w:val="ListBullet"/>
        <w:spacing w:after="40"/>
      </w:pPr>
      <w:r>
        <w:t>The student is not merely between semesters of continuous enrollment.</w:t>
      </w:r>
    </w:p>
    <w:p>
      <w:pPr>
        <w:pStyle w:val="ListBullet"/>
        <w:spacing w:after="40"/>
      </w:pPr>
      <w:r>
        <w:t>The request is made on or before the deadline (the deadline is not stated; OQ-11).</w:t>
      </w:r>
    </w:p>
    <w:p>
      <w:pPr>
        <w:pStyle w:val="ListBullet"/>
        <w:spacing w:after="40"/>
      </w:pPr>
      <w:r>
        <w:t>It is not within two weeks before the last day of classes.</w:t>
      </w:r>
    </w:p>
    <w:p>
      <w:pPr>
        <w:pStyle w:val="Heading3"/>
      </w:pPr>
      <w:r>
        <w:t>4.6.4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Student</w:t>
            </w:r>
          </w:p>
        </w:tc>
        <w:tc>
          <w:tcPr>
            <w:tcW w:type="dxa" w:w="4082"/>
          </w:tcPr>
          <w:p>
            <w:pPr>
              <w:pStyle w:val="TableText"/>
            </w:pPr>
            <w:r/>
            <w:r>
              <w:t>Writes to the Dean stating the reason for the leave and the period requested.</w:t>
            </w:r>
          </w:p>
        </w:tc>
        <w:tc>
          <w:tcPr>
            <w:tcW w:type="dxa" w:w="1757"/>
          </w:tcPr>
          <w:p>
            <w:pPr>
              <w:pStyle w:val="TableText"/>
            </w:pPr>
            <w:r/>
            <w:r>
              <w:t>Written request to the Dean</w:t>
            </w:r>
          </w:p>
        </w:tc>
        <w:tc>
          <w:tcPr>
            <w:tcW w:type="dxa" w:w="1587"/>
          </w:tcPr>
          <w:p>
            <w:pPr>
              <w:pStyle w:val="TableText"/>
            </w:pPr>
            <w:r/>
            <w:r>
              <w:t>On or before the deadline (date not stated)</w:t>
            </w:r>
          </w:p>
        </w:tc>
      </w:tr>
      <w:tr>
        <w:trPr>
          <w:cantSplit w:val="true"/>
        </w:trPr>
        <w:tc>
          <w:tcPr>
            <w:tcW w:type="dxa" w:w="567"/>
          </w:tcPr>
          <w:p>
            <w:pPr>
              <w:pStyle w:val="TableText"/>
            </w:pPr>
            <w:r/>
            <w:r>
              <w:t>2†</w:t>
            </w:r>
          </w:p>
        </w:tc>
        <w:tc>
          <w:tcPr>
            <w:tcW w:type="dxa" w:w="1644"/>
          </w:tcPr>
          <w:p>
            <w:pPr>
              <w:pStyle w:val="TableText"/>
            </w:pPr>
            <w:r/>
            <w:r>
              <w:t>GS staff</w:t>
            </w:r>
          </w:p>
        </w:tc>
        <w:tc>
          <w:tcPr>
            <w:tcW w:type="dxa" w:w="4082"/>
          </w:tcPr>
          <w:p>
            <w:pPr>
              <w:pStyle w:val="TableText"/>
            </w:pPr>
            <w:r/>
            <w:r>
              <w:t>Records the request and checks that the period and the total of the student's approved leave are within the limits. Forwards it to the Dean.</w:t>
            </w:r>
          </w:p>
        </w:tc>
        <w:tc>
          <w:tcPr>
            <w:tcW w:type="dxa" w:w="1757"/>
          </w:tcPr>
          <w:p>
            <w:pPr>
              <w:pStyle w:val="TableText"/>
            </w:pPr>
            <w:r/>
            <w:r>
              <w:t>LOA request record</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Dean</w:t>
            </w:r>
          </w:p>
        </w:tc>
        <w:tc>
          <w:tcPr>
            <w:tcW w:type="dxa" w:w="4082"/>
          </w:tcPr>
          <w:p>
            <w:pPr>
              <w:pStyle w:val="TableText"/>
            </w:pPr>
            <w:r/>
            <w:r>
              <w:t>Approves or denies the request. The leave may be approved for one year and renewed for at most another year.</w:t>
            </w:r>
          </w:p>
        </w:tc>
        <w:tc>
          <w:tcPr>
            <w:tcW w:type="dxa" w:w="1757"/>
          </w:tcPr>
          <w:p>
            <w:pPr>
              <w:pStyle w:val="TableText"/>
            </w:pPr>
            <w:r/>
            <w:r>
              <w:t>Dean's decision</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Dean / Associate Dean / authorised representative</w:t>
            </w:r>
          </w:p>
        </w:tc>
        <w:tc>
          <w:tcPr>
            <w:tcW w:type="dxa" w:w="4082"/>
          </w:tcPr>
          <w:p>
            <w:pPr>
              <w:pStyle w:val="TableText"/>
            </w:pPr>
            <w:r/>
            <w:r>
              <w:t>Informs the University Registrar of the leave, stating the reasons and the amount of money refunded to the student, if any.</w:t>
            </w:r>
          </w:p>
        </w:tc>
        <w:tc>
          <w:tcPr>
            <w:tcW w:type="dxa" w:w="1757"/>
          </w:tcPr>
          <w:p>
            <w:pPr>
              <w:pStyle w:val="TableText"/>
            </w:pPr>
            <w:r/>
            <w:r>
              <w:t>Notice to the Registrar</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GS staff</w:t>
            </w:r>
          </w:p>
        </w:tc>
        <w:tc>
          <w:tcPr>
            <w:tcW w:type="dxa" w:w="4082"/>
          </w:tcPr>
          <w:p>
            <w:pPr>
              <w:pStyle w:val="TableText"/>
            </w:pPr>
            <w:r/>
            <w:r>
              <w:t>Records the student's status as On Leave and the effective dates, and sends the student the decision.</w:t>
            </w:r>
          </w:p>
        </w:tc>
        <w:tc>
          <w:tcPr>
            <w:tcW w:type="dxa" w:w="1757"/>
          </w:tcPr>
          <w:p>
            <w:pPr>
              <w:pStyle w:val="TableText"/>
            </w:pPr>
            <w:r/>
            <w:r>
              <w:t>Student status: On Leave</w:t>
            </w:r>
          </w:p>
        </w:tc>
        <w:tc>
          <w:tcPr>
            <w:tcW w:type="dxa" w:w="1587"/>
          </w:tcPr>
          <w:p>
            <w:pPr>
              <w:pStyle w:val="TableText"/>
            </w:pPr>
            <w:r/>
            <w:r>
              <w:t>After the Dean's decision</w:t>
            </w:r>
          </w:p>
        </w:tc>
      </w:tr>
      <w:tr>
        <w:trPr>
          <w:cantSplit w:val="true"/>
        </w:trPr>
        <w:tc>
          <w:tcPr>
            <w:tcW w:type="dxa" w:w="567"/>
          </w:tcPr>
          <w:p>
            <w:pPr>
              <w:pStyle w:val="TableText"/>
            </w:pPr>
            <w:r/>
            <w:r>
              <w:t>6</w:t>
            </w:r>
          </w:p>
        </w:tc>
        <w:tc>
          <w:tcPr>
            <w:tcW w:type="dxa" w:w="1644"/>
          </w:tcPr>
          <w:p>
            <w:pPr>
              <w:pStyle w:val="TableText"/>
            </w:pPr>
            <w:r/>
            <w:r>
              <w:t>Student</w:t>
            </w:r>
          </w:p>
        </w:tc>
        <w:tc>
          <w:tcPr>
            <w:tcW w:type="dxa" w:w="4082"/>
          </w:tcPr>
          <w:p>
            <w:pPr>
              <w:pStyle w:val="TableText"/>
            </w:pPr>
            <w:r/>
            <w:r>
              <w:t>If the leave is taken after two weeks of classes have passed, pays the withdrawal fee at the Cashier's office.</w:t>
            </w:r>
          </w:p>
        </w:tc>
        <w:tc>
          <w:tcPr>
            <w:tcW w:type="dxa" w:w="1757"/>
          </w:tcPr>
          <w:p>
            <w:pPr>
              <w:pStyle w:val="TableText"/>
            </w:pPr>
            <w:r/>
            <w:r>
              <w:t>Cashier receipt</w:t>
            </w:r>
          </w:p>
        </w:tc>
        <w:tc>
          <w:tcPr>
            <w:tcW w:type="dxa" w:w="1587"/>
          </w:tcPr>
          <w:p>
            <w:pPr>
              <w:pStyle w:val="TableText"/>
            </w:pPr>
            <w:r/>
            <w:r>
              <w:t>—</w:t>
            </w:r>
          </w:p>
        </w:tc>
      </w:tr>
    </w:tbl>
    <w:p>
      <w:pPr>
        <w:spacing w:after="80" w:before="0"/>
      </w:pPr>
    </w:p>
    <w:p>
      <w:r>
        <w:rPr>
          <w:b w:val="0"/>
          <w:i/>
          <w:color w:val="595959"/>
          <w:sz w:val="17"/>
        </w:rPr>
        <w:t>† This step rests on a rule marked Practice or Proposed in section 4.6.5, or on the group's process model; it is not described in the Handbook or the Research Protocol and is to be confirmed by the Graduate School.</w:t>
      </w:r>
    </w:p>
    <w:p>
      <w:pPr>
        <w:pStyle w:val="Heading3"/>
      </w:pPr>
      <w:r>
        <w:t>4.6.5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LOA-01</w:t>
            </w:r>
          </w:p>
        </w:tc>
        <w:tc>
          <w:tcPr>
            <w:tcW w:type="dxa" w:w="4535"/>
          </w:tcPr>
          <w:p>
            <w:pPr>
              <w:pStyle w:val="TableText"/>
            </w:pPr>
            <w:r/>
            <w:r>
              <w:t>A student who does not intend to enroll in a semester may apply for a leave of absence; a student on leave does not sever his or her ties with the University.</w:t>
            </w:r>
          </w:p>
        </w:tc>
        <w:tc>
          <w:tcPr>
            <w:tcW w:type="dxa" w:w="3005"/>
          </w:tcPr>
          <w:p>
            <w:pPr>
              <w:pStyle w:val="TableText"/>
            </w:pPr>
            <w:r/>
            <w:r>
              <w:t>Handbook 2022-2023, p. 52</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LOA-02</w:t>
            </w:r>
          </w:p>
        </w:tc>
        <w:tc>
          <w:tcPr>
            <w:tcW w:type="dxa" w:w="4535"/>
          </w:tcPr>
          <w:p>
            <w:pPr>
              <w:pStyle w:val="TableText"/>
            </w:pPr>
            <w:r/>
            <w:r>
              <w:t>A request for a leave of absence is made in writing to the Dean and states the reason for the leave and specifies the period.</w:t>
            </w:r>
          </w:p>
        </w:tc>
        <w:tc>
          <w:tcPr>
            <w:tcW w:type="dxa" w:w="3005"/>
          </w:tcPr>
          <w:p>
            <w:pPr>
              <w:pStyle w:val="TableText"/>
            </w:pPr>
            <w:r/>
            <w:r>
              <w:t>Handbook 2022-2023, p. 52</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LOA-03</w:t>
            </w:r>
          </w:p>
        </w:tc>
        <w:tc>
          <w:tcPr>
            <w:tcW w:type="dxa" w:w="4535"/>
          </w:tcPr>
          <w:p>
            <w:pPr>
              <w:pStyle w:val="TableText"/>
            </w:pPr>
            <w:r/>
            <w:r>
              <w:t>The leave may be approved for a period of one (1) year but may be renewed for at most another year.</w:t>
            </w:r>
          </w:p>
        </w:tc>
        <w:tc>
          <w:tcPr>
            <w:tcW w:type="dxa" w:w="3005"/>
          </w:tcPr>
          <w:p>
            <w:pPr>
              <w:pStyle w:val="TableText"/>
            </w:pPr>
            <w:r/>
            <w:r>
              <w:t>Handbook 2022-2023, p. 52</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LOA-04</w:t>
            </w:r>
          </w:p>
        </w:tc>
        <w:tc>
          <w:tcPr>
            <w:tcW w:type="dxa" w:w="4535"/>
          </w:tcPr>
          <w:p>
            <w:pPr>
              <w:pStyle w:val="TableText"/>
            </w:pPr>
            <w:r/>
            <w:r>
              <w:t>LOA must be done on or before the deadline.</w:t>
            </w:r>
          </w:p>
        </w:tc>
        <w:tc>
          <w:tcPr>
            <w:tcW w:type="dxa" w:w="3005"/>
          </w:tcPr>
          <w:p>
            <w:pPr>
              <w:pStyle w:val="TableText"/>
            </w:pPr>
            <w:r/>
            <w:r>
              <w:t>Handbook 2022-2023, p. 52</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LOA-05</w:t>
            </w:r>
          </w:p>
        </w:tc>
        <w:tc>
          <w:tcPr>
            <w:tcW w:type="dxa" w:w="4535"/>
          </w:tcPr>
          <w:p>
            <w:pPr>
              <w:pStyle w:val="TableText"/>
            </w:pPr>
            <w:r/>
            <w:r>
              <w:t>A student who does not intend to enroll for a valid reason (medical reasons) but still has remaining units to enroll is not allowed to enroll in Residency but should file for a Leave of Absence.</w:t>
            </w:r>
          </w:p>
        </w:tc>
        <w:tc>
          <w:tcPr>
            <w:tcW w:type="dxa" w:w="3005"/>
          </w:tcPr>
          <w:p>
            <w:pPr>
              <w:pStyle w:val="TableText"/>
            </w:pPr>
            <w:r/>
            <w:r>
              <w:t>Handbook 2022-2023, p. 48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LOA-06</w:t>
            </w:r>
          </w:p>
        </w:tc>
        <w:tc>
          <w:tcPr>
            <w:tcW w:type="dxa" w:w="4535"/>
          </w:tcPr>
          <w:p>
            <w:pPr>
              <w:pStyle w:val="TableText"/>
            </w:pPr>
            <w:r/>
            <w:r>
              <w:t>A student may file an LOA if the student withdraws after two weeks of classes have elapsed; the student is subject to a withdrawal fee from the Cashier's office.</w:t>
            </w:r>
          </w:p>
        </w:tc>
        <w:tc>
          <w:tcPr>
            <w:tcW w:type="dxa" w:w="3005"/>
          </w:tcPr>
          <w:p>
            <w:pPr>
              <w:pStyle w:val="TableText"/>
            </w:pPr>
            <w:r/>
            <w:r>
              <w:t>Handbook 2022-2023, p. 53</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LOA-07</w:t>
            </w:r>
          </w:p>
        </w:tc>
        <w:tc>
          <w:tcPr>
            <w:tcW w:type="dxa" w:w="4535"/>
          </w:tcPr>
          <w:p>
            <w:pPr>
              <w:pStyle w:val="TableText"/>
            </w:pPr>
            <w:r/>
            <w:r>
              <w:t>The Dean, Associate Dean, or the duly authorized representative informs the University Registrar of the leave, indicating the reasons and the amount of money refunded to the student, if any.</w:t>
            </w:r>
          </w:p>
        </w:tc>
        <w:tc>
          <w:tcPr>
            <w:tcW w:type="dxa" w:w="3005"/>
          </w:tcPr>
          <w:p>
            <w:pPr>
              <w:pStyle w:val="TableText"/>
            </w:pPr>
            <w:r/>
            <w:r>
              <w:t>Handbook 2022-2023, p. 53</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LOA-08</w:t>
            </w:r>
          </w:p>
        </w:tc>
        <w:tc>
          <w:tcPr>
            <w:tcW w:type="dxa" w:w="4535"/>
          </w:tcPr>
          <w:p>
            <w:pPr>
              <w:pStyle w:val="TableText"/>
            </w:pPr>
            <w:r/>
            <w:r>
              <w:t>For a leave availed of by the student during the second half of the semester, the class standing of the courses enrolled is W (withdrawn); no refund of tuition and fees is provided.</w:t>
            </w:r>
          </w:p>
        </w:tc>
        <w:tc>
          <w:tcPr>
            <w:tcW w:type="dxa" w:w="3005"/>
          </w:tcPr>
          <w:p>
            <w:pPr>
              <w:pStyle w:val="TableText"/>
            </w:pPr>
            <w:r/>
            <w:r>
              <w:t>Handbook 2022-2023, p. 53</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LOA-09</w:t>
            </w:r>
          </w:p>
        </w:tc>
        <w:tc>
          <w:tcPr>
            <w:tcW w:type="dxa" w:w="4535"/>
          </w:tcPr>
          <w:p>
            <w:pPr>
              <w:pStyle w:val="TableText"/>
            </w:pPr>
            <w:r/>
            <w:r>
              <w:t>No leave of absence is granted during the semester within two (2) weeks before the last day of classes.</w:t>
            </w:r>
          </w:p>
        </w:tc>
        <w:tc>
          <w:tcPr>
            <w:tcW w:type="dxa" w:w="3005"/>
          </w:tcPr>
          <w:p>
            <w:pPr>
              <w:pStyle w:val="TableText"/>
            </w:pPr>
            <w:r/>
            <w:r>
              <w:t>Handbook 2022-2023, p. 53</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LOA-10</w:t>
            </w:r>
          </w:p>
        </w:tc>
        <w:tc>
          <w:tcPr>
            <w:tcW w:type="dxa" w:w="4535"/>
          </w:tcPr>
          <w:p>
            <w:pPr>
              <w:pStyle w:val="TableText"/>
            </w:pPr>
            <w:r/>
            <w:r>
              <w:t>A master's program must be finished within seven academic years and a doctoral program within nine academic years, including the leave of absence.</w:t>
            </w:r>
          </w:p>
        </w:tc>
        <w:tc>
          <w:tcPr>
            <w:tcW w:type="dxa" w:w="3005"/>
          </w:tcPr>
          <w:p>
            <w:pPr>
              <w:pStyle w:val="TableText"/>
            </w:pPr>
            <w:r/>
            <w:r>
              <w:t>Handbook 2022-2023, p. 55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LOA-11</w:t>
            </w:r>
          </w:p>
        </w:tc>
        <w:tc>
          <w:tcPr>
            <w:tcW w:type="dxa" w:w="4535"/>
          </w:tcPr>
          <w:p>
            <w:pPr>
              <w:pStyle w:val="TableText"/>
            </w:pPr>
            <w:r/>
            <w:r>
              <w:t>A student who withdraws from the college without a formal leave of absence is considered absent without leave (AWOL) and has registration privileges curtailed or entirely withdrawn.</w:t>
            </w:r>
          </w:p>
        </w:tc>
        <w:tc>
          <w:tcPr>
            <w:tcW w:type="dxa" w:w="3005"/>
          </w:tcPr>
          <w:p>
            <w:pPr>
              <w:pStyle w:val="TableText"/>
            </w:pPr>
            <w:r/>
            <w:r>
              <w:t>Handbook 2022-2023, p. 53</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LOA-12</w:t>
            </w:r>
          </w:p>
        </w:tc>
        <w:tc>
          <w:tcPr>
            <w:tcW w:type="dxa" w:w="4535"/>
          </w:tcPr>
          <w:p>
            <w:pPr>
              <w:pStyle w:val="TableText"/>
            </w:pPr>
            <w:r/>
            <w:r>
              <w:t>The student may file the leave through a structured form in place of a letter, provided the Dean accepts the form as the written request.</w:t>
            </w:r>
          </w:p>
        </w:tc>
        <w:tc>
          <w:tcPr>
            <w:tcW w:type="dxa" w:w="3005"/>
          </w:tcPr>
          <w:p>
            <w:pPr>
              <w:pStyle w:val="TableText"/>
            </w:pPr>
            <w:r/>
            <w:r>
              <w:t>Group working notes, Consultation 20 July 2026 rehearsal (structured form suggested by the adviser)</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LOA-13</w:t>
            </w:r>
          </w:p>
        </w:tc>
        <w:tc>
          <w:tcPr>
            <w:tcW w:type="dxa" w:w="4535"/>
          </w:tcPr>
          <w:p>
            <w:pPr>
              <w:pStyle w:val="TableText"/>
            </w:pPr>
            <w:r/>
            <w:r>
              <w:t>The platform checks a leave request for an allowed reason category, a written reason, a valid start and end semester (at most two semesters per request and four in total with earlier approved leave), the filing date (not within fourteen days before the last day of classes) and the prototype minimum of one completed semester, and gives the Dean a recommendation; the Dean decides.</w:t>
            </w:r>
          </w:p>
        </w:tc>
        <w:tc>
          <w:tcPr>
            <w:tcW w:type="dxa" w:w="3005"/>
          </w:tcPr>
          <w:p>
            <w:pPr>
              <w:pStyle w:val="TableText"/>
            </w:pPr>
            <w:r/>
            <w:r>
              <w:t>Group working notes, Platform (current build): LOA policy review</w:t>
            </w:r>
          </w:p>
        </w:tc>
        <w:tc>
          <w:tcPr>
            <w:tcW w:type="dxa" w:w="1191"/>
            <w:shd w:val="clear" w:color="auto" w:fill="DDEBF7"/>
          </w:tcPr>
          <w:p>
            <w:pPr>
              <w:pStyle w:val="TableText"/>
            </w:pPr>
            <w:r>
              <w:rPr>
                <w:b/>
              </w:rPr>
            </w:r>
            <w:r>
              <w:rPr>
                <w:b/>
              </w:rPr>
              <w:t>Proposed</w:t>
            </w:r>
          </w:p>
        </w:tc>
      </w:tr>
    </w:tbl>
    <w:p>
      <w:pPr>
        <w:spacing w:after="80" w:before="0"/>
      </w:pPr>
    </w:p>
    <w:p>
      <w:pPr>
        <w:pStyle w:val="Heading3"/>
      </w:pPr>
      <w:r>
        <w:t>4.6.6 Exceptions and unusual cases</w:t>
      </w:r>
    </w:p>
    <w:p>
      <w:pPr>
        <w:pStyle w:val="ListBullet"/>
        <w:spacing w:after="40"/>
      </w:pPr>
      <w:r>
        <w:t>A leave in the second half of the semester: class standing is W and no refund is given (LOA-08). A leave requested within two weeks before the last day of classes is not granted (LOA-09).</w:t>
      </w:r>
    </w:p>
    <w:p>
      <w:pPr>
        <w:pStyle w:val="ListBullet"/>
        <w:spacing w:after="40"/>
      </w:pPr>
      <w:r>
        <w:t>The leave ends and the student does not return: the student is treated as absent without leave (see 4.8) unless a further renewal within the two-year limit has been approved (LOA-03).</w:t>
      </w:r>
    </w:p>
    <w:p>
      <w:pPr>
        <w:pStyle w:val="ListBullet"/>
        <w:spacing w:after="40"/>
      </w:pPr>
      <w:r>
        <w:t>The student wants to withdraw a pending leave request before the decision: the sources do not say whether this is allowed. The platform allows it while the request is Submitted or in Dean Review, as the adviser suggested (Consultation 20 July 2026); the student may then file a new request (OQ-12).</w:t>
      </w:r>
    </w:p>
    <w:p>
      <w:pPr>
        <w:pStyle w:val="ListBullet"/>
        <w:spacing w:after="40"/>
      </w:pPr>
      <w:r>
        <w:t>A student who stopped attending without filing a leave: see 4.8, absent without leave.</w:t>
      </w:r>
    </w:p>
    <w:p>
      <w:pPr>
        <w:pStyle w:val="Heading3"/>
      </w:pPr>
      <w:r>
        <w:t>4.6.7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Written leave request and Dean's decision</w:t>
            </w:r>
          </w:p>
        </w:tc>
        <w:tc>
          <w:tcPr>
            <w:tcW w:type="dxa" w:w="5102"/>
          </w:tcPr>
          <w:p>
            <w:pPr>
              <w:pStyle w:val="TableText"/>
            </w:pPr>
            <w:r/>
            <w:r>
              <w:t>Dean's office; GS staff record</w:t>
            </w:r>
          </w:p>
        </w:tc>
      </w:tr>
      <w:tr>
        <w:trPr>
          <w:cantSplit w:val="true"/>
        </w:trPr>
        <w:tc>
          <w:tcPr>
            <w:tcW w:type="dxa" w:w="4535"/>
          </w:tcPr>
          <w:p>
            <w:pPr>
              <w:pStyle w:val="TableText"/>
            </w:pPr>
            <w:r/>
            <w:r>
              <w:t>Notice of leave with reasons and refund to the Registrar</w:t>
            </w:r>
          </w:p>
        </w:tc>
        <w:tc>
          <w:tcPr>
            <w:tcW w:type="dxa" w:w="5102"/>
          </w:tcPr>
          <w:p>
            <w:pPr>
              <w:pStyle w:val="TableText"/>
            </w:pPr>
            <w:r/>
            <w:r>
              <w:t>University Registrar</w:t>
            </w:r>
          </w:p>
        </w:tc>
      </w:tr>
      <w:tr>
        <w:trPr>
          <w:cantSplit w:val="true"/>
        </w:trPr>
        <w:tc>
          <w:tcPr>
            <w:tcW w:type="dxa" w:w="4535"/>
          </w:tcPr>
          <w:p>
            <w:pPr>
              <w:pStyle w:val="TableText"/>
            </w:pPr>
            <w:r/>
            <w:r>
              <w:t>Student status On Leave with effective dates</w:t>
            </w:r>
          </w:p>
        </w:tc>
        <w:tc>
          <w:tcPr>
            <w:tcW w:type="dxa" w:w="5102"/>
          </w:tcPr>
          <w:p>
            <w:pPr>
              <w:pStyle w:val="TableText"/>
            </w:pPr>
            <w:r/>
            <w:r>
              <w:t>Graduate School record</w:t>
            </w:r>
          </w:p>
        </w:tc>
      </w:tr>
    </w:tbl>
    <w:p>
      <w:pPr>
        <w:spacing w:after="80" w:before="0"/>
      </w:pPr>
    </w:p>
    <w:p>
      <w:pPr>
        <w:pStyle w:val="Heading3"/>
      </w:pPr>
      <w:r>
        <w:t>4.6.8 How the platform supports this process</w:t>
      </w:r>
    </w:p>
    <w:p>
      <w:r>
        <w:rPr>
          <w:b w:val="0"/>
          <w:i w:val="0"/>
        </w:rPr>
        <w:t>The student files a structured leave request in the portal: a reason category, the reason, and the start and end semester. There is no letter or document to upload. The platform blocks the submission when the request covers more than the register allows for one request (2 semesters, loa.max_period_semesters), when the semesters already approved plus the request would pass 4 semesters in total (loa.max_total_semesters, renewals included), when the start semester is already over or is running with 14 days or fewer before its last day of classes (loa.no_filing_days_before_term_end), or when another leave request is already in progress. A request filed in the second half of a running semester is accepted with a note that the enrolled courses become W and no refund is given; the platform only shows that note, it does not mark the courses W or work out a refund. The number of earlier leaves is not limited, only the semesters. The platform also estimates whether the student has completed the prototype minimum of one semester; a shortfall is shown to the Dean as Needs Review and blocks nothing. Until the Dean decides, the student can withdraw a pending request (Submitted or Dean Review) and file a new one. GS staff review the same checks and forward the request to the Dean, who approves, denies or returns it for revision. Approval sets the status On Leave, which also stops the student being enrolled in subjects, and staff can download a provisional notice for the Registrar (period and reason category; no refund amount). The residency clock keeps running during the leave.</w:t>
      </w:r>
    </w:p>
    <w:p>
      <w:r>
        <w:rPr>
          <w:b/>
          <w:i w:val="0"/>
        </w:rPr>
        <w:t xml:space="preserve">Difference between the platform and the rule. </w:t>
      </w:r>
      <w:r>
        <w:t>The platform now follows the Handbook on the points where the earlier build had differed: a leave of up to one year (two semesters) per request, renewable up to four semesters in total, no limit on the number of leaves, a leave allowed in the second half of a semester (with W and no refund shown) but not within the last two weeks, and time on leave counted inside the maximum residence (the residency clock is never paused). Differences remain. The Handbook's filing deadline is not stated (LOA-04), so the platform applies only the two date checks above. The withdrawal fee after two weeks (LOA-06), the refund amount in the notice to the Registrar (LOA-07) and the marking of courses W (LOA-08) are not computed. A semester is counted by its position in the list of semesters set up in the platform, so a year of leave is two semesters, not three terms (OQ-09). The Dean's approval sets On Leave at once, not from the start semester, and does not run the limit checks again. The student form lists only future semesters, although the platform's check would also accept a semester that is running (OQ-11). These points are open questions OQ-09 to OQ-12; the Handbook is in force.</w:t>
      </w:r>
    </w:p>
    <w:p>
      <w:pPr>
        <w:pStyle w:val="Heading2"/>
        <w:spacing w:before="360"/>
      </w:pPr>
      <w:r>
        <w:t>4.7 Return from leave of absence and readmission</w:t>
      </w:r>
    </w:p>
    <w:p>
      <w:pPr>
        <w:pStyle w:val="Heading3"/>
      </w:pPr>
      <w:r>
        <w:t>4.7.1 Purpose</w:t>
      </w:r>
    </w:p>
    <w:p>
      <w:r>
        <w:rPr>
          <w:b w:val="0"/>
          <w:i w:val="0"/>
        </w:rPr>
        <w:t>To state how a student who was on leave of absence, or who was absent without leave, returns to the program.</w:t>
      </w:r>
    </w:p>
    <w:p>
      <w:pPr>
        <w:pStyle w:val="Heading3"/>
      </w:pPr>
      <w:r>
        <w:t>4.7.2 Who is involved</w:t>
      </w:r>
    </w:p>
    <w:p>
      <w:r>
        <w:rPr>
          <w:b w:val="0"/>
          <w:i w:val="0"/>
        </w:rPr>
        <w:t>Student; GS staff; Graduate School Dean; University Registrar (external); Business Office (external).</w:t>
      </w:r>
    </w:p>
    <w:p>
      <w:pPr>
        <w:pStyle w:val="Heading3"/>
      </w:pPr>
      <w:r>
        <w:t>4.7.3 Trigger and preconditions</w:t>
      </w:r>
    </w:p>
    <w:p>
      <w:r>
        <w:rPr>
          <w:b/>
          <w:i w:val="0"/>
        </w:rPr>
        <w:t xml:space="preserve">Trigger. </w:t>
      </w:r>
      <w:r>
        <w:t>The approved leave period ends, or an absent student wants to resume.</w:t>
      </w:r>
    </w:p>
    <w:p>
      <w:r>
        <w:rPr>
          <w:b/>
          <w:i w:val="0"/>
        </w:rPr>
        <w:t>Preconditions.</w:t>
      </w:r>
    </w:p>
    <w:p>
      <w:pPr>
        <w:pStyle w:val="ListBullet"/>
        <w:spacing w:after="40"/>
      </w:pPr>
      <w:r>
        <w:t>The student is within the maximum residence limit (see 4.9), or accepts the extension conditions.</w:t>
      </w:r>
    </w:p>
    <w:p>
      <w:pPr>
        <w:pStyle w:val="ListBullet"/>
        <w:spacing w:after="40"/>
      </w:pPr>
      <w:r>
        <w:t>The student has not failed a subject (failure means no re-admission to the program; DRP-06).</w:t>
      </w:r>
    </w:p>
    <w:p>
      <w:pPr>
        <w:pStyle w:val="Heading3"/>
      </w:pPr>
      <w:r>
        <w:t>4.7.4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Student</w:t>
            </w:r>
          </w:p>
        </w:tc>
        <w:tc>
          <w:tcPr>
            <w:tcW w:type="dxa" w:w="4082"/>
          </w:tcPr>
          <w:p>
            <w:pPr>
              <w:pStyle w:val="TableText"/>
            </w:pPr>
            <w:r/>
            <w:r>
              <w:t>Declares the intention to enroll by writing to the University Registrar through the Graduate School Dean.</w:t>
            </w:r>
          </w:p>
        </w:tc>
        <w:tc>
          <w:tcPr>
            <w:tcW w:type="dxa" w:w="1757"/>
          </w:tcPr>
          <w:p>
            <w:pPr>
              <w:pStyle w:val="TableText"/>
            </w:pPr>
            <w:r/>
            <w:r>
              <w:t>Written return intention</w:t>
            </w:r>
          </w:p>
        </w:tc>
        <w:tc>
          <w:tcPr>
            <w:tcW w:type="dxa" w:w="1587"/>
          </w:tcPr>
          <w:p>
            <w:pPr>
              <w:pStyle w:val="TableText"/>
            </w:pPr>
            <w:r/>
            <w:r>
              <w:t>Before the semester of return (date not stated)</w:t>
            </w:r>
          </w:p>
        </w:tc>
      </w:tr>
      <w:tr>
        <w:trPr>
          <w:cantSplit w:val="true"/>
        </w:trPr>
        <w:tc>
          <w:tcPr>
            <w:tcW w:type="dxa" w:w="567"/>
          </w:tcPr>
          <w:p>
            <w:pPr>
              <w:pStyle w:val="TableText"/>
            </w:pPr>
            <w:r/>
            <w:r>
              <w:t>2†</w:t>
            </w:r>
          </w:p>
        </w:tc>
        <w:tc>
          <w:tcPr>
            <w:tcW w:type="dxa" w:w="1644"/>
          </w:tcPr>
          <w:p>
            <w:pPr>
              <w:pStyle w:val="TableText"/>
            </w:pPr>
            <w:r/>
            <w:r>
              <w:t>GS staff</w:t>
            </w:r>
          </w:p>
        </w:tc>
        <w:tc>
          <w:tcPr>
            <w:tcW w:type="dxa" w:w="4082"/>
          </w:tcPr>
          <w:p>
            <w:pPr>
              <w:pStyle w:val="TableText"/>
            </w:pPr>
            <w:r/>
            <w:r>
              <w:t>Records the request, checks the target return term and the previous leave period, and forwards it to the Dean.</w:t>
            </w:r>
          </w:p>
        </w:tc>
        <w:tc>
          <w:tcPr>
            <w:tcW w:type="dxa" w:w="1757"/>
          </w:tcPr>
          <w:p>
            <w:pPr>
              <w:pStyle w:val="TableText"/>
            </w:pPr>
            <w:r/>
            <w:r>
              <w:t>Readmission request record</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Student</w:t>
            </w:r>
          </w:p>
        </w:tc>
        <w:tc>
          <w:tcPr>
            <w:tcW w:type="dxa" w:w="4082"/>
          </w:tcPr>
          <w:p>
            <w:pPr>
              <w:pStyle w:val="TableText"/>
            </w:pPr>
            <w:r/>
            <w:r>
              <w:t>Obtains a clearance from the Business Office and attends the interview (reason for the delay, residency requirements).</w:t>
            </w:r>
          </w:p>
        </w:tc>
        <w:tc>
          <w:tcPr>
            <w:tcW w:type="dxa" w:w="1757"/>
          </w:tcPr>
          <w:p>
            <w:pPr>
              <w:pStyle w:val="TableText"/>
            </w:pPr>
            <w:r/>
            <w:r>
              <w:t>Business Office clearance; interview</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Academic Coordinator / Dean</w:t>
            </w:r>
          </w:p>
        </w:tc>
        <w:tc>
          <w:tcPr>
            <w:tcW w:type="dxa" w:w="4082"/>
          </w:tcPr>
          <w:p>
            <w:pPr>
              <w:pStyle w:val="TableText"/>
            </w:pPr>
            <w:r/>
            <w:r>
              <w:t>Evaluates the subject and grade requirements; the Dean issues the Advise Slip.</w:t>
            </w:r>
          </w:p>
        </w:tc>
        <w:tc>
          <w:tcPr>
            <w:tcW w:type="dxa" w:w="1757"/>
          </w:tcPr>
          <w:p>
            <w:pPr>
              <w:pStyle w:val="TableText"/>
            </w:pPr>
            <w:r/>
            <w:r>
              <w:t>Advise Slip from the Dean</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Dean</w:t>
            </w:r>
          </w:p>
        </w:tc>
        <w:tc>
          <w:tcPr>
            <w:tcW w:type="dxa" w:w="4082"/>
          </w:tcPr>
          <w:p>
            <w:pPr>
              <w:pStyle w:val="TableText"/>
            </w:pPr>
            <w:r/>
            <w:r>
              <w:t>Approves or denies the readmission and endorses the student's written intent to the University Registrar.</w:t>
            </w:r>
          </w:p>
        </w:tc>
        <w:tc>
          <w:tcPr>
            <w:tcW w:type="dxa" w:w="1757"/>
          </w:tcPr>
          <w:p>
            <w:pPr>
              <w:pStyle w:val="TableText"/>
            </w:pPr>
            <w:r/>
            <w:r>
              <w:t>Dean's decision; endorsement to the Registrar</w:t>
            </w:r>
          </w:p>
        </w:tc>
        <w:tc>
          <w:tcPr>
            <w:tcW w:type="dxa" w:w="1587"/>
          </w:tcPr>
          <w:p>
            <w:pPr>
              <w:pStyle w:val="TableText"/>
            </w:pPr>
            <w:r/>
            <w:r>
              <w:t>—</w:t>
            </w:r>
          </w:p>
        </w:tc>
      </w:tr>
      <w:tr>
        <w:trPr>
          <w:cantSplit w:val="true"/>
        </w:trPr>
        <w:tc>
          <w:tcPr>
            <w:tcW w:type="dxa" w:w="567"/>
          </w:tcPr>
          <w:p>
            <w:pPr>
              <w:pStyle w:val="TableText"/>
            </w:pPr>
            <w:r/>
            <w:r>
              <w:t>6†</w:t>
            </w:r>
          </w:p>
        </w:tc>
        <w:tc>
          <w:tcPr>
            <w:tcW w:type="dxa" w:w="1644"/>
          </w:tcPr>
          <w:p>
            <w:pPr>
              <w:pStyle w:val="TableText"/>
            </w:pPr>
            <w:r/>
            <w:r>
              <w:t>GS staff</w:t>
            </w:r>
          </w:p>
        </w:tc>
        <w:tc>
          <w:tcPr>
            <w:tcW w:type="dxa" w:w="4082"/>
          </w:tcPr>
          <w:p>
            <w:pPr>
              <w:pStyle w:val="TableText"/>
            </w:pPr>
            <w:r/>
            <w:r>
              <w:t>Records the student as Active for the return term and notifies the student.</w:t>
            </w:r>
          </w:p>
        </w:tc>
        <w:tc>
          <w:tcPr>
            <w:tcW w:type="dxa" w:w="1757"/>
          </w:tcPr>
          <w:p>
            <w:pPr>
              <w:pStyle w:val="TableText"/>
            </w:pPr>
            <w:r/>
            <w:r>
              <w:t>Student status: Active</w:t>
            </w:r>
          </w:p>
        </w:tc>
        <w:tc>
          <w:tcPr>
            <w:tcW w:type="dxa" w:w="1587"/>
          </w:tcPr>
          <w:p>
            <w:pPr>
              <w:pStyle w:val="TableText"/>
            </w:pPr>
            <w:r/>
            <w:r>
              <w:t>After the Dean's decision</w:t>
            </w:r>
          </w:p>
        </w:tc>
      </w:tr>
    </w:tbl>
    <w:p>
      <w:pPr>
        <w:spacing w:after="80" w:before="0"/>
      </w:pPr>
    </w:p>
    <w:p>
      <w:r>
        <w:rPr>
          <w:b w:val="0"/>
          <w:i/>
          <w:color w:val="595959"/>
          <w:sz w:val="17"/>
        </w:rPr>
        <w:t>† This step rests on a rule marked Practice or Proposed in section 4.7.5, or on the group's process model; it is not described in the Handbook or the Research Protocol and is to be confirmed by the Graduate School.</w:t>
      </w:r>
    </w:p>
    <w:p>
      <w:pPr>
        <w:pStyle w:val="Heading3"/>
      </w:pPr>
      <w:r>
        <w:t>4.7.5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RDM-01</w:t>
            </w:r>
          </w:p>
        </w:tc>
        <w:tc>
          <w:tcPr>
            <w:tcW w:type="dxa" w:w="4535"/>
          </w:tcPr>
          <w:p>
            <w:pPr>
              <w:pStyle w:val="TableText"/>
            </w:pPr>
            <w:r/>
            <w:r>
              <w:t>A student returning from a leave of absence (LOA) or absence without leave (AWOL) declares his or her intention to enroll by writing to the University Registrar through the Graduate School Dean, who then endorses it to the University Registrar.</w:t>
            </w:r>
          </w:p>
        </w:tc>
        <w:tc>
          <w:tcPr>
            <w:tcW w:type="dxa" w:w="3005"/>
          </w:tcPr>
          <w:p>
            <w:pPr>
              <w:pStyle w:val="TableText"/>
            </w:pPr>
            <w:r/>
            <w:r>
              <w:t>Handbook 2022-2023, p. 53</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RDM-02</w:t>
            </w:r>
          </w:p>
        </w:tc>
        <w:tc>
          <w:tcPr>
            <w:tcW w:type="dxa" w:w="4535"/>
          </w:tcPr>
          <w:p>
            <w:pPr>
              <w:pStyle w:val="TableText"/>
            </w:pPr>
            <w:r/>
            <w:r>
              <w:t>A returnee must present: (1) clearance from the Business Office, (2) an interview (reason for delay, residency requirements), (3) evaluation of subject and grade requirements, (4) an Advise Slip from the Dean.</w:t>
            </w:r>
          </w:p>
        </w:tc>
        <w:tc>
          <w:tcPr>
            <w:tcW w:type="dxa" w:w="3005"/>
          </w:tcPr>
          <w:p>
            <w:pPr>
              <w:pStyle w:val="TableText"/>
            </w:pPr>
            <w:r/>
            <w:r>
              <w:t>Handbook 2022-2023, p. 45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RDM-03</w:t>
            </w:r>
          </w:p>
        </w:tc>
        <w:tc>
          <w:tcPr>
            <w:tcW w:type="dxa" w:w="4535"/>
          </w:tcPr>
          <w:p>
            <w:pPr>
              <w:pStyle w:val="TableText"/>
            </w:pPr>
            <w:r/>
            <w:r>
              <w:t>Failure in any subject means no re-admission to the program.</w:t>
            </w:r>
          </w:p>
        </w:tc>
        <w:tc>
          <w:tcPr>
            <w:tcW w:type="dxa" w:w="3005"/>
          </w:tcPr>
          <w:p>
            <w:pPr>
              <w:pStyle w:val="TableText"/>
            </w:pPr>
            <w:r/>
            <w:r>
              <w:t>Handbook 2022-2023, p. 54</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RDM-04</w:t>
            </w:r>
          </w:p>
        </w:tc>
        <w:tc>
          <w:tcPr>
            <w:tcW w:type="dxa" w:w="4535"/>
          </w:tcPr>
          <w:p>
            <w:pPr>
              <w:pStyle w:val="TableText"/>
            </w:pPr>
            <w:r/>
            <w:r>
              <w:t>A student who cannot finish within the maximum residence (seven years for a master's, nine for a doctorate) must re-enroll all courses taken and earn new credits.</w:t>
            </w:r>
          </w:p>
        </w:tc>
        <w:tc>
          <w:tcPr>
            <w:tcW w:type="dxa" w:w="3005"/>
          </w:tcPr>
          <w:p>
            <w:pPr>
              <w:pStyle w:val="TableText"/>
            </w:pPr>
            <w:r/>
            <w:r>
              <w:t>Handbook 2022-2023, p. 55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RDM-05</w:t>
            </w:r>
          </w:p>
        </w:tc>
        <w:tc>
          <w:tcPr>
            <w:tcW w:type="dxa" w:w="4535"/>
          </w:tcPr>
          <w:p>
            <w:pPr>
              <w:pStyle w:val="TableText"/>
            </w:pPr>
            <w:r/>
            <w:r>
              <w:t>The platform's readmission checklist asks for a structured return intention, a confirmed updated study plan, a program or adviser consultation, and confirmation that no accountability is pending. The Handbook's four requirements (RDM-02) are the official list.</w:t>
            </w:r>
          </w:p>
        </w:tc>
        <w:tc>
          <w:tcPr>
            <w:tcW w:type="dxa" w:w="3005"/>
          </w:tcPr>
          <w:p>
            <w:pPr>
              <w:pStyle w:val="TableText"/>
            </w:pPr>
            <w:r/>
            <w:r>
              <w:t>Group working notes, Platform (current build): readmission requirements</w:t>
            </w:r>
          </w:p>
        </w:tc>
        <w:tc>
          <w:tcPr>
            <w:tcW w:type="dxa" w:w="1191"/>
            <w:shd w:val="clear" w:color="auto" w:fill="DDEBF7"/>
          </w:tcPr>
          <w:p>
            <w:pPr>
              <w:pStyle w:val="TableText"/>
            </w:pPr>
            <w:r>
              <w:rPr>
                <w:b/>
              </w:rPr>
            </w:r>
            <w:r>
              <w:rPr>
                <w:b/>
              </w:rPr>
              <w:t>Proposed</w:t>
            </w:r>
          </w:p>
        </w:tc>
      </w:tr>
    </w:tbl>
    <w:p>
      <w:pPr>
        <w:spacing w:after="80" w:before="0"/>
      </w:pPr>
    </w:p>
    <w:p>
      <w:pPr>
        <w:pStyle w:val="Heading3"/>
      </w:pPr>
      <w:r>
        <w:t>4.7.6 Exceptions and unusual cases</w:t>
      </w:r>
    </w:p>
    <w:p>
      <w:pPr>
        <w:pStyle w:val="ListBullet"/>
        <w:spacing w:after="40"/>
      </w:pPr>
      <w:r>
        <w:t>The return term is outside the maximum residence: the student is classified as within the limit, in the extension (two more years with a graded six-unit refresher course), or needing full re-enrollment (see 4.9).</w:t>
      </w:r>
    </w:p>
    <w:p>
      <w:pPr>
        <w:pStyle w:val="ListBullet"/>
        <w:spacing w:after="40"/>
      </w:pPr>
      <w:r>
        <w:t>The student was absent without leave: the same written declaration is used (RDM-01).</w:t>
      </w:r>
    </w:p>
    <w:p>
      <w:pPr>
        <w:pStyle w:val="ListBullet"/>
        <w:spacing w:after="40"/>
      </w:pPr>
      <w:r>
        <w:t>The student was dropped for failing a subject: no re-admission (RDM-03).</w:t>
      </w:r>
    </w:p>
    <w:p>
      <w:pPr>
        <w:pStyle w:val="Heading3"/>
      </w:pPr>
      <w:r>
        <w:t>4.7.7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Written return intention and the Dean's endorsement</w:t>
            </w:r>
          </w:p>
        </w:tc>
        <w:tc>
          <w:tcPr>
            <w:tcW w:type="dxa" w:w="5102"/>
          </w:tcPr>
          <w:p>
            <w:pPr>
              <w:pStyle w:val="TableText"/>
            </w:pPr>
            <w:r/>
            <w:r>
              <w:t>Dean's office; University Registrar</w:t>
            </w:r>
          </w:p>
        </w:tc>
      </w:tr>
      <w:tr>
        <w:trPr>
          <w:cantSplit w:val="true"/>
        </w:trPr>
        <w:tc>
          <w:tcPr>
            <w:tcW w:type="dxa" w:w="4535"/>
          </w:tcPr>
          <w:p>
            <w:pPr>
              <w:pStyle w:val="TableText"/>
            </w:pPr>
            <w:r/>
            <w:r>
              <w:t>Business Office clearance; interview notes; Advise Slip</w:t>
            </w:r>
          </w:p>
        </w:tc>
        <w:tc>
          <w:tcPr>
            <w:tcW w:type="dxa" w:w="5102"/>
          </w:tcPr>
          <w:p>
            <w:pPr>
              <w:pStyle w:val="TableText"/>
            </w:pPr>
            <w:r/>
            <w:r>
              <w:t>Graduate School record</w:t>
            </w:r>
          </w:p>
        </w:tc>
      </w:tr>
      <w:tr>
        <w:trPr>
          <w:cantSplit w:val="true"/>
        </w:trPr>
        <w:tc>
          <w:tcPr>
            <w:tcW w:type="dxa" w:w="4535"/>
          </w:tcPr>
          <w:p>
            <w:pPr>
              <w:pStyle w:val="TableText"/>
            </w:pPr>
            <w:r/>
            <w:r>
              <w:t>Student status: Active from the return term</w:t>
            </w:r>
          </w:p>
        </w:tc>
        <w:tc>
          <w:tcPr>
            <w:tcW w:type="dxa" w:w="5102"/>
          </w:tcPr>
          <w:p>
            <w:pPr>
              <w:pStyle w:val="TableText"/>
            </w:pPr>
            <w:r/>
            <w:r>
              <w:t>Graduate School record</w:t>
            </w:r>
          </w:p>
        </w:tc>
      </w:tr>
    </w:tbl>
    <w:p>
      <w:pPr>
        <w:spacing w:after="80" w:before="0"/>
      </w:pPr>
    </w:p>
    <w:p>
      <w:pPr>
        <w:pStyle w:val="Heading3"/>
      </w:pPr>
      <w:r>
        <w:t>4.7.8 How the platform supports this process</w:t>
      </w:r>
    </w:p>
    <w:p>
      <w:r>
        <w:rPr>
          <w:b w:val="0"/>
          <w:i w:val="0"/>
        </w:rPr>
        <w:t>The student files a structured return request in the portal: a return semester that starts after today, the start and end of the previous leave, a written return intention, and four ticked confirmations (a structured return intention, an updated study plan, a consultation with the program or the adviser, and no pending accountability). The ticks are the student's own statement; nothing is uploaded or verified. GS staff review the request and forward it to the Dean. The review marks Needs Review when the student is not on leave, but does not block the request. The Dean approves, denies or returns it for revision. Approval sets the status Active, tags the student Not Enrolled for the return term and opens a task for the Academic Coordinator on the study plan and enrollment; a denial leaves the record as it was. Staff can download a provisional file for the Registrar with the return semester and the previous leave period.</w:t>
      </w:r>
    </w:p>
    <w:p>
      <w:r>
        <w:rPr>
          <w:b/>
          <w:i w:val="0"/>
        </w:rPr>
        <w:t xml:space="preserve">Difference between the platform and the rule. </w:t>
      </w:r>
      <w:r>
        <w:t>The platform's four-item checklist differs from the Handbook's four requirements (RDM-02). The platform does not record the interview, the Business Office clearance or the Advise Slip (OQ-13), and it does not check failed subjects (RDM-03) or the maximum residence for a return from leave (RDM-04); these are left to people. The classification by years in the program is applied only to a return from AWOL (see 4.8), not to a return from leave. The portal does not require that the student is on leave before the request is filed; staff see a flag when the student is not.</w:t>
      </w:r>
    </w:p>
    <w:p>
      <w:pPr>
        <w:pStyle w:val="Heading2"/>
        <w:spacing w:before="360"/>
      </w:pPr>
      <w:r>
        <w:t>4.8 Absence without leave (AWOL)</w:t>
      </w:r>
    </w:p>
    <w:p>
      <w:pPr>
        <w:pStyle w:val="Heading3"/>
      </w:pPr>
      <w:r>
        <w:t>4.8.1 Purpose</w:t>
      </w:r>
    </w:p>
    <w:p>
      <w:r>
        <w:rPr>
          <w:b w:val="0"/>
          <w:i w:val="0"/>
        </w:rPr>
        <w:t>To state what happens to a student who stops enrolling without a formal leave of absence.</w:t>
      </w:r>
    </w:p>
    <w:p>
      <w:pPr>
        <w:pStyle w:val="Heading3"/>
      </w:pPr>
      <w:r>
        <w:t>4.8.2 Who is involved</w:t>
      </w:r>
    </w:p>
    <w:p>
      <w:r>
        <w:rPr>
          <w:b w:val="0"/>
          <w:i w:val="0"/>
        </w:rPr>
        <w:t>Student; GS staff; Graduate School Dean; University Registrar (external).</w:t>
      </w:r>
    </w:p>
    <w:p>
      <w:pPr>
        <w:pStyle w:val="Heading3"/>
      </w:pPr>
      <w:r>
        <w:t>4.8.3 Trigger and preconditions</w:t>
      </w:r>
    </w:p>
    <w:p>
      <w:r>
        <w:rPr>
          <w:b/>
          <w:i w:val="0"/>
        </w:rPr>
        <w:t xml:space="preserve">Trigger. </w:t>
      </w:r>
      <w:r>
        <w:t>A student withdraws from the University, or stops enrolling, without a formal leave of absence.</w:t>
      </w:r>
    </w:p>
    <w:p>
      <w:r>
        <w:rPr>
          <w:b/>
          <w:i w:val="0"/>
        </w:rPr>
        <w:t>Preconditions.</w:t>
      </w:r>
    </w:p>
    <w:p>
      <w:pPr>
        <w:pStyle w:val="ListBullet"/>
        <w:spacing w:after="40"/>
      </w:pPr>
      <w:r>
        <w:t>No approved leave of absence covers the period.</w:t>
      </w:r>
    </w:p>
    <w:p>
      <w:pPr>
        <w:pStyle w:val="Heading3"/>
      </w:pPr>
      <w:r>
        <w:t>4.8.4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GS staff</w:t>
            </w:r>
          </w:p>
        </w:tc>
        <w:tc>
          <w:tcPr>
            <w:tcW w:type="dxa" w:w="4082"/>
          </w:tcPr>
          <w:p>
            <w:pPr>
              <w:pStyle w:val="TableText"/>
            </w:pPr>
            <w:r/>
            <w:r>
              <w:t>Notices that the student has no approved leave and no enrollment for a semester, and marks the student as absent without leave after checking the official record.</w:t>
            </w:r>
          </w:p>
        </w:tc>
        <w:tc>
          <w:tcPr>
            <w:tcW w:type="dxa" w:w="1757"/>
          </w:tcPr>
          <w:p>
            <w:pPr>
              <w:pStyle w:val="TableText"/>
            </w:pPr>
            <w:r/>
            <w:r>
              <w:t>AWOL status (source evidence)</w:t>
            </w:r>
          </w:p>
        </w:tc>
        <w:tc>
          <w:tcPr>
            <w:tcW w:type="dxa" w:w="1587"/>
          </w:tcPr>
          <w:p>
            <w:pPr>
              <w:pStyle w:val="TableText"/>
            </w:pPr>
            <w:r/>
            <w:r>
              <w:t>—</w:t>
            </w:r>
          </w:p>
        </w:tc>
      </w:tr>
      <w:tr>
        <w:trPr>
          <w:cantSplit w:val="true"/>
        </w:trPr>
        <w:tc>
          <w:tcPr>
            <w:tcW w:type="dxa" w:w="567"/>
          </w:tcPr>
          <w:p>
            <w:pPr>
              <w:pStyle w:val="TableText"/>
            </w:pPr>
            <w:r/>
            <w:r>
              <w:t>2</w:t>
            </w:r>
          </w:p>
        </w:tc>
        <w:tc>
          <w:tcPr>
            <w:tcW w:type="dxa" w:w="1644"/>
          </w:tcPr>
          <w:p>
            <w:pPr>
              <w:pStyle w:val="TableText"/>
            </w:pPr>
            <w:r/>
            <w:r>
              <w:t>Registrar</w:t>
            </w:r>
          </w:p>
        </w:tc>
        <w:tc>
          <w:tcPr>
            <w:tcW w:type="dxa" w:w="4082"/>
          </w:tcPr>
          <w:p>
            <w:pPr>
              <w:pStyle w:val="TableText"/>
            </w:pPr>
            <w:r/>
            <w:r>
              <w:t>Curtails or withdraws the student's registration privileges.</w:t>
            </w:r>
          </w:p>
        </w:tc>
        <w:tc>
          <w:tcPr>
            <w:tcW w:type="dxa" w:w="1757"/>
          </w:tcPr>
          <w:p>
            <w:pPr>
              <w:pStyle w:val="TableText"/>
            </w:pPr>
            <w:r/>
            <w:r>
              <w:t>Registration privileges</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Student</w:t>
            </w:r>
          </w:p>
        </w:tc>
        <w:tc>
          <w:tcPr>
            <w:tcW w:type="dxa" w:w="4082"/>
          </w:tcPr>
          <w:p>
            <w:pPr>
              <w:pStyle w:val="TableText"/>
            </w:pPr>
            <w:r/>
            <w:r>
              <w:t>Returns by declaring the intention to enroll in writing through the Graduate School Dean (see 4.7).</w:t>
            </w:r>
          </w:p>
        </w:tc>
        <w:tc>
          <w:tcPr>
            <w:tcW w:type="dxa" w:w="1757"/>
          </w:tcPr>
          <w:p>
            <w:pPr>
              <w:pStyle w:val="TableText"/>
            </w:pPr>
            <w:r/>
            <w:r>
              <w:t>Written return intention</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Dean</w:t>
            </w:r>
          </w:p>
        </w:tc>
        <w:tc>
          <w:tcPr>
            <w:tcW w:type="dxa" w:w="4082"/>
          </w:tcPr>
          <w:p>
            <w:pPr>
              <w:pStyle w:val="TableText"/>
            </w:pPr>
            <w:r/>
            <w:r>
              <w:t>Endorses the written intent to the University Registrar; the maximum residence classification of the student decides the conditions of return.</w:t>
            </w:r>
          </w:p>
        </w:tc>
        <w:tc>
          <w:tcPr>
            <w:tcW w:type="dxa" w:w="1757"/>
          </w:tcPr>
          <w:p>
            <w:pPr>
              <w:pStyle w:val="TableText"/>
            </w:pPr>
            <w:r/>
            <w:r>
              <w:t>Endorsement; classification</w:t>
            </w:r>
          </w:p>
        </w:tc>
        <w:tc>
          <w:tcPr>
            <w:tcW w:type="dxa" w:w="1587"/>
          </w:tcPr>
          <w:p>
            <w:pPr>
              <w:pStyle w:val="TableText"/>
            </w:pPr>
            <w:r/>
            <w:r>
              <w:t>—</w:t>
            </w:r>
          </w:p>
        </w:tc>
      </w:tr>
    </w:tbl>
    <w:p>
      <w:pPr>
        <w:spacing w:after="80" w:before="0"/>
      </w:pPr>
    </w:p>
    <w:p>
      <w:r>
        <w:rPr>
          <w:b w:val="0"/>
          <w:i/>
          <w:color w:val="595959"/>
          <w:sz w:val="17"/>
        </w:rPr>
        <w:t>† This step rests on a rule marked Practice or Proposed in section 4.8.5, or on the group's process model; it is not described in the Handbook or the Research Protocol and is to be confirmed by the Graduate School.</w:t>
      </w:r>
    </w:p>
    <w:p>
      <w:pPr>
        <w:pStyle w:val="Heading3"/>
      </w:pPr>
      <w:r>
        <w:t>4.8.5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AWL-01</w:t>
            </w:r>
          </w:p>
        </w:tc>
        <w:tc>
          <w:tcPr>
            <w:tcW w:type="dxa" w:w="4535"/>
          </w:tcPr>
          <w:p>
            <w:pPr>
              <w:pStyle w:val="TableText"/>
            </w:pPr>
            <w:r/>
            <w:r>
              <w:t>A student who withdraws from a college without a formal leave of absence is considered in "absent without leave" status (AWOL) and has registration privileges curtailed or entirely withdrawn.</w:t>
            </w:r>
          </w:p>
        </w:tc>
        <w:tc>
          <w:tcPr>
            <w:tcW w:type="dxa" w:w="3005"/>
          </w:tcPr>
          <w:p>
            <w:pPr>
              <w:pStyle w:val="TableText"/>
            </w:pPr>
            <w:r/>
            <w:r>
              <w:t>Handbook 2022-2023, p. 53</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AWL-02</w:t>
            </w:r>
          </w:p>
        </w:tc>
        <w:tc>
          <w:tcPr>
            <w:tcW w:type="dxa" w:w="4535"/>
          </w:tcPr>
          <w:p>
            <w:pPr>
              <w:pStyle w:val="TableText"/>
            </w:pPr>
            <w:r/>
            <w:r>
              <w:t>A student returning from AWOL declares the intention to enroll by writing to the University Registrar through the Graduate School Dean, who endorses it to the Registrar.</w:t>
            </w:r>
          </w:p>
        </w:tc>
        <w:tc>
          <w:tcPr>
            <w:tcW w:type="dxa" w:w="3005"/>
          </w:tcPr>
          <w:p>
            <w:pPr>
              <w:pStyle w:val="TableText"/>
            </w:pPr>
            <w:r/>
            <w:r>
              <w:t>Handbook 2022-2023, p. 53</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AWL-03</w:t>
            </w:r>
          </w:p>
        </w:tc>
        <w:tc>
          <w:tcPr>
            <w:tcW w:type="dxa" w:w="4535"/>
          </w:tcPr>
          <w:p>
            <w:pPr>
              <w:pStyle w:val="TableText"/>
            </w:pPr>
            <w:r/>
            <w:r>
              <w:t>A returnee presents a Business Office clearance, an interview, an evaluation of subject and grade requirements and an Advise Slip from the Dean.</w:t>
            </w:r>
          </w:p>
        </w:tc>
        <w:tc>
          <w:tcPr>
            <w:tcW w:type="dxa" w:w="3005"/>
          </w:tcPr>
          <w:p>
            <w:pPr>
              <w:pStyle w:val="TableText"/>
            </w:pPr>
            <w:r/>
            <w:r>
              <w:t>Handbook 2022-2023, p. 45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AWL-04</w:t>
            </w:r>
          </w:p>
        </w:tc>
        <w:tc>
          <w:tcPr>
            <w:tcW w:type="dxa" w:w="4535"/>
          </w:tcPr>
          <w:p>
            <w:pPr>
              <w:pStyle w:val="TableText"/>
            </w:pPr>
            <w:r/>
            <w:r>
              <w:t>An AWOL status has the same effect as a leave of absence for reporting: it is communicated to the Registrar.</w:t>
            </w:r>
          </w:p>
        </w:tc>
        <w:tc>
          <w:tcPr>
            <w:tcW w:type="dxa" w:w="3005"/>
          </w:tcPr>
          <w:p>
            <w:pPr>
              <w:pStyle w:val="TableText"/>
            </w:pPr>
            <w:r/>
            <w:r>
              <w:t>Consultation 20 July 2026, adviser's statement; not confirmed by Graduate School staff</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AWL-05</w:t>
            </w:r>
          </w:p>
        </w:tc>
        <w:tc>
          <w:tcPr>
            <w:tcW w:type="dxa" w:w="4535"/>
          </w:tcPr>
          <w:p>
            <w:pPr>
              <w:pStyle w:val="TableText"/>
            </w:pPr>
            <w:r/>
            <w:r>
              <w:t>AWOL is flagged from source evidence (an imported AWOL standing, or a semester enrollment marked Withdrawn with no approved leave and no resolved return), not typed in by a user and not inferred from absence alone.</w:t>
            </w:r>
          </w:p>
        </w:tc>
        <w:tc>
          <w:tcPr>
            <w:tcW w:type="dxa" w:w="3005"/>
          </w:tcPr>
          <w:p>
            <w:pPr>
              <w:pStyle w:val="TableText"/>
            </w:pPr>
            <w:r/>
            <w:r>
              <w:t>Group working notes, Platform (current build): AWOL policy review</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AWL-06</w:t>
            </w:r>
          </w:p>
        </w:tc>
        <w:tc>
          <w:tcPr>
            <w:tcW w:type="dxa" w:w="4535"/>
          </w:tcPr>
          <w:p>
            <w:pPr>
              <w:pStyle w:val="TableText"/>
            </w:pPr>
            <w:r/>
            <w:r>
              <w:t>On return, the student is classified by years in the program: within the normal limit (five years master's, seven years doctorate), extension with a graded six-unit refresher (up to seven and nine), or full re-enrollment beyond that.</w:t>
            </w:r>
          </w:p>
        </w:tc>
        <w:tc>
          <w:tcPr>
            <w:tcW w:type="dxa" w:w="3005"/>
          </w:tcPr>
          <w:p>
            <w:pPr>
              <w:pStyle w:val="TableText"/>
            </w:pPr>
            <w:r/>
            <w:r>
              <w:t>Handbook 2022-2023, pp. 54-55</w:t>
            </w:r>
          </w:p>
        </w:tc>
        <w:tc>
          <w:tcPr>
            <w:tcW w:type="dxa" w:w="1191"/>
            <w:shd w:val="clear" w:color="auto" w:fill="DDEBF7"/>
          </w:tcPr>
          <w:p>
            <w:pPr>
              <w:pStyle w:val="TableText"/>
            </w:pPr>
            <w:r>
              <w:rPr>
                <w:b/>
              </w:rPr>
            </w:r>
            <w:r>
              <w:rPr>
                <w:b/>
              </w:rPr>
              <w:t>Proposed</w:t>
            </w:r>
          </w:p>
        </w:tc>
      </w:tr>
    </w:tbl>
    <w:p>
      <w:pPr>
        <w:spacing w:after="80" w:before="0"/>
      </w:pPr>
    </w:p>
    <w:p>
      <w:pPr>
        <w:pStyle w:val="Heading3"/>
      </w:pPr>
      <w:r>
        <w:t>4.8.6 Exceptions and unusual cases</w:t>
      </w:r>
    </w:p>
    <w:p>
      <w:pPr>
        <w:pStyle w:val="ListBullet"/>
        <w:spacing w:after="40"/>
      </w:pPr>
      <w:r>
        <w:t>It is not clear whether the period of AWOL counts toward maximum residence; the Handbook counts LOA (LOA-10) but is silent about AWOL (OQ-14).</w:t>
      </w:r>
    </w:p>
    <w:p>
      <w:pPr>
        <w:pStyle w:val="ListBullet"/>
        <w:spacing w:after="40"/>
      </w:pPr>
      <w:r>
        <w:t>A student with an approved leave is never AWOL; a student whose leave lapsed without return may become AWOL (Proposed; the platform does not do this automatically).</w:t>
      </w:r>
    </w:p>
    <w:p>
      <w:pPr>
        <w:pStyle w:val="Heading3"/>
      </w:pPr>
      <w:r>
        <w:t>4.8.7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AWOL status and its source evidence</w:t>
            </w:r>
          </w:p>
        </w:tc>
        <w:tc>
          <w:tcPr>
            <w:tcW w:type="dxa" w:w="5102"/>
          </w:tcPr>
          <w:p>
            <w:pPr>
              <w:pStyle w:val="TableText"/>
            </w:pPr>
            <w:r/>
            <w:r>
              <w:t>Graduate School record</w:t>
            </w:r>
          </w:p>
        </w:tc>
      </w:tr>
      <w:tr>
        <w:trPr>
          <w:cantSplit w:val="true"/>
        </w:trPr>
        <w:tc>
          <w:tcPr>
            <w:tcW w:type="dxa" w:w="4535"/>
          </w:tcPr>
          <w:p>
            <w:pPr>
              <w:pStyle w:val="TableText"/>
            </w:pPr>
            <w:r/>
            <w:r>
              <w:t>Written return intention and endorsement</w:t>
            </w:r>
          </w:p>
        </w:tc>
        <w:tc>
          <w:tcPr>
            <w:tcW w:type="dxa" w:w="5102"/>
          </w:tcPr>
          <w:p>
            <w:pPr>
              <w:pStyle w:val="TableText"/>
            </w:pPr>
            <w:r/>
            <w:r>
              <w:t>Dean's office; University Registrar</w:t>
            </w:r>
          </w:p>
        </w:tc>
      </w:tr>
    </w:tbl>
    <w:p>
      <w:pPr>
        <w:spacing w:after="80" w:before="0"/>
      </w:pPr>
    </w:p>
    <w:p>
      <w:pPr>
        <w:pStyle w:val="Heading3"/>
      </w:pPr>
      <w:r>
        <w:t>4.8.8 How the platform supports this process</w:t>
      </w:r>
    </w:p>
    <w:p>
      <w:r>
        <w:rPr>
          <w:b w:val="0"/>
          <w:i w:val="0"/>
        </w:rPr>
        <w:t>The platform flags a student as AWOL from evidence only and refuses an attempt by a user to declare AWOL. The evidence is an imported AWOL standing or tag, or a latest semester enrollment marked Withdrawn when the student has no leave of absence and no resolved return case; absence alone is not taken as evidence. When a student is flagged the platform sets the status, raises a monitoring alert, opens a task for the Academic Coordinator and stops the student being enrolled in subjects. To return, the student files a structured declaration (a future return semester, the last semester enrolled, a written intent and a reason); staff forward it and the Dean decides. The outcome depends on the student's years in the program measured against the register: within the normal limit (5 years for a master's, 7 for a doctorate) the return is approved and the student becomes Active; within the extension (up to 7 and 9 years) the return is approved with a graded six-unit refresher required and a task is opened; beyond that the student stays AWOL and a task for a re-enrollment evaluation is opened. After the Dean approves, staff can download a provisional file for the Registrar.</w:t>
      </w:r>
    </w:p>
    <w:p>
      <w:r>
        <w:rPr>
          <w:b/>
          <w:i w:val="0"/>
        </w:rPr>
        <w:t xml:space="preserve">Difference between the platform and the rule. </w:t>
      </w:r>
      <w:r>
        <w:t>The Handbook does not say how the Graduate School learns of an AWOL or who declares it (OQ-14); the platform's rule is the evidence above. A leave that lapsed without a return is not turned into AWOL automatically. The AWOL period counts toward the maximum residence, because the residency clock is never paused. The Business Office clearance, the interview and the Advise Slip (AWL-03) are not recorded. Years are counted in academic years from the student's entry academic year, which is approximate (see 4.9).</w:t>
      </w:r>
    </w:p>
    <w:p>
      <w:pPr>
        <w:pStyle w:val="Heading2"/>
        <w:spacing w:before="360"/>
      </w:pPr>
      <w:r>
        <w:t>4.9 Residency enrollment and maximum residence</w:t>
      </w:r>
    </w:p>
    <w:p>
      <w:pPr>
        <w:pStyle w:val="Heading3"/>
      </w:pPr>
      <w:r>
        <w:t>4.9.1 Purpose</w:t>
      </w:r>
    </w:p>
    <w:p>
      <w:r>
        <w:rPr>
          <w:b w:val="0"/>
          <w:i w:val="0"/>
        </w:rPr>
        <w:t>To state when a student with no subjects must still enroll (residency) and the longest time a student may take to finish a program.</w:t>
      </w:r>
    </w:p>
    <w:p>
      <w:pPr>
        <w:pStyle w:val="Heading3"/>
      </w:pPr>
      <w:r>
        <w:t>4.9.2 Who is involved</w:t>
      </w:r>
    </w:p>
    <w:p>
      <w:r>
        <w:rPr>
          <w:b w:val="0"/>
          <w:i w:val="0"/>
        </w:rPr>
        <w:t>Student; Academic Coordinator; GS staff; Graduate School Dean.</w:t>
      </w:r>
    </w:p>
    <w:p>
      <w:pPr>
        <w:pStyle w:val="Heading3"/>
      </w:pPr>
      <w:r>
        <w:t>4.9.3 Trigger and preconditions</w:t>
      </w:r>
    </w:p>
    <w:p>
      <w:r>
        <w:rPr>
          <w:b/>
          <w:i w:val="0"/>
        </w:rPr>
        <w:t xml:space="preserve">Trigger. </w:t>
      </w:r>
      <w:r>
        <w:t>A student has finished all coursework and is working on the thesis, dissertation or practicum; or is not enrolled in any subject but is completing an INC, taking the comprehensive examination, or waiting for a research publication.</w:t>
      </w:r>
    </w:p>
    <w:p>
      <w:r>
        <w:rPr>
          <w:b/>
          <w:i w:val="0"/>
        </w:rPr>
        <w:t>Preconditions.</w:t>
      </w:r>
    </w:p>
    <w:p>
      <w:pPr>
        <w:pStyle w:val="ListBullet"/>
        <w:spacing w:after="40"/>
      </w:pPr>
      <w:r>
        <w:t>The student has finished all coursework (except for completing an INC or taking the comprehensive examination).</w:t>
      </w:r>
    </w:p>
    <w:p>
      <w:pPr>
        <w:pStyle w:val="Heading3"/>
      </w:pPr>
      <w:r>
        <w:t>4.9.4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Academic Coordinator</w:t>
            </w:r>
          </w:p>
        </w:tc>
        <w:tc>
          <w:tcPr>
            <w:tcW w:type="dxa" w:w="4082"/>
          </w:tcPr>
          <w:p>
            <w:pPr>
              <w:pStyle w:val="TableText"/>
            </w:pPr>
            <w:r/>
            <w:r>
              <w:t>For the comprehensive examination, makes the initial evaluation of the student's courses and advises the student to enroll in Residency in Comprehensive Examination.</w:t>
            </w:r>
          </w:p>
        </w:tc>
        <w:tc>
          <w:tcPr>
            <w:tcW w:type="dxa" w:w="1757"/>
          </w:tcPr>
          <w:p>
            <w:pPr>
              <w:pStyle w:val="TableText"/>
            </w:pPr>
            <w:r/>
            <w:r>
              <w:t>Initial evaluation</w:t>
            </w:r>
          </w:p>
        </w:tc>
        <w:tc>
          <w:tcPr>
            <w:tcW w:type="dxa" w:w="1587"/>
          </w:tcPr>
          <w:p>
            <w:pPr>
              <w:pStyle w:val="TableText"/>
            </w:pPr>
            <w:r/>
            <w:r>
              <w:t>—</w:t>
            </w:r>
          </w:p>
        </w:tc>
      </w:tr>
      <w:tr>
        <w:trPr>
          <w:cantSplit w:val="true"/>
        </w:trPr>
        <w:tc>
          <w:tcPr>
            <w:tcW w:type="dxa" w:w="567"/>
          </w:tcPr>
          <w:p>
            <w:pPr>
              <w:pStyle w:val="TableText"/>
            </w:pPr>
            <w:r/>
            <w:r>
              <w:t>2</w:t>
            </w:r>
          </w:p>
        </w:tc>
        <w:tc>
          <w:tcPr>
            <w:tcW w:type="dxa" w:w="1644"/>
          </w:tcPr>
          <w:p>
            <w:pPr>
              <w:pStyle w:val="TableText"/>
            </w:pPr>
            <w:r/>
            <w:r>
              <w:t>Student</w:t>
            </w:r>
          </w:p>
        </w:tc>
        <w:tc>
          <w:tcPr>
            <w:tcW w:type="dxa" w:w="4082"/>
          </w:tcPr>
          <w:p>
            <w:pPr>
              <w:pStyle w:val="TableText"/>
            </w:pPr>
            <w:r/>
            <w:r>
              <w:t>Registers for residence within the semester, for the purpose that applies (thesis or dissertation writing, practicum or internship, completing an INC, comprehensive examination, waiting for publication).</w:t>
            </w:r>
          </w:p>
        </w:tc>
        <w:tc>
          <w:tcPr>
            <w:tcW w:type="dxa" w:w="1757"/>
          </w:tcPr>
          <w:p>
            <w:pPr>
              <w:pStyle w:val="TableText"/>
            </w:pPr>
            <w:r/>
            <w:r>
              <w:t>Residency enrollment</w:t>
            </w:r>
          </w:p>
        </w:tc>
        <w:tc>
          <w:tcPr>
            <w:tcW w:type="dxa" w:w="1587"/>
          </w:tcPr>
          <w:p>
            <w:pPr>
              <w:pStyle w:val="TableText"/>
            </w:pPr>
            <w:r/>
            <w:r>
              <w:t>Within the semester</w:t>
            </w:r>
          </w:p>
        </w:tc>
      </w:tr>
      <w:tr>
        <w:trPr>
          <w:cantSplit w:val="true"/>
        </w:trPr>
        <w:tc>
          <w:tcPr>
            <w:tcW w:type="dxa" w:w="567"/>
          </w:tcPr>
          <w:p>
            <w:pPr>
              <w:pStyle w:val="TableText"/>
            </w:pPr>
            <w:r/>
            <w:r>
              <w:t>3†</w:t>
            </w:r>
          </w:p>
        </w:tc>
        <w:tc>
          <w:tcPr>
            <w:tcW w:type="dxa" w:w="1644"/>
          </w:tcPr>
          <w:p>
            <w:pPr>
              <w:pStyle w:val="TableText"/>
            </w:pPr>
            <w:r/>
            <w:r>
              <w:t>GS staff</w:t>
            </w:r>
          </w:p>
        </w:tc>
        <w:tc>
          <w:tcPr>
            <w:tcW w:type="dxa" w:w="4082"/>
          </w:tcPr>
          <w:p>
            <w:pPr>
              <w:pStyle w:val="TableText"/>
            </w:pPr>
            <w:r/>
            <w:r>
              <w:t>Records the residency enrollment with its purpose and checks that the student is not simply skipping a semester (a student who does not intend to enroll should file a leave of absence).</w:t>
            </w:r>
          </w:p>
        </w:tc>
        <w:tc>
          <w:tcPr>
            <w:tcW w:type="dxa" w:w="1757"/>
          </w:tcPr>
          <w:p>
            <w:pPr>
              <w:pStyle w:val="TableText"/>
            </w:pPr>
            <w:r/>
            <w:r>
              <w:t>Residency record</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GS staff</w:t>
            </w:r>
          </w:p>
        </w:tc>
        <w:tc>
          <w:tcPr>
            <w:tcW w:type="dxa" w:w="4082"/>
          </w:tcPr>
          <w:p>
            <w:pPr>
              <w:pStyle w:val="TableText"/>
            </w:pPr>
            <w:r/>
            <w:r>
              <w:t>Watches the student's years in the program against the maximum residence.</w:t>
            </w:r>
          </w:p>
        </w:tc>
        <w:tc>
          <w:tcPr>
            <w:tcW w:type="dxa" w:w="1757"/>
          </w:tcPr>
          <w:p>
            <w:pPr>
              <w:pStyle w:val="TableText"/>
            </w:pPr>
            <w:r/>
            <w:r>
              <w:t>Residency watchlist</w:t>
            </w:r>
          </w:p>
        </w:tc>
        <w:tc>
          <w:tcPr>
            <w:tcW w:type="dxa" w:w="1587"/>
          </w:tcPr>
          <w:p>
            <w:pPr>
              <w:pStyle w:val="TableText"/>
            </w:pPr>
            <w:r/>
            <w:r>
              <w:t>—</w:t>
            </w:r>
          </w:p>
        </w:tc>
      </w:tr>
    </w:tbl>
    <w:p>
      <w:pPr>
        <w:spacing w:after="80" w:before="0"/>
      </w:pPr>
    </w:p>
    <w:p>
      <w:r>
        <w:rPr>
          <w:b w:val="0"/>
          <w:i/>
          <w:color w:val="595959"/>
          <w:sz w:val="17"/>
        </w:rPr>
        <w:t>† This step rests on a rule marked Practice or Proposed in section 4.9.5, or on the group's process model; it is not described in the Handbook or the Research Protocol and is to be confirmed by the Graduate School.</w:t>
      </w:r>
    </w:p>
    <w:p>
      <w:pPr>
        <w:pStyle w:val="Heading3"/>
      </w:pPr>
      <w:r>
        <w:t>4.9.5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RES-01</w:t>
            </w:r>
          </w:p>
        </w:tc>
        <w:tc>
          <w:tcPr>
            <w:tcW w:type="dxa" w:w="4535"/>
          </w:tcPr>
          <w:p>
            <w:pPr>
              <w:pStyle w:val="TableText"/>
            </w:pPr>
            <w:r/>
            <w:r>
              <w:t>Students who have finished all their coursework and are just working on their thesis or dissertation and practicum or internship, after a semester of enrollment for thesis writing and practicum, may enroll for residence.</w:t>
            </w:r>
          </w:p>
        </w:tc>
        <w:tc>
          <w:tcPr>
            <w:tcW w:type="dxa" w:w="3005"/>
          </w:tcPr>
          <w:p>
            <w:pPr>
              <w:pStyle w:val="TableText"/>
            </w:pPr>
            <w:r/>
            <w:r>
              <w:t>Handbook 2022-2023, p. 48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RES-02</w:t>
            </w:r>
          </w:p>
        </w:tc>
        <w:tc>
          <w:tcPr>
            <w:tcW w:type="dxa" w:w="4535"/>
          </w:tcPr>
          <w:p>
            <w:pPr>
              <w:pStyle w:val="TableText"/>
            </w:pPr>
            <w:r/>
            <w:r>
              <w:t>Students who are not enrolled in any subject but who want to complete an INC, will take the comprehensive exam, or are waiting for their research publication must also enroll for residence. Registration for residence should be done within the semester.</w:t>
            </w:r>
          </w:p>
        </w:tc>
        <w:tc>
          <w:tcPr>
            <w:tcW w:type="dxa" w:w="3005"/>
          </w:tcPr>
          <w:p>
            <w:pPr>
              <w:pStyle w:val="TableText"/>
            </w:pPr>
            <w:r/>
            <w:r>
              <w:t>Handbook 2022-2023, p. 48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RES-03</w:t>
            </w:r>
          </w:p>
        </w:tc>
        <w:tc>
          <w:tcPr>
            <w:tcW w:type="dxa" w:w="4535"/>
          </w:tcPr>
          <w:p>
            <w:pPr>
              <w:pStyle w:val="TableText"/>
            </w:pPr>
            <w:r/>
            <w:r>
              <w:t>A student who does not intend to enroll for a valid reason but still has remaining units is not allowed to enroll in Residency, but files a leave of absence.</w:t>
            </w:r>
          </w:p>
        </w:tc>
        <w:tc>
          <w:tcPr>
            <w:tcW w:type="dxa" w:w="3005"/>
          </w:tcPr>
          <w:p>
            <w:pPr>
              <w:pStyle w:val="TableText"/>
            </w:pPr>
            <w:r/>
            <w:r>
              <w:t>Handbook 2022-2023, p. 48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RES-04</w:t>
            </w:r>
          </w:p>
        </w:tc>
        <w:tc>
          <w:tcPr>
            <w:tcW w:type="dxa" w:w="4535"/>
          </w:tcPr>
          <w:p>
            <w:pPr>
              <w:pStyle w:val="TableText"/>
            </w:pPr>
            <w:r/>
            <w:r>
              <w:t>For the comprehensive examination the Academic Coordinator does the initial evaluation and the student is advised to enroll in Residency in Comprehensive Examination.</w:t>
            </w:r>
          </w:p>
        </w:tc>
        <w:tc>
          <w:tcPr>
            <w:tcW w:type="dxa" w:w="3005"/>
          </w:tcPr>
          <w:p>
            <w:pPr>
              <w:pStyle w:val="TableText"/>
            </w:pPr>
            <w:r/>
            <w:r>
              <w:t>Handbook 2022-2023, p. 56</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RES-05</w:t>
            </w:r>
          </w:p>
        </w:tc>
        <w:tc>
          <w:tcPr>
            <w:tcW w:type="dxa" w:w="4535"/>
          </w:tcPr>
          <w:p>
            <w:pPr>
              <w:pStyle w:val="TableText"/>
            </w:pPr>
            <w:r/>
            <w:r>
              <w:t>Master's program: candidacy must be attained within three academic years from the date of admission and all requirements completed within five academic years.</w:t>
            </w:r>
          </w:p>
        </w:tc>
        <w:tc>
          <w:tcPr>
            <w:tcW w:type="dxa" w:w="3005"/>
          </w:tcPr>
          <w:p>
            <w:pPr>
              <w:pStyle w:val="TableText"/>
            </w:pPr>
            <w:r/>
            <w:r>
              <w:t>Handbook 2022-2023, p. 54</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RES-06</w:t>
            </w:r>
          </w:p>
        </w:tc>
        <w:tc>
          <w:tcPr>
            <w:tcW w:type="dxa" w:w="4535"/>
          </w:tcPr>
          <w:p>
            <w:pPr>
              <w:pStyle w:val="TableText"/>
            </w:pPr>
            <w:r/>
            <w:r>
              <w:t>Master's program: a student who cannot comply within five years is allowed a maximum two-year extension but must enroll in a graded six-unit refresher course related to the area of specialization.</w:t>
            </w:r>
          </w:p>
        </w:tc>
        <w:tc>
          <w:tcPr>
            <w:tcW w:type="dxa" w:w="3005"/>
          </w:tcPr>
          <w:p>
            <w:pPr>
              <w:pStyle w:val="TableText"/>
            </w:pPr>
            <w:r/>
            <w:r>
              <w:t>Handbook 2022-2023, p. 54</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RES-07</w:t>
            </w:r>
          </w:p>
        </w:tc>
        <w:tc>
          <w:tcPr>
            <w:tcW w:type="dxa" w:w="4535"/>
          </w:tcPr>
          <w:p>
            <w:pPr>
              <w:pStyle w:val="TableText"/>
            </w:pPr>
            <w:r/>
            <w:r>
              <w:t>A master's program must be finished within a maximum of seven academic years including leave of absence; a student who cannot finish within seven years must re-enroll all the courses taken and earn new credits.</w:t>
            </w:r>
          </w:p>
        </w:tc>
        <w:tc>
          <w:tcPr>
            <w:tcW w:type="dxa" w:w="3005"/>
          </w:tcPr>
          <w:p>
            <w:pPr>
              <w:pStyle w:val="TableText"/>
            </w:pPr>
            <w:r/>
            <w:r>
              <w:t>Handbook 2022-2023, p. 55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RES-08</w:t>
            </w:r>
          </w:p>
        </w:tc>
        <w:tc>
          <w:tcPr>
            <w:tcW w:type="dxa" w:w="4535"/>
          </w:tcPr>
          <w:p>
            <w:pPr>
              <w:pStyle w:val="TableText"/>
            </w:pPr>
            <w:r/>
            <w:r>
              <w:t>Doctorate program: candidacy within five academic years from admission; all requirements including the dissertation within seven academic years.</w:t>
            </w:r>
          </w:p>
        </w:tc>
        <w:tc>
          <w:tcPr>
            <w:tcW w:type="dxa" w:w="3005"/>
          </w:tcPr>
          <w:p>
            <w:pPr>
              <w:pStyle w:val="TableText"/>
            </w:pPr>
            <w:r/>
            <w:r>
              <w:t>Handbook 2022-2023, p. 55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RES-09</w:t>
            </w:r>
          </w:p>
        </w:tc>
        <w:tc>
          <w:tcPr>
            <w:tcW w:type="dxa" w:w="4535"/>
          </w:tcPr>
          <w:p>
            <w:pPr>
              <w:pStyle w:val="TableText"/>
            </w:pPr>
            <w:r/>
            <w:r>
              <w:t>Doctorate program: beyond seven years a maximum two-year extension with a graded six-unit refresher course; the program must be finished within nine academic years including leave of absence, after which the student must re-enroll all courses taken and earn credit units.</w:t>
            </w:r>
          </w:p>
        </w:tc>
        <w:tc>
          <w:tcPr>
            <w:tcW w:type="dxa" w:w="3005"/>
          </w:tcPr>
          <w:p>
            <w:pPr>
              <w:pStyle w:val="TableText"/>
            </w:pPr>
            <w:r/>
            <w:r>
              <w:t>Handbook 2022-2023, p. 55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RES-10</w:t>
            </w:r>
          </w:p>
        </w:tc>
        <w:tc>
          <w:tcPr>
            <w:tcW w:type="dxa" w:w="4535"/>
          </w:tcPr>
          <w:p>
            <w:pPr>
              <w:pStyle w:val="TableText"/>
            </w:pPr>
            <w:r/>
            <w:r>
              <w:t>Thesis or project paper writing must be finished within two years from the title or proposal defense; dissertation writing within three years from the title defense.</w:t>
            </w:r>
          </w:p>
        </w:tc>
        <w:tc>
          <w:tcPr>
            <w:tcW w:type="dxa" w:w="3005"/>
          </w:tcPr>
          <w:p>
            <w:pPr>
              <w:pStyle w:val="TableText"/>
            </w:pPr>
            <w:r/>
            <w:r>
              <w:t>Handbook 2022-2023, p. 58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RES-11</w:t>
            </w:r>
          </w:p>
        </w:tc>
        <w:tc>
          <w:tcPr>
            <w:tcW w:type="dxa" w:w="4535"/>
          </w:tcPr>
          <w:p>
            <w:pPr>
              <w:pStyle w:val="TableText"/>
            </w:pPr>
            <w:r/>
            <w:r>
              <w:t>The platform records each residency enrollment with its purpose (thesis or dissertation work, practicum or internship, comprehensive examination, awaiting publication) and marks a purpose as unsupported if the student's record does not match it; staff may still record it with notes that explain the exception.</w:t>
            </w:r>
          </w:p>
        </w:tc>
        <w:tc>
          <w:tcPr>
            <w:tcW w:type="dxa" w:w="3005"/>
          </w:tcPr>
          <w:p>
            <w:pPr>
              <w:pStyle w:val="TableText"/>
            </w:pPr>
            <w:r/>
            <w:r>
              <w:t>Group working notes, Platform (current build): residency policy review</w:t>
            </w:r>
          </w:p>
        </w:tc>
        <w:tc>
          <w:tcPr>
            <w:tcW w:type="dxa" w:w="1191"/>
            <w:shd w:val="clear" w:color="auto" w:fill="DDEBF7"/>
          </w:tcPr>
          <w:p>
            <w:pPr>
              <w:pStyle w:val="TableText"/>
            </w:pPr>
            <w:r>
              <w:rPr>
                <w:b/>
              </w:rPr>
            </w:r>
            <w:r>
              <w:rPr>
                <w:b/>
              </w:rPr>
              <w:t>Proposed</w:t>
            </w:r>
          </w:p>
        </w:tc>
      </w:tr>
    </w:tbl>
    <w:p>
      <w:pPr>
        <w:spacing w:after="80" w:before="0"/>
      </w:pPr>
    </w:p>
    <w:p>
      <w:pPr>
        <w:pStyle w:val="Heading3"/>
      </w:pPr>
      <w:r>
        <w:t>4.9.6 Exceptions and unusual cases</w:t>
      </w:r>
    </w:p>
    <w:p>
      <w:pPr>
        <w:pStyle w:val="ListBullet"/>
        <w:spacing w:after="40"/>
      </w:pPr>
      <w:r>
        <w:t>A student past five (master's) or seven (doctorate) years: extension with a graded six-unit refresher course is possible up to seven or nine years (RES-06, RES-09).</w:t>
      </w:r>
    </w:p>
    <w:p>
      <w:pPr>
        <w:pStyle w:val="ListBullet"/>
        <w:spacing w:after="40"/>
      </w:pPr>
      <w:r>
        <w:t>A student past seven (master's) or nine (doctorate) years: all courses must be re-enrolled (RES-07, RES-09).</w:t>
      </w:r>
    </w:p>
    <w:p>
      <w:pPr>
        <w:pStyle w:val="ListBullet"/>
        <w:spacing w:after="40"/>
      </w:pPr>
      <w:r>
        <w:t>A student with units remaining who will not enroll: a leave of absence, not residency (RES-03).</w:t>
      </w:r>
    </w:p>
    <w:p>
      <w:pPr>
        <w:pStyle w:val="ListBullet"/>
        <w:spacing w:after="40"/>
      </w:pPr>
      <w:r>
        <w:t>The Handbook does not state a fee for residency enrollment or a limit on the number of residency semesters (OQ-15).</w:t>
      </w:r>
    </w:p>
    <w:p>
      <w:pPr>
        <w:pStyle w:val="Heading3"/>
      </w:pPr>
      <w:r>
        <w:t>4.9.7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Residency enrollment and its purpose</w:t>
            </w:r>
          </w:p>
        </w:tc>
        <w:tc>
          <w:tcPr>
            <w:tcW w:type="dxa" w:w="5102"/>
          </w:tcPr>
          <w:p>
            <w:pPr>
              <w:pStyle w:val="TableText"/>
            </w:pPr>
            <w:r/>
            <w:r>
              <w:t>Graduate School record; AIMS</w:t>
            </w:r>
          </w:p>
        </w:tc>
      </w:tr>
      <w:tr>
        <w:trPr>
          <w:cantSplit w:val="true"/>
        </w:trPr>
        <w:tc>
          <w:tcPr>
            <w:tcW w:type="dxa" w:w="4535"/>
          </w:tcPr>
          <w:p>
            <w:pPr>
              <w:pStyle w:val="TableText"/>
            </w:pPr>
            <w:r/>
            <w:r>
              <w:t>Years in program and residence classification</w:t>
            </w:r>
          </w:p>
        </w:tc>
        <w:tc>
          <w:tcPr>
            <w:tcW w:type="dxa" w:w="5102"/>
          </w:tcPr>
          <w:p>
            <w:pPr>
              <w:pStyle w:val="TableText"/>
            </w:pPr>
            <w:r/>
            <w:r>
              <w:t>Graduate School record (residency watchlist)</w:t>
            </w:r>
          </w:p>
        </w:tc>
      </w:tr>
    </w:tbl>
    <w:p>
      <w:pPr>
        <w:spacing w:after="80" w:before="0"/>
      </w:pPr>
    </w:p>
    <w:p>
      <w:pPr>
        <w:pStyle w:val="Heading3"/>
      </w:pPr>
      <w:r>
        <w:t>4.9.8 How the platform supports this process</w:t>
      </w:r>
    </w:p>
    <w:p>
      <w:r>
        <w:rPr>
          <w:b w:val="0"/>
          <w:i w:val="0"/>
        </w:rPr>
        <w:t>GS staff or an Academic Coordinator record a residency enrollment with its purpose (thesis or dissertation work, practicum or internship, comprehensive examination, awaiting publication); it is not started by the student. The platform reviews the record. The student must have no subject currently enrolled; the purpose must fit the student's record (the comprehensive examination needs the Comprehensive Exam stage, publication needs the writing, final defense or completed stage, thesis or practicum work needs no missing subjects); and the record must not be a substitute for a leave. A record that fails the review can be saved only with staff notes that explain the exception. A student who is AWOL, on leave, withdrawn or completed is blocked. A student can have one active residency enrollment per semester, and the number of residency semesters is not limited. The platform counts years in the program in academic years (the entry academic year is year 1 and the count steps up each June) and never reduces the count for a leave. It classifies each student against the register (master's: 5 normal and 7 absolute years; doctorate: 7 and 9; an extension of 2 years with a graded 6-unit refresher) and lists students on a watchlist as Within, Approaching or Exceeded.</w:t>
      </w:r>
    </w:p>
    <w:p>
      <w:r>
        <w:rPr>
          <w:b/>
          <w:i w:val="0"/>
        </w:rPr>
        <w:t xml:space="preserve">Difference between the platform and the rule. </w:t>
      </w:r>
      <w:r>
        <w:t>The platform no longer pauses the residency clock during a leave of absence: it follows the Handbook, where maximum residence includes leave (RES-07, RES-09; register value residency.includes_loa). The year count starts from the entry academic year and not from the date of admission, so it can differ from the Handbook's count by up to a year (OQ-16). With the Handbook's two-year extension, the year after the normal period is already within one year of the absolute limit, so the watchlist shows Approaching and a separate state for a student past the normal period does not appear. The purpose of completing an INC (RES-02) is not among the platform's purposes. The platform creates a task for the refresher course when the Dean approves an extension but does not track the course or approve the extension (RES-06), and it does not track candidacy dates (RES-05, RES-08) or the research writing limits (RES-10); the register shows these as documented only. The fee and the number of residency semesters are open (OQ-15).</w:t>
      </w:r>
    </w:p>
    <w:p>
      <w:pPr>
        <w:pStyle w:val="Heading2"/>
        <w:spacing w:before="360"/>
      </w:pPr>
      <w:r>
        <w:t>4.10 Comprehensive examination</w:t>
      </w:r>
    </w:p>
    <w:p>
      <w:pPr>
        <w:pStyle w:val="Heading3"/>
      </w:pPr>
      <w:r>
        <w:t>4.10.1 Purpose</w:t>
      </w:r>
    </w:p>
    <w:p>
      <w:r>
        <w:rPr>
          <w:b w:val="0"/>
          <w:i w:val="0"/>
        </w:rPr>
        <w:t>To state who may take the comprehensive examination, how to apply, how it is scored, and what happens after a failure.</w:t>
      </w:r>
    </w:p>
    <w:p>
      <w:pPr>
        <w:pStyle w:val="Heading3"/>
      </w:pPr>
      <w:r>
        <w:t>4.10.2 Who is involved</w:t>
      </w:r>
    </w:p>
    <w:p>
      <w:r>
        <w:rPr>
          <w:b w:val="0"/>
          <w:i w:val="0"/>
        </w:rPr>
        <w:t>Student; Academic Coordinator (master's) or College Dean (doctorate); Graduate Program Secretary; Business Office (external); Graduate School Dean.</w:t>
      </w:r>
    </w:p>
    <w:p>
      <w:pPr>
        <w:pStyle w:val="Heading3"/>
      </w:pPr>
      <w:r>
        <w:t>4.10.3 Trigger and preconditions</w:t>
      </w:r>
    </w:p>
    <w:p>
      <w:r>
        <w:rPr>
          <w:b/>
          <w:i w:val="0"/>
        </w:rPr>
        <w:t xml:space="preserve">Trigger. </w:t>
      </w:r>
      <w:r>
        <w:t>A student has passed all academic requirements and has been evaluated by the Academic Coordinator (master's) or the Dean (doctorate).</w:t>
      </w:r>
    </w:p>
    <w:p>
      <w:r>
        <w:rPr>
          <w:b/>
          <w:i w:val="0"/>
        </w:rPr>
        <w:t>Preconditions.</w:t>
      </w:r>
    </w:p>
    <w:p>
      <w:pPr>
        <w:pStyle w:val="ListBullet"/>
        <w:spacing w:after="40"/>
      </w:pPr>
      <w:r>
        <w:t>Master's: all academic requirements passed and evaluation by the Graduate School Academic Coordinator.</w:t>
      </w:r>
    </w:p>
    <w:p>
      <w:pPr>
        <w:pStyle w:val="ListBullet"/>
        <w:spacing w:after="40"/>
      </w:pPr>
      <w:r>
        <w:t>Non-thesis track: the integrating courses (feasibility study, project study, case study, applied research, or action research or practicum) are completed.</w:t>
      </w:r>
    </w:p>
    <w:p>
      <w:pPr>
        <w:pStyle w:val="ListBullet"/>
        <w:spacing w:after="40"/>
      </w:pPr>
      <w:r>
        <w:t>Doctorate: evaluation by the College Dean.</w:t>
      </w:r>
    </w:p>
    <w:p>
      <w:pPr>
        <w:pStyle w:val="Heading3"/>
      </w:pPr>
      <w:r>
        <w:t>4.10.4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Academic Coordinator</w:t>
            </w:r>
          </w:p>
        </w:tc>
        <w:tc>
          <w:tcPr>
            <w:tcW w:type="dxa" w:w="4082"/>
          </w:tcPr>
          <w:p>
            <w:pPr>
              <w:pStyle w:val="TableText"/>
            </w:pPr>
            <w:r/>
            <w:r>
              <w:t>Makes an initial evaluation of the student's academic courses and advises the student to enroll in Residency in Comprehensive Examination.</w:t>
            </w:r>
          </w:p>
        </w:tc>
        <w:tc>
          <w:tcPr>
            <w:tcW w:type="dxa" w:w="1757"/>
          </w:tcPr>
          <w:p>
            <w:pPr>
              <w:pStyle w:val="TableText"/>
            </w:pPr>
            <w:r/>
            <w:r>
              <w:t>Initial evaluation</w:t>
            </w:r>
          </w:p>
        </w:tc>
        <w:tc>
          <w:tcPr>
            <w:tcW w:type="dxa" w:w="1587"/>
          </w:tcPr>
          <w:p>
            <w:pPr>
              <w:pStyle w:val="TableText"/>
            </w:pPr>
            <w:r/>
            <w:r>
              <w:t>—</w:t>
            </w:r>
          </w:p>
        </w:tc>
      </w:tr>
      <w:tr>
        <w:trPr>
          <w:cantSplit w:val="true"/>
        </w:trPr>
        <w:tc>
          <w:tcPr>
            <w:tcW w:type="dxa" w:w="567"/>
          </w:tcPr>
          <w:p>
            <w:pPr>
              <w:pStyle w:val="TableText"/>
            </w:pPr>
            <w:r/>
            <w:r>
              <w:t>2</w:t>
            </w:r>
          </w:p>
        </w:tc>
        <w:tc>
          <w:tcPr>
            <w:tcW w:type="dxa" w:w="1644"/>
          </w:tcPr>
          <w:p>
            <w:pPr>
              <w:pStyle w:val="TableText"/>
            </w:pPr>
            <w:r/>
            <w:r>
              <w:t>Student</w:t>
            </w:r>
          </w:p>
        </w:tc>
        <w:tc>
          <w:tcPr>
            <w:tcW w:type="dxa" w:w="4082"/>
          </w:tcPr>
          <w:p>
            <w:pPr>
              <w:pStyle w:val="TableText"/>
            </w:pPr>
            <w:r/>
            <w:r>
              <w:t>Files the application with the Graduate Program Secretary.</w:t>
            </w:r>
          </w:p>
        </w:tc>
        <w:tc>
          <w:tcPr>
            <w:tcW w:type="dxa" w:w="1757"/>
          </w:tcPr>
          <w:p>
            <w:pPr>
              <w:pStyle w:val="TableText"/>
            </w:pPr>
            <w:r/>
            <w:r>
              <w:t>Application for the comprehensive examination</w:t>
            </w:r>
          </w:p>
        </w:tc>
        <w:tc>
          <w:tcPr>
            <w:tcW w:type="dxa" w:w="1587"/>
          </w:tcPr>
          <w:p>
            <w:pPr>
              <w:pStyle w:val="TableText"/>
            </w:pPr>
            <w:r/>
            <w:r>
              <w:t>At least two weeks before the scheduled examination</w:t>
            </w:r>
          </w:p>
        </w:tc>
      </w:tr>
      <w:tr>
        <w:trPr>
          <w:cantSplit w:val="true"/>
        </w:trPr>
        <w:tc>
          <w:tcPr>
            <w:tcW w:type="dxa" w:w="567"/>
          </w:tcPr>
          <w:p>
            <w:pPr>
              <w:pStyle w:val="TableText"/>
            </w:pPr>
            <w:r/>
            <w:r>
              <w:t>3</w:t>
            </w:r>
          </w:p>
        </w:tc>
        <w:tc>
          <w:tcPr>
            <w:tcW w:type="dxa" w:w="1644"/>
          </w:tcPr>
          <w:p>
            <w:pPr>
              <w:pStyle w:val="TableText"/>
            </w:pPr>
            <w:r/>
            <w:r>
              <w:t>Student</w:t>
            </w:r>
          </w:p>
        </w:tc>
        <w:tc>
          <w:tcPr>
            <w:tcW w:type="dxa" w:w="4082"/>
          </w:tcPr>
          <w:p>
            <w:pPr>
              <w:pStyle w:val="TableText"/>
            </w:pPr>
            <w:r/>
            <w:r>
              <w:t>Pays the examination fee at the Business Office and presents the official receipt to the secretary before taking the exam.</w:t>
            </w:r>
          </w:p>
        </w:tc>
        <w:tc>
          <w:tcPr>
            <w:tcW w:type="dxa" w:w="1757"/>
          </w:tcPr>
          <w:p>
            <w:pPr>
              <w:pStyle w:val="TableText"/>
            </w:pPr>
            <w:r/>
            <w:r>
              <w:t>Official receipt</w:t>
            </w:r>
          </w:p>
        </w:tc>
        <w:tc>
          <w:tcPr>
            <w:tcW w:type="dxa" w:w="1587"/>
          </w:tcPr>
          <w:p>
            <w:pPr>
              <w:pStyle w:val="TableText"/>
            </w:pPr>
            <w:r/>
            <w:r>
              <w:t>Before the exam</w:t>
            </w:r>
          </w:p>
        </w:tc>
      </w:tr>
      <w:tr>
        <w:trPr>
          <w:cantSplit w:val="true"/>
        </w:trPr>
        <w:tc>
          <w:tcPr>
            <w:tcW w:type="dxa" w:w="567"/>
          </w:tcPr>
          <w:p>
            <w:pPr>
              <w:pStyle w:val="TableText"/>
            </w:pPr>
            <w:r/>
            <w:r>
              <w:t>4</w:t>
            </w:r>
          </w:p>
        </w:tc>
        <w:tc>
          <w:tcPr>
            <w:tcW w:type="dxa" w:w="1644"/>
          </w:tcPr>
          <w:p>
            <w:pPr>
              <w:pStyle w:val="TableText"/>
            </w:pPr>
            <w:r/>
            <w:r>
              <w:t>Student (if withdrawing)</w:t>
            </w:r>
          </w:p>
        </w:tc>
        <w:tc>
          <w:tcPr>
            <w:tcW w:type="dxa" w:w="4082"/>
          </w:tcPr>
          <w:p>
            <w:pPr>
              <w:pStyle w:val="TableText"/>
            </w:pPr>
            <w:r/>
            <w:r>
              <w:t>Informs the Graduate Program in writing, with the reason.</w:t>
            </w:r>
          </w:p>
        </w:tc>
        <w:tc>
          <w:tcPr>
            <w:tcW w:type="dxa" w:w="1757"/>
          </w:tcPr>
          <w:p>
            <w:pPr>
              <w:pStyle w:val="TableText"/>
            </w:pPr>
            <w:r/>
            <w:r>
              <w:t>Written withdrawal of application</w:t>
            </w:r>
          </w:p>
        </w:tc>
        <w:tc>
          <w:tcPr>
            <w:tcW w:type="dxa" w:w="1587"/>
          </w:tcPr>
          <w:p>
            <w:pPr>
              <w:pStyle w:val="TableText"/>
            </w:pPr>
            <w:r/>
            <w:r>
              <w:t>At least three working days before the examination</w:t>
            </w:r>
          </w:p>
        </w:tc>
      </w:tr>
      <w:tr>
        <w:trPr>
          <w:cantSplit w:val="true"/>
        </w:trPr>
        <w:tc>
          <w:tcPr>
            <w:tcW w:type="dxa" w:w="567"/>
          </w:tcPr>
          <w:p>
            <w:pPr>
              <w:pStyle w:val="TableText"/>
            </w:pPr>
            <w:r/>
            <w:r>
              <w:t>5</w:t>
            </w:r>
          </w:p>
        </w:tc>
        <w:tc>
          <w:tcPr>
            <w:tcW w:type="dxa" w:w="1644"/>
          </w:tcPr>
          <w:p>
            <w:pPr>
              <w:pStyle w:val="TableText"/>
            </w:pPr>
            <w:r/>
            <w:r>
              <w:t>Student</w:t>
            </w:r>
          </w:p>
        </w:tc>
        <w:tc>
          <w:tcPr>
            <w:tcW w:type="dxa" w:w="4082"/>
          </w:tcPr>
          <w:p>
            <w:pPr>
              <w:pStyle w:val="TableText"/>
            </w:pPr>
            <w:r/>
            <w:r>
              <w:t>Takes the examination: two days for a master's, three for a doctorate, not more than eight hours per day.</w:t>
            </w:r>
          </w:p>
        </w:tc>
        <w:tc>
          <w:tcPr>
            <w:tcW w:type="dxa" w:w="1757"/>
          </w:tcPr>
          <w:p>
            <w:pPr>
              <w:pStyle w:val="TableText"/>
            </w:pPr>
            <w:r/>
            <w:r>
              <w:t>Examination</w:t>
            </w:r>
          </w:p>
        </w:tc>
        <w:tc>
          <w:tcPr>
            <w:tcW w:type="dxa" w:w="1587"/>
          </w:tcPr>
          <w:p>
            <w:pPr>
              <w:pStyle w:val="TableText"/>
            </w:pPr>
            <w:r/>
            <w:r>
              <w:t>As scheduled</w:t>
            </w:r>
          </w:p>
        </w:tc>
      </w:tr>
      <w:tr>
        <w:trPr>
          <w:cantSplit w:val="true"/>
        </w:trPr>
        <w:tc>
          <w:tcPr>
            <w:tcW w:type="dxa" w:w="567"/>
          </w:tcPr>
          <w:p>
            <w:pPr>
              <w:pStyle w:val="TableText"/>
            </w:pPr>
            <w:r/>
            <w:r>
              <w:t>6</w:t>
            </w:r>
          </w:p>
        </w:tc>
        <w:tc>
          <w:tcPr>
            <w:tcW w:type="dxa" w:w="1644"/>
          </w:tcPr>
          <w:p>
            <w:pPr>
              <w:pStyle w:val="TableText"/>
            </w:pPr>
            <w:r/>
            <w:r>
              <w:t>Graduate School</w:t>
            </w:r>
          </w:p>
        </w:tc>
        <w:tc>
          <w:tcPr>
            <w:tcW w:type="dxa" w:w="4082"/>
          </w:tcPr>
          <w:p>
            <w:pPr>
              <w:pStyle w:val="TableText"/>
            </w:pPr>
            <w:r/>
            <w:r>
              <w:t>Scores the examination; a retake applies to failed courses.</w:t>
            </w:r>
          </w:p>
        </w:tc>
        <w:tc>
          <w:tcPr>
            <w:tcW w:type="dxa" w:w="1757"/>
          </w:tcPr>
          <w:p>
            <w:pPr>
              <w:pStyle w:val="TableText"/>
            </w:pPr>
            <w:r/>
            <w:r>
              <w:t>Score per course</w:t>
            </w:r>
          </w:p>
        </w:tc>
        <w:tc>
          <w:tcPr>
            <w:tcW w:type="dxa" w:w="1587"/>
          </w:tcPr>
          <w:p>
            <w:pPr>
              <w:pStyle w:val="TableText"/>
            </w:pPr>
            <w:r/>
            <w:r>
              <w:t>—</w:t>
            </w:r>
          </w:p>
        </w:tc>
      </w:tr>
      <w:tr>
        <w:trPr>
          <w:cantSplit w:val="true"/>
        </w:trPr>
        <w:tc>
          <w:tcPr>
            <w:tcW w:type="dxa" w:w="567"/>
          </w:tcPr>
          <w:p>
            <w:pPr>
              <w:pStyle w:val="TableText"/>
            </w:pPr>
            <w:r/>
            <w:r>
              <w:t>7</w:t>
            </w:r>
          </w:p>
        </w:tc>
        <w:tc>
          <w:tcPr>
            <w:tcW w:type="dxa" w:w="1644"/>
          </w:tcPr>
          <w:p>
            <w:pPr>
              <w:pStyle w:val="TableText"/>
            </w:pPr>
            <w:r/>
            <w:r>
              <w:t>Student / Dean</w:t>
            </w:r>
          </w:p>
        </w:tc>
        <w:tc>
          <w:tcPr>
            <w:tcW w:type="dxa" w:w="4082"/>
          </w:tcPr>
          <w:p>
            <w:pPr>
              <w:pStyle w:val="TableText"/>
            </w:pPr>
            <w:r/>
            <w:r>
              <w:t>After passing, confers with the Dean for a thesis or dissertation adviser; the student is considered advanced to candidacy.</w:t>
            </w:r>
          </w:p>
        </w:tc>
        <w:tc>
          <w:tcPr>
            <w:tcW w:type="dxa" w:w="1757"/>
          </w:tcPr>
          <w:p>
            <w:pPr>
              <w:pStyle w:val="TableText"/>
            </w:pPr>
            <w:r/>
            <w:r>
              <w:t>Advancement to candidacy</w:t>
            </w:r>
          </w:p>
        </w:tc>
        <w:tc>
          <w:tcPr>
            <w:tcW w:type="dxa" w:w="1587"/>
          </w:tcPr>
          <w:p>
            <w:pPr>
              <w:pStyle w:val="TableText"/>
            </w:pPr>
            <w:r/>
            <w:r>
              <w:t>—</w:t>
            </w:r>
          </w:p>
        </w:tc>
      </w:tr>
    </w:tbl>
    <w:p>
      <w:pPr>
        <w:spacing w:after="80" w:before="0"/>
      </w:pPr>
    </w:p>
    <w:p>
      <w:pPr>
        <w:pStyle w:val="Heading3"/>
      </w:pPr>
      <w:r>
        <w:t>4.10.5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CEX-01</w:t>
            </w:r>
          </w:p>
        </w:tc>
        <w:tc>
          <w:tcPr>
            <w:tcW w:type="dxa" w:w="4535"/>
          </w:tcPr>
          <w:p>
            <w:pPr>
              <w:pStyle w:val="TableText"/>
            </w:pPr>
            <w:r/>
            <w:r>
              <w:t>The comprehensive examinations cover all basic or core courses, fields of concentration, and electives or cognates. They are given for two days for a master's and three days for a doctorate, with two-day intervals between examinations or consecutively as arranged, and last a maximum of eight hours per day.</w:t>
            </w:r>
          </w:p>
        </w:tc>
        <w:tc>
          <w:tcPr>
            <w:tcW w:type="dxa" w:w="3005"/>
          </w:tcPr>
          <w:p>
            <w:pPr>
              <w:pStyle w:val="TableText"/>
            </w:pPr>
            <w:r/>
            <w:r>
              <w:t>Handbook 2022-2023, p. 56</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CEX-02</w:t>
            </w:r>
          </w:p>
        </w:tc>
        <w:tc>
          <w:tcPr>
            <w:tcW w:type="dxa" w:w="4535"/>
          </w:tcPr>
          <w:p>
            <w:pPr>
              <w:pStyle w:val="TableText"/>
            </w:pPr>
            <w:r/>
            <w:r>
              <w:t>Master's scope: first day basic courses and electives or cognates; second day major courses. Doctorate scope: first day basic courses and electives or cognates; second and third days major courses.</w:t>
            </w:r>
          </w:p>
        </w:tc>
        <w:tc>
          <w:tcPr>
            <w:tcW w:type="dxa" w:w="3005"/>
          </w:tcPr>
          <w:p>
            <w:pPr>
              <w:pStyle w:val="TableText"/>
            </w:pPr>
            <w:r/>
            <w:r>
              <w:t>Handbook 2022-2023, p. 56</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CEX-03</w:t>
            </w:r>
          </w:p>
        </w:tc>
        <w:tc>
          <w:tcPr>
            <w:tcW w:type="dxa" w:w="4535"/>
          </w:tcPr>
          <w:p>
            <w:pPr>
              <w:pStyle w:val="TableText"/>
            </w:pPr>
            <w:r/>
            <w:r>
              <w:t>Master's students who have passed all academic requirements and been evaluated by their Graduate School Academic Coordinators may file an application; doctorate students evaluated by their College Deans may likewise file.</w:t>
            </w:r>
          </w:p>
        </w:tc>
        <w:tc>
          <w:tcPr>
            <w:tcW w:type="dxa" w:w="3005"/>
          </w:tcPr>
          <w:p>
            <w:pPr>
              <w:pStyle w:val="TableText"/>
            </w:pPr>
            <w:r/>
            <w:r>
              <w:t>Handbook 2022-2023, p. 56</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CEX-04</w:t>
            </w:r>
          </w:p>
        </w:tc>
        <w:tc>
          <w:tcPr>
            <w:tcW w:type="dxa" w:w="4535"/>
          </w:tcPr>
          <w:p>
            <w:pPr>
              <w:pStyle w:val="TableText"/>
            </w:pPr>
            <w:r/>
            <w:r>
              <w:t>Non-thesis students must have completed the integrating courses (feasibility study, project study, case study or applied research in the major field for MBA; action research or practicum in the major field for Education).</w:t>
            </w:r>
          </w:p>
        </w:tc>
        <w:tc>
          <w:tcPr>
            <w:tcW w:type="dxa" w:w="3005"/>
          </w:tcPr>
          <w:p>
            <w:pPr>
              <w:pStyle w:val="TableText"/>
            </w:pPr>
            <w:r/>
            <w:r>
              <w:t>Handbook 2022-2023, p. 56</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CEX-05</w:t>
            </w:r>
          </w:p>
        </w:tc>
        <w:tc>
          <w:tcPr>
            <w:tcW w:type="dxa" w:w="4535"/>
          </w:tcPr>
          <w:p>
            <w:pPr>
              <w:pStyle w:val="TableText"/>
            </w:pPr>
            <w:r/>
            <w:r>
              <w:t>The application is filed with the Graduate Program Secretary at least two weeks before the scheduled examination; an examinee who withdraws the application informs the Graduate Program in writing with the reason at least three working days before the examination.</w:t>
            </w:r>
          </w:p>
        </w:tc>
        <w:tc>
          <w:tcPr>
            <w:tcW w:type="dxa" w:w="3005"/>
          </w:tcPr>
          <w:p>
            <w:pPr>
              <w:pStyle w:val="TableText"/>
            </w:pPr>
            <w:r/>
            <w:r>
              <w:t>Handbook 2022-2023, pp. 56-57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CEX-06</w:t>
            </w:r>
          </w:p>
        </w:tc>
        <w:tc>
          <w:tcPr>
            <w:tcW w:type="dxa" w:w="4535"/>
          </w:tcPr>
          <w:p>
            <w:pPr>
              <w:pStyle w:val="TableText"/>
            </w:pPr>
            <w:r/>
            <w:r>
              <w:t>The examination fee is P1,100 for a master's and P2,500 for a doctorate, paid to the Business Office; the official receipt attached to the application is presented to the secretary before the exam.</w:t>
            </w:r>
          </w:p>
        </w:tc>
        <w:tc>
          <w:tcPr>
            <w:tcW w:type="dxa" w:w="3005"/>
          </w:tcPr>
          <w:p>
            <w:pPr>
              <w:pStyle w:val="TableText"/>
            </w:pPr>
            <w:r/>
            <w:r>
              <w:t>Handbook 2022-2023, p. 57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CEX-07</w:t>
            </w:r>
          </w:p>
        </w:tc>
        <w:tc>
          <w:tcPr>
            <w:tcW w:type="dxa" w:w="4535"/>
          </w:tcPr>
          <w:p>
            <w:pPr>
              <w:pStyle w:val="TableText"/>
            </w:pPr>
            <w:r/>
            <w:r>
              <w:t>The fee is forfeited if the examinee fails to appear during the examination dates or fails to inform the Graduate Program Services Office by a written note.</w:t>
            </w:r>
          </w:p>
        </w:tc>
        <w:tc>
          <w:tcPr>
            <w:tcW w:type="dxa" w:w="3005"/>
          </w:tcPr>
          <w:p>
            <w:pPr>
              <w:pStyle w:val="TableText"/>
            </w:pPr>
            <w:r/>
            <w:r>
              <w:t>Handbook 2022-2023, p. 57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CEX-08</w:t>
            </w:r>
          </w:p>
        </w:tc>
        <w:tc>
          <w:tcPr>
            <w:tcW w:type="dxa" w:w="4535"/>
          </w:tcPr>
          <w:p>
            <w:pPr>
              <w:pStyle w:val="TableText"/>
            </w:pPr>
            <w:r/>
            <w:r>
              <w:t>A student must get a minimum score of 7.00 points (70%) in all courses to pass. A student below 7.00 may take a first retake in the failed courses within the residency enrollment and is allowed two retakes within the semester.</w:t>
            </w:r>
          </w:p>
        </w:tc>
        <w:tc>
          <w:tcPr>
            <w:tcW w:type="dxa" w:w="3005"/>
          </w:tcPr>
          <w:p>
            <w:pPr>
              <w:pStyle w:val="TableText"/>
            </w:pPr>
            <w:r/>
            <w:r>
              <w:t>Handbook 2022-2023, p. 57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CEX-09</w:t>
            </w:r>
          </w:p>
        </w:tc>
        <w:tc>
          <w:tcPr>
            <w:tcW w:type="dxa" w:w="4535"/>
          </w:tcPr>
          <w:p>
            <w:pPr>
              <w:pStyle w:val="TableText"/>
            </w:pPr>
            <w:r/>
            <w:r>
              <w:t>A student who fails the second retake takes a refresher course on the failed courses the following semester and may take the examination for the third and last time in the following residency enrollment; failure the fourth time means disqualification from the program.</w:t>
            </w:r>
          </w:p>
        </w:tc>
        <w:tc>
          <w:tcPr>
            <w:tcW w:type="dxa" w:w="3005"/>
          </w:tcPr>
          <w:p>
            <w:pPr>
              <w:pStyle w:val="TableText"/>
            </w:pPr>
            <w:r/>
            <w:r>
              <w:t>Handbook 2022-2023, p. 57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CEX-10</w:t>
            </w:r>
          </w:p>
        </w:tc>
        <w:tc>
          <w:tcPr>
            <w:tcW w:type="dxa" w:w="4535"/>
          </w:tcPr>
          <w:p>
            <w:pPr>
              <w:pStyle w:val="TableText"/>
            </w:pPr>
            <w:r/>
            <w:r>
              <w:t>A student who passes the comprehensive examination confers with the Dean for a thesis or dissertation adviser and is considered advanced to candidacy.</w:t>
            </w:r>
          </w:p>
        </w:tc>
        <w:tc>
          <w:tcPr>
            <w:tcW w:type="dxa" w:w="3005"/>
          </w:tcPr>
          <w:p>
            <w:pPr>
              <w:pStyle w:val="TableText"/>
            </w:pPr>
            <w:r/>
            <w:r>
              <w:t>Handbook 2022-2023, p. 57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CEX-11</w:t>
            </w:r>
          </w:p>
        </w:tc>
        <w:tc>
          <w:tcPr>
            <w:tcW w:type="dxa" w:w="4535"/>
          </w:tcPr>
          <w:p>
            <w:pPr>
              <w:pStyle w:val="TableText"/>
            </w:pPr>
            <w:r/>
            <w:r>
              <w:t>Passing the comprehensive examination is a graduation requirement; for special academic honors the examination must be passed with no retake.</w:t>
            </w:r>
          </w:p>
        </w:tc>
        <w:tc>
          <w:tcPr>
            <w:tcW w:type="dxa" w:w="3005"/>
          </w:tcPr>
          <w:p>
            <w:pPr>
              <w:pStyle w:val="TableText"/>
            </w:pPr>
            <w:r/>
            <w:r>
              <w:t>Handbook 2022-2023, pp. 55, 77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CEX-12</w:t>
            </w:r>
          </w:p>
        </w:tc>
        <w:tc>
          <w:tcPr>
            <w:tcW w:type="dxa" w:w="4535"/>
          </w:tcPr>
          <w:p>
            <w:pPr>
              <w:pStyle w:val="TableText"/>
            </w:pPr>
            <w:r/>
            <w:r>
              <w:t>The monitoring workbook records the comprehensive examination in its own column.</w:t>
            </w:r>
          </w:p>
        </w:tc>
        <w:tc>
          <w:tcPr>
            <w:tcW w:type="dxa" w:w="3005"/>
          </w:tcPr>
          <w:p>
            <w:pPr>
              <w:pStyle w:val="TableText"/>
            </w:pPr>
            <w:r/>
            <w:r>
              <w:t>Group working notes, Monitoring workbook, COMPRE column</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CEX-13</w:t>
            </w:r>
          </w:p>
        </w:tc>
        <w:tc>
          <w:tcPr>
            <w:tcW w:type="dxa" w:w="4535"/>
          </w:tcPr>
          <w:p>
            <w:pPr>
              <w:pStyle w:val="TableText"/>
            </w:pPr>
            <w:r/>
            <w:r>
              <w:t>The platform keeps all research stages from the title defense onward locked until the comprehensive examination status is Passed and all curriculum subjects are complete; the Graduate School can switch the examination requirement off in the register.</w:t>
            </w:r>
          </w:p>
        </w:tc>
        <w:tc>
          <w:tcPr>
            <w:tcW w:type="dxa" w:w="3005"/>
          </w:tcPr>
          <w:p>
            <w:pPr>
              <w:pStyle w:val="TableText"/>
            </w:pPr>
            <w:r/>
            <w:r>
              <w:t>Group working notes, Platform (current build): comprehensive exam eligibility</w:t>
            </w:r>
          </w:p>
        </w:tc>
        <w:tc>
          <w:tcPr>
            <w:tcW w:type="dxa" w:w="1191"/>
            <w:shd w:val="clear" w:color="auto" w:fill="DDEBF7"/>
          </w:tcPr>
          <w:p>
            <w:pPr>
              <w:pStyle w:val="TableText"/>
            </w:pPr>
            <w:r>
              <w:rPr>
                <w:b/>
              </w:rPr>
            </w:r>
            <w:r>
              <w:rPr>
                <w:b/>
              </w:rPr>
              <w:t>Proposed</w:t>
            </w:r>
          </w:p>
        </w:tc>
      </w:tr>
    </w:tbl>
    <w:p>
      <w:pPr>
        <w:spacing w:after="80" w:before="0"/>
      </w:pPr>
    </w:p>
    <w:p>
      <w:pPr>
        <w:pStyle w:val="Heading3"/>
      </w:pPr>
      <w:r>
        <w:t>4.10.6 Exceptions and unusual cases</w:t>
      </w:r>
    </w:p>
    <w:p>
      <w:pPr>
        <w:pStyle w:val="ListBullet"/>
        <w:spacing w:after="40"/>
      </w:pPr>
      <w:r>
        <w:t>The Handbook's sentence on a student who fails to take the examination on the scheduled dates is cut off in the copy supplied (Handbook 2022-2023, p. 57); the consequence is an open question (OQ-18).</w:t>
      </w:r>
    </w:p>
    <w:p>
      <w:pPr>
        <w:pStyle w:val="ListBullet"/>
        <w:spacing w:after="40"/>
      </w:pPr>
      <w:r>
        <w:t>A student who fails a retake takes a refresher course the next semester (CEX-09).</w:t>
      </w:r>
    </w:p>
    <w:p>
      <w:pPr>
        <w:pStyle w:val="ListBullet"/>
        <w:spacing w:after="40"/>
      </w:pPr>
      <w:r>
        <w:t>A master's student is evaluated by the Academic Coordinator but a doctorate student by the College Dean; the office may prefer the Graduate School Dean (OQ-18).</w:t>
      </w:r>
    </w:p>
    <w:p>
      <w:pPr>
        <w:pStyle w:val="Heading3"/>
      </w:pPr>
      <w:r>
        <w:t>4.10.7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Application, official receipt and score per course</w:t>
            </w:r>
          </w:p>
        </w:tc>
        <w:tc>
          <w:tcPr>
            <w:tcW w:type="dxa" w:w="5102"/>
          </w:tcPr>
          <w:p>
            <w:pPr>
              <w:pStyle w:val="TableText"/>
            </w:pPr>
            <w:r/>
            <w:r>
              <w:t>Graduate Program Secretary; Academic Coordinator</w:t>
            </w:r>
          </w:p>
        </w:tc>
      </w:tr>
      <w:tr>
        <w:trPr>
          <w:cantSplit w:val="true"/>
        </w:trPr>
        <w:tc>
          <w:tcPr>
            <w:tcW w:type="dxa" w:w="4535"/>
          </w:tcPr>
          <w:p>
            <w:pPr>
              <w:pStyle w:val="TableText"/>
            </w:pPr>
            <w:r/>
            <w:r>
              <w:t>Comprehensive examination result</w:t>
            </w:r>
          </w:p>
        </w:tc>
        <w:tc>
          <w:tcPr>
            <w:tcW w:type="dxa" w:w="5102"/>
          </w:tcPr>
          <w:p>
            <w:pPr>
              <w:pStyle w:val="TableText"/>
            </w:pPr>
            <w:r/>
            <w:r>
              <w:t>Monitoring workbook (COMPRE column)</w:t>
            </w:r>
          </w:p>
        </w:tc>
      </w:tr>
    </w:tbl>
    <w:p>
      <w:pPr>
        <w:spacing w:after="80" w:before="0"/>
      </w:pPr>
    </w:p>
    <w:p>
      <w:pPr>
        <w:pStyle w:val="Heading3"/>
      </w:pPr>
      <w:r>
        <w:t>4.10.8 How the platform supports this process</w:t>
      </w:r>
    </w:p>
    <w:p>
      <w:r>
        <w:rPr>
          <w:b w:val="0"/>
          <w:i w:val="0"/>
        </w:rPr>
        <w:t>The platform works out whether a student is eligible for the comprehensive examination and does not let a user mark it. For the MBA and the Doctor of Psychology curricula, which it holds in full, eligibility is judged by the units completed in each category; for other programs every curriculum subject must be complete. In both cases no subject may be failed. The result of the examination (Not Taken or Passed) is not entered in the portal; it reaches the student's record only from the COMPRE column of the monitoring workbook. The platform does not record the application, the fee, the score per course, retakes or the refresher course. Until the status is Passed and the curriculum is complete, all research stages from the title defense onward are locked (register rule research.comprehensive_exam_before_research). The Graduate School can switch that rule off in the register, in which case research opens when the student is eligible.</w:t>
      </w:r>
    </w:p>
    <w:p>
      <w:r>
        <w:rPr>
          <w:b/>
          <w:i w:val="0"/>
        </w:rPr>
        <w:t xml:space="preserve">Difference between the platform and the rule. </w:t>
      </w:r>
      <w:r>
        <w:t>The platform blocks the research steps until the examination is passed (CEX-13), which the Research Protocol does not state and the Handbook states only as the step before the student confers with the Dean for an adviser (p. 57). The Handbook also says an adviser may be assigned while the student is still taking courses (ADV-08); the sequence relative to the title defense is an open question (OQ-17). The evaluation by the Academic Coordinator or College Dean (CEX-03), the application, fee, scoring and retakes (CEX-05 to CEX-09) and the honors condition (CEX-11) are not modelled and are left to people.</w:t>
      </w:r>
    </w:p>
    <w:p>
      <w:pPr>
        <w:pStyle w:val="Heading2"/>
        <w:spacing w:before="360"/>
      </w:pPr>
      <w:r>
        <w:t>4.11 Title defense</w:t>
      </w:r>
    </w:p>
    <w:p>
      <w:pPr>
        <w:pStyle w:val="Heading3"/>
      </w:pPr>
      <w:r>
        <w:t>4.11.1 Purpose</w:t>
      </w:r>
    </w:p>
    <w:p>
      <w:r>
        <w:rPr>
          <w:b w:val="0"/>
          <w:i w:val="0"/>
        </w:rPr>
        <w:t>To have the student's three proposed research titles deliberated by a panel, so that one title is approved for the project paper, thesis or dissertation.</w:t>
      </w:r>
    </w:p>
    <w:p>
      <w:pPr>
        <w:pStyle w:val="Heading3"/>
      </w:pPr>
      <w:r>
        <w:t>4.11.2 Who is involved</w:t>
      </w:r>
    </w:p>
    <w:p>
      <w:r>
        <w:rPr>
          <w:b w:val="0"/>
          <w:i w:val="0"/>
        </w:rPr>
        <w:t>Student; Academic Coordinator; Research Coordinator (RC); GS Research Committee; GS Office (scheduling); Panel chair and panel members.</w:t>
      </w:r>
    </w:p>
    <w:p>
      <w:pPr>
        <w:pStyle w:val="Heading3"/>
      </w:pPr>
      <w:r>
        <w:t>4.11.3 Trigger and preconditions</w:t>
      </w:r>
    </w:p>
    <w:p>
      <w:r>
        <w:rPr>
          <w:b/>
          <w:i w:val="0"/>
        </w:rPr>
        <w:t xml:space="preserve">Trigger. </w:t>
      </w:r>
      <w:r>
        <w:t>The student is ready to propose a research title.</w:t>
      </w:r>
    </w:p>
    <w:p>
      <w:r>
        <w:rPr>
          <w:b/>
          <w:i w:val="0"/>
        </w:rPr>
        <w:t>Preconditions.</w:t>
      </w:r>
    </w:p>
    <w:p>
      <w:pPr>
        <w:pStyle w:val="ListBullet"/>
        <w:spacing w:after="40"/>
      </w:pPr>
      <w:r>
        <w:t>The student has three concept papers.</w:t>
      </w:r>
    </w:p>
    <w:p>
      <w:pPr>
        <w:pStyle w:val="ListBullet"/>
        <w:spacing w:after="40"/>
      </w:pPr>
      <w:r>
        <w:t>The student applies at least two weeks before the defense (TTL-01).</w:t>
      </w:r>
    </w:p>
    <w:p>
      <w:pPr>
        <w:pStyle w:val="ListBullet"/>
        <w:spacing w:after="40"/>
      </w:pPr>
      <w:r>
        <w:t>Platform only: the comprehensive examination has been passed (see CEX-13 and OQ-17).</w:t>
      </w:r>
    </w:p>
    <w:p>
      <w:pPr>
        <w:pStyle w:val="Heading3"/>
      </w:pPr>
      <w:r>
        <w:t>4.11.4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Student</w:t>
            </w:r>
          </w:p>
        </w:tc>
        <w:tc>
          <w:tcPr>
            <w:tcW w:type="dxa" w:w="4082"/>
          </w:tcPr>
          <w:p>
            <w:pPr>
              <w:pStyle w:val="TableText"/>
            </w:pPr>
            <w:r/>
            <w:r>
              <w:t>Accomplishes Form 1, Application for Title Defense, and emails Form 1 and the three concept papers to the Academic Coordinator.</w:t>
            </w:r>
          </w:p>
        </w:tc>
        <w:tc>
          <w:tcPr>
            <w:tcW w:type="dxa" w:w="1757"/>
          </w:tcPr>
          <w:p>
            <w:pPr>
              <w:pStyle w:val="TableText"/>
            </w:pPr>
            <w:r/>
            <w:r>
              <w:t>Form 1; 3 concept papers</w:t>
            </w:r>
          </w:p>
        </w:tc>
        <w:tc>
          <w:tcPr>
            <w:tcW w:type="dxa" w:w="1587"/>
          </w:tcPr>
          <w:p>
            <w:pPr>
              <w:pStyle w:val="TableText"/>
            </w:pPr>
            <w:r/>
            <w:r>
              <w:t>At least 2 weeks before the scheduled defense</w:t>
            </w:r>
          </w:p>
        </w:tc>
      </w:tr>
      <w:tr>
        <w:trPr>
          <w:cantSplit w:val="true"/>
        </w:trPr>
        <w:tc>
          <w:tcPr>
            <w:tcW w:type="dxa" w:w="567"/>
          </w:tcPr>
          <w:p>
            <w:pPr>
              <w:pStyle w:val="TableText"/>
            </w:pPr>
            <w:r/>
            <w:r>
              <w:t>2</w:t>
            </w:r>
          </w:p>
        </w:tc>
        <w:tc>
          <w:tcPr>
            <w:tcW w:type="dxa" w:w="1644"/>
          </w:tcPr>
          <w:p>
            <w:pPr>
              <w:pStyle w:val="TableText"/>
            </w:pPr>
            <w:r/>
            <w:r>
              <w:t>Academic Coordinator</w:t>
            </w:r>
          </w:p>
        </w:tc>
        <w:tc>
          <w:tcPr>
            <w:tcW w:type="dxa" w:w="4082"/>
          </w:tcPr>
          <w:p>
            <w:pPr>
              <w:pStyle w:val="TableText"/>
            </w:pPr>
            <w:r/>
            <w:r>
              <w:t>Endorses Form 1 and the three concept papers to the Research Coordinator at the GS mailbox by e-signature (instead of signing Form 1), and recommends a set of panel members.</w:t>
            </w:r>
          </w:p>
        </w:tc>
        <w:tc>
          <w:tcPr>
            <w:tcW w:type="dxa" w:w="1757"/>
          </w:tcPr>
          <w:p>
            <w:pPr>
              <w:pStyle w:val="TableText"/>
            </w:pPr>
            <w:r/>
            <w:r>
              <w:t>Form 1 with AC e-signature</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Research Coordinator</w:t>
            </w:r>
          </w:p>
        </w:tc>
        <w:tc>
          <w:tcPr>
            <w:tcW w:type="dxa" w:w="4082"/>
          </w:tcPr>
          <w:p>
            <w:pPr>
              <w:pStyle w:val="TableText"/>
            </w:pPr>
            <w:r/>
            <w:r>
              <w:t>Nominates the panel members as recommended by the Academic Coordinator, after deliberation with the GS Research Committee.</w:t>
            </w:r>
          </w:p>
        </w:tc>
        <w:tc>
          <w:tcPr>
            <w:tcW w:type="dxa" w:w="1757"/>
          </w:tcPr>
          <w:p>
            <w:pPr>
              <w:pStyle w:val="TableText"/>
            </w:pPr>
            <w:r/>
            <w:r>
              <w:t>Panel nomination</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GS Office</w:t>
            </w:r>
          </w:p>
        </w:tc>
        <w:tc>
          <w:tcPr>
            <w:tcW w:type="dxa" w:w="4082"/>
          </w:tcPr>
          <w:p>
            <w:pPr>
              <w:pStyle w:val="TableText"/>
            </w:pPr>
            <w:r/>
            <w:r>
              <w:t>Coordinates with the panel members about the proposed schedule of the title defense.</w:t>
            </w:r>
          </w:p>
        </w:tc>
        <w:tc>
          <w:tcPr>
            <w:tcW w:type="dxa" w:w="1757"/>
          </w:tcPr>
          <w:p>
            <w:pPr>
              <w:pStyle w:val="TableText"/>
            </w:pPr>
            <w:r/>
            <w:r>
              <w:t>Schedule</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Research Coordinator</w:t>
            </w:r>
          </w:p>
        </w:tc>
        <w:tc>
          <w:tcPr>
            <w:tcW w:type="dxa" w:w="4082"/>
          </w:tcPr>
          <w:p>
            <w:pPr>
              <w:pStyle w:val="TableText"/>
            </w:pPr>
            <w:r/>
            <w:r>
              <w:t>Informs the nominated panel members and the student of the date and time, and sends the three concept papers and Form 2 to the panel.</w:t>
            </w:r>
          </w:p>
        </w:tc>
        <w:tc>
          <w:tcPr>
            <w:tcW w:type="dxa" w:w="1757"/>
          </w:tcPr>
          <w:p>
            <w:pPr>
              <w:pStyle w:val="TableText"/>
            </w:pPr>
            <w:r/>
            <w:r>
              <w:t>Form 2 (blank); concept papers</w:t>
            </w:r>
          </w:p>
        </w:tc>
        <w:tc>
          <w:tcPr>
            <w:tcW w:type="dxa" w:w="1587"/>
          </w:tcPr>
          <w:p>
            <w:pPr>
              <w:pStyle w:val="TableText"/>
            </w:pPr>
            <w:r/>
            <w:r>
              <w:t>—</w:t>
            </w:r>
          </w:p>
        </w:tc>
      </w:tr>
      <w:tr>
        <w:trPr>
          <w:cantSplit w:val="true"/>
        </w:trPr>
        <w:tc>
          <w:tcPr>
            <w:tcW w:type="dxa" w:w="567"/>
          </w:tcPr>
          <w:p>
            <w:pPr>
              <w:pStyle w:val="TableText"/>
            </w:pPr>
            <w:r/>
            <w:r>
              <w:t>6</w:t>
            </w:r>
          </w:p>
        </w:tc>
        <w:tc>
          <w:tcPr>
            <w:tcW w:type="dxa" w:w="1644"/>
          </w:tcPr>
          <w:p>
            <w:pPr>
              <w:pStyle w:val="TableText"/>
            </w:pPr>
            <w:r/>
            <w:r>
              <w:t>Panel chair</w:t>
            </w:r>
          </w:p>
        </w:tc>
        <w:tc>
          <w:tcPr>
            <w:tcW w:type="dxa" w:w="4082"/>
          </w:tcPr>
          <w:p>
            <w:pPr>
              <w:pStyle w:val="TableText"/>
            </w:pPr>
            <w:r/>
            <w:r>
              <w:t>Prepares and emails the online details (meeting ID and password, or meeting link) to panel and student before the defense, and hosts the defense.</w:t>
            </w:r>
          </w:p>
        </w:tc>
        <w:tc>
          <w:tcPr>
            <w:tcW w:type="dxa" w:w="1757"/>
          </w:tcPr>
          <w:p>
            <w:pPr>
              <w:pStyle w:val="TableText"/>
            </w:pPr>
            <w:r/>
            <w:r>
              <w:t>Meeting details</w:t>
            </w:r>
          </w:p>
        </w:tc>
        <w:tc>
          <w:tcPr>
            <w:tcW w:type="dxa" w:w="1587"/>
          </w:tcPr>
          <w:p>
            <w:pPr>
              <w:pStyle w:val="TableText"/>
            </w:pPr>
            <w:r/>
            <w:r>
              <w:t>Before the defense</w:t>
            </w:r>
          </w:p>
        </w:tc>
      </w:tr>
      <w:tr>
        <w:trPr>
          <w:cantSplit w:val="true"/>
        </w:trPr>
        <w:tc>
          <w:tcPr>
            <w:tcW w:type="dxa" w:w="567"/>
          </w:tcPr>
          <w:p>
            <w:pPr>
              <w:pStyle w:val="TableText"/>
            </w:pPr>
            <w:r/>
            <w:r>
              <w:t>7</w:t>
            </w:r>
          </w:p>
        </w:tc>
        <w:tc>
          <w:tcPr>
            <w:tcW w:type="dxa" w:w="1644"/>
          </w:tcPr>
          <w:p>
            <w:pPr>
              <w:pStyle w:val="TableText"/>
            </w:pPr>
            <w:r/>
            <w:r>
              <w:t>Panel</w:t>
            </w:r>
          </w:p>
        </w:tc>
        <w:tc>
          <w:tcPr>
            <w:tcW w:type="dxa" w:w="4082"/>
          </w:tcPr>
          <w:p>
            <w:pPr>
              <w:pStyle w:val="TableText"/>
            </w:pPr>
            <w:r/>
            <w:r>
              <w:t>Deliberates the three titles without the student. The chair then admits the student, who takes note of the comments. The chair may record the defense with everyone's consent.</w:t>
            </w:r>
          </w:p>
        </w:tc>
        <w:tc>
          <w:tcPr>
            <w:tcW w:type="dxa" w:w="1757"/>
          </w:tcPr>
          <w:p>
            <w:pPr>
              <w:pStyle w:val="TableText"/>
            </w:pPr>
            <w:r/>
            <w:r>
              <w:t>Comments</w:t>
            </w:r>
          </w:p>
        </w:tc>
        <w:tc>
          <w:tcPr>
            <w:tcW w:type="dxa" w:w="1587"/>
          </w:tcPr>
          <w:p>
            <w:pPr>
              <w:pStyle w:val="TableText"/>
            </w:pPr>
            <w:r/>
            <w:r>
              <w:t>At the defense</w:t>
            </w:r>
          </w:p>
        </w:tc>
      </w:tr>
      <w:tr>
        <w:trPr>
          <w:cantSplit w:val="true"/>
        </w:trPr>
        <w:tc>
          <w:tcPr>
            <w:tcW w:type="dxa" w:w="567"/>
          </w:tcPr>
          <w:p>
            <w:pPr>
              <w:pStyle w:val="TableText"/>
            </w:pPr>
            <w:r/>
            <w:r>
              <w:t>8</w:t>
            </w:r>
          </w:p>
        </w:tc>
        <w:tc>
          <w:tcPr>
            <w:tcW w:type="dxa" w:w="1644"/>
          </w:tcPr>
          <w:p>
            <w:pPr>
              <w:pStyle w:val="TableText"/>
            </w:pPr>
            <w:r/>
            <w:r>
              <w:t>Panel members</w:t>
            </w:r>
          </w:p>
        </w:tc>
        <w:tc>
          <w:tcPr>
            <w:tcW w:type="dxa" w:w="4082"/>
          </w:tcPr>
          <w:p>
            <w:pPr>
              <w:pStyle w:val="TableText"/>
            </w:pPr>
            <w:r/>
            <w:r>
              <w:t>Decide the title to be pursued; each accomplishes Form 2 with the result and other information.</w:t>
            </w:r>
          </w:p>
        </w:tc>
        <w:tc>
          <w:tcPr>
            <w:tcW w:type="dxa" w:w="1757"/>
          </w:tcPr>
          <w:p>
            <w:pPr>
              <w:pStyle w:val="TableText"/>
            </w:pPr>
            <w:r/>
            <w:r>
              <w:t>Form 2</w:t>
            </w:r>
          </w:p>
        </w:tc>
        <w:tc>
          <w:tcPr>
            <w:tcW w:type="dxa" w:w="1587"/>
          </w:tcPr>
          <w:p>
            <w:pPr>
              <w:pStyle w:val="TableText"/>
            </w:pPr>
            <w:r/>
            <w:r>
              <w:t>After the defense</w:t>
            </w:r>
          </w:p>
        </w:tc>
      </w:tr>
      <w:tr>
        <w:trPr>
          <w:cantSplit w:val="true"/>
        </w:trPr>
        <w:tc>
          <w:tcPr>
            <w:tcW w:type="dxa" w:w="567"/>
          </w:tcPr>
          <w:p>
            <w:pPr>
              <w:pStyle w:val="TableText"/>
            </w:pPr>
            <w:r/>
            <w:r>
              <w:t>9</w:t>
            </w:r>
          </w:p>
        </w:tc>
        <w:tc>
          <w:tcPr>
            <w:tcW w:type="dxa" w:w="1644"/>
          </w:tcPr>
          <w:p>
            <w:pPr>
              <w:pStyle w:val="TableText"/>
            </w:pPr>
            <w:r/>
            <w:r>
              <w:t>Panel chair</w:t>
            </w:r>
          </w:p>
        </w:tc>
        <w:tc>
          <w:tcPr>
            <w:tcW w:type="dxa" w:w="4082"/>
          </w:tcPr>
          <w:p>
            <w:pPr>
              <w:pStyle w:val="TableText"/>
            </w:pPr>
            <w:r/>
            <w:r>
              <w:t>Emails the accomplished Form 2 to the Research Coordinator and the student.</w:t>
            </w:r>
          </w:p>
        </w:tc>
        <w:tc>
          <w:tcPr>
            <w:tcW w:type="dxa" w:w="1757"/>
          </w:tcPr>
          <w:p>
            <w:pPr>
              <w:pStyle w:val="TableText"/>
            </w:pPr>
            <w:r/>
            <w:r>
              <w:t>Form 2</w:t>
            </w:r>
          </w:p>
        </w:tc>
        <w:tc>
          <w:tcPr>
            <w:tcW w:type="dxa" w:w="1587"/>
          </w:tcPr>
          <w:p>
            <w:pPr>
              <w:pStyle w:val="TableText"/>
            </w:pPr>
            <w:r/>
            <w:r>
              <w:t>Within the first working day after the defense</w:t>
            </w:r>
          </w:p>
        </w:tc>
      </w:tr>
      <w:tr>
        <w:trPr>
          <w:cantSplit w:val="true"/>
        </w:trPr>
        <w:tc>
          <w:tcPr>
            <w:tcW w:type="dxa" w:w="567"/>
          </w:tcPr>
          <w:p>
            <w:pPr>
              <w:pStyle w:val="TableText"/>
            </w:pPr>
            <w:r/>
            <w:r>
              <w:t>10</w:t>
            </w:r>
          </w:p>
        </w:tc>
        <w:tc>
          <w:tcPr>
            <w:tcW w:type="dxa" w:w="1644"/>
          </w:tcPr>
          <w:p>
            <w:pPr>
              <w:pStyle w:val="TableText"/>
            </w:pPr>
            <w:r/>
            <w:r>
              <w:t>Student</w:t>
            </w:r>
          </w:p>
        </w:tc>
        <w:tc>
          <w:tcPr>
            <w:tcW w:type="dxa" w:w="4082"/>
          </w:tcPr>
          <w:p>
            <w:pPr>
              <w:pStyle w:val="TableText"/>
            </w:pPr>
            <w:r/>
            <w:r>
              <w:t>If the titles were disapproved, presents a new set of three titles and repeats the protocol. Settles the defense fees with the panel and emails the screenshot or deposit slip to the GS mailbox with the subject LAST NAME_type of defense_receipt.</w:t>
            </w:r>
          </w:p>
        </w:tc>
        <w:tc>
          <w:tcPr>
            <w:tcW w:type="dxa" w:w="1757"/>
          </w:tcPr>
          <w:p>
            <w:pPr>
              <w:pStyle w:val="TableText"/>
            </w:pPr>
            <w:r/>
            <w:r>
              <w:t>New titles; payment proof</w:t>
            </w:r>
          </w:p>
        </w:tc>
        <w:tc>
          <w:tcPr>
            <w:tcW w:type="dxa" w:w="1587"/>
          </w:tcPr>
          <w:p>
            <w:pPr>
              <w:pStyle w:val="TableText"/>
            </w:pPr>
            <w:r/>
            <w:r>
              <w:t>Within the first working day after the defense</w:t>
            </w:r>
          </w:p>
        </w:tc>
      </w:tr>
    </w:tbl>
    <w:p>
      <w:pPr>
        <w:spacing w:after="80" w:before="0"/>
      </w:pPr>
    </w:p>
    <w:p>
      <w:pPr>
        <w:pStyle w:val="Heading3"/>
      </w:pPr>
      <w:r>
        <w:t>4.11.5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TTL-01</w:t>
            </w:r>
          </w:p>
        </w:tc>
        <w:tc>
          <w:tcPr>
            <w:tcW w:type="dxa" w:w="4535"/>
          </w:tcPr>
          <w:p>
            <w:pPr>
              <w:pStyle w:val="TableText"/>
            </w:pPr>
            <w:r/>
            <w:r>
              <w:t>The application for title defense (Form 1 and three concept papers to the Academic Coordinator) must be made at least two weeks before the scheduled defense.</w:t>
            </w:r>
          </w:p>
        </w:tc>
        <w:tc>
          <w:tcPr>
            <w:tcW w:type="dxa" w:w="3005"/>
          </w:tcPr>
          <w:p>
            <w:pPr>
              <w:pStyle w:val="TableText"/>
            </w:pPr>
            <w:r/>
            <w:r>
              <w:t>Handbook 2022-2023, p. 59; Research Protocol AY2024-2025, Title Defense, Part I, step 2 note</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TTL-02</w:t>
            </w:r>
          </w:p>
        </w:tc>
        <w:tc>
          <w:tcPr>
            <w:tcW w:type="dxa" w:w="4535"/>
          </w:tcPr>
          <w:p>
            <w:pPr>
              <w:pStyle w:val="TableText"/>
            </w:pPr>
            <w:r/>
            <w:r>
              <w:t>The Research Coordinator nominates the panel members as recommended by the Academic Coordinator, after deliberation with the GS Research Committee.</w:t>
            </w:r>
          </w:p>
        </w:tc>
        <w:tc>
          <w:tcPr>
            <w:tcW w:type="dxa" w:w="3005"/>
          </w:tcPr>
          <w:p>
            <w:pPr>
              <w:pStyle w:val="TableText"/>
            </w:pPr>
            <w:r/>
            <w:r>
              <w:t>Handbook 2022-2023, p. 60; Research Protocol AY2024-2025, Title Defense, Part I, step 4</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TTL-03</w:t>
            </w:r>
          </w:p>
        </w:tc>
        <w:tc>
          <w:tcPr>
            <w:tcW w:type="dxa" w:w="4535"/>
          </w:tcPr>
          <w:p>
            <w:pPr>
              <w:pStyle w:val="TableText"/>
            </w:pPr>
            <w:r/>
            <w:r>
              <w:t>Panel for a project paper: one panel chair and two members (one content specialist and one method specialist). Thesis or bridging thesis: one chair and three members (one content specialist, one method specialist and one external panel). Dissertation: one chair and four members (two content specialists, one method specialist and one external panel). The chair and the content and method specialists are University-affiliated; the external panel is a content or industry expert who takes part from the proposal defense onwards.</w:t>
            </w:r>
          </w:p>
        </w:tc>
        <w:tc>
          <w:tcPr>
            <w:tcW w:type="dxa" w:w="3005"/>
          </w:tcPr>
          <w:p>
            <w:pPr>
              <w:pStyle w:val="TableText"/>
            </w:pPr>
            <w:r/>
            <w:r>
              <w:t>Handbook 2022-2023, p. 60; Research Protocol AY2024-2025, Title Defense, Part I, step 4</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TTL-04</w:t>
            </w:r>
          </w:p>
        </w:tc>
        <w:tc>
          <w:tcPr>
            <w:tcW w:type="dxa" w:w="4535"/>
          </w:tcPr>
          <w:p>
            <w:pPr>
              <w:pStyle w:val="TableText"/>
            </w:pPr>
            <w:r/>
            <w:r>
              <w:t>The panel members deliberate the three submitted titles without the presence of the student; the chair then admits the student.</w:t>
            </w:r>
          </w:p>
        </w:tc>
        <w:tc>
          <w:tcPr>
            <w:tcW w:type="dxa" w:w="3005"/>
          </w:tcPr>
          <w:p>
            <w:pPr>
              <w:pStyle w:val="TableText"/>
            </w:pPr>
            <w:r/>
            <w:r>
              <w:t>Handbook 2022-2023, p. 60; Research Protocol AY2024-2025, Title Defense, Part II</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TTL-05</w:t>
            </w:r>
          </w:p>
        </w:tc>
        <w:tc>
          <w:tcPr>
            <w:tcW w:type="dxa" w:w="4535"/>
          </w:tcPr>
          <w:p>
            <w:pPr>
              <w:pStyle w:val="TableText"/>
            </w:pPr>
            <w:r/>
            <w:r>
              <w:t>The panel chair may record the defense with the consent of everyone in the meeting room and furnish the student the link of the recording.</w:t>
            </w:r>
          </w:p>
        </w:tc>
        <w:tc>
          <w:tcPr>
            <w:tcW w:type="dxa" w:w="3005"/>
          </w:tcPr>
          <w:p>
            <w:pPr>
              <w:pStyle w:val="TableText"/>
            </w:pPr>
            <w:r/>
            <w:r>
              <w:t>Handbook 2022-2023, p. 60</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TTL-06</w:t>
            </w:r>
          </w:p>
        </w:tc>
        <w:tc>
          <w:tcPr>
            <w:tcW w:type="dxa" w:w="4535"/>
          </w:tcPr>
          <w:p>
            <w:pPr>
              <w:pStyle w:val="TableText"/>
            </w:pPr>
            <w:r/>
            <w:r>
              <w:t>The panel chair emails the accomplished Form 2 to the Research Coordinator and the student within the first working day after the defense.</w:t>
            </w:r>
          </w:p>
        </w:tc>
        <w:tc>
          <w:tcPr>
            <w:tcW w:type="dxa" w:w="3005"/>
          </w:tcPr>
          <w:p>
            <w:pPr>
              <w:pStyle w:val="TableText"/>
            </w:pPr>
            <w:r/>
            <w:r>
              <w:t>Handbook 2022-2023, p. 61; Research Protocol AY2024-2025, Title Defense, Part III, step 2</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TTL-07</w:t>
            </w:r>
          </w:p>
        </w:tc>
        <w:tc>
          <w:tcPr>
            <w:tcW w:type="dxa" w:w="4535"/>
          </w:tcPr>
          <w:p>
            <w:pPr>
              <w:pStyle w:val="TableText"/>
            </w:pPr>
            <w:r/>
            <w:r>
              <w:t>If the proposed titles are disapproved, the student presents a new set of three titles and follows the same protocol; the decision is reflected in Form 2.</w:t>
            </w:r>
          </w:p>
        </w:tc>
        <w:tc>
          <w:tcPr>
            <w:tcW w:type="dxa" w:w="3005"/>
          </w:tcPr>
          <w:p>
            <w:pPr>
              <w:pStyle w:val="TableText"/>
            </w:pPr>
            <w:r/>
            <w:r>
              <w:t>Handbook 2022-2023, p. 61; Research Protocol AY2024-2025, Title Defense, Part III, step 3</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TTL-08</w:t>
            </w:r>
          </w:p>
        </w:tc>
        <w:tc>
          <w:tcPr>
            <w:tcW w:type="dxa" w:w="4535"/>
          </w:tcPr>
          <w:p>
            <w:pPr>
              <w:pStyle w:val="TableText"/>
            </w:pPr>
            <w:r/>
            <w:r>
              <w:t>The student asks the panel about their preferred mode of payment, settles the title defense fees and emails the proof to the GS mailbox within the first working day after the defense, with the subject line LAST NAME_type of defense_receipt.</w:t>
            </w:r>
          </w:p>
        </w:tc>
        <w:tc>
          <w:tcPr>
            <w:tcW w:type="dxa" w:w="3005"/>
          </w:tcPr>
          <w:p>
            <w:pPr>
              <w:pStyle w:val="TableText"/>
            </w:pPr>
            <w:r/>
            <w:r>
              <w:t>Handbook 2022-2023, p. 61; Research Protocol AY2024-2025, Title Defense, Part III, step 4</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TTL-09</w:t>
            </w:r>
          </w:p>
        </w:tc>
        <w:tc>
          <w:tcPr>
            <w:tcW w:type="dxa" w:w="4535"/>
          </w:tcPr>
          <w:p>
            <w:pPr>
              <w:pStyle w:val="TableText"/>
            </w:pPr>
            <w:r/>
            <w:r>
              <w:t>Thesis or project paper writing must be finished within two years from the title or proposal defense; for the thesis the student has one year from the title defense to submit and defend a proposal. Dissertation writing must be finished within three years from the title defense, with one year to submit and defend a proposal.</w:t>
            </w:r>
          </w:p>
        </w:tc>
        <w:tc>
          <w:tcPr>
            <w:tcW w:type="dxa" w:w="3005"/>
          </w:tcPr>
          <w:p>
            <w:pPr>
              <w:pStyle w:val="TableText"/>
            </w:pPr>
            <w:r/>
            <w:r>
              <w:t>Handbook 2022-2023, p. 58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TTL-10</w:t>
            </w:r>
          </w:p>
        </w:tc>
        <w:tc>
          <w:tcPr>
            <w:tcW w:type="dxa" w:w="4535"/>
          </w:tcPr>
          <w:p>
            <w:pPr>
              <w:pStyle w:val="TableText"/>
            </w:pPr>
            <w:r/>
            <w:r>
              <w:t>If the approved title is still applicable, the same concept paper may be presented for re-defense; otherwise the student changes the research title or topic and goes through the title defense again.</w:t>
            </w:r>
          </w:p>
        </w:tc>
        <w:tc>
          <w:tcPr>
            <w:tcW w:type="dxa" w:w="3005"/>
          </w:tcPr>
          <w:p>
            <w:pPr>
              <w:pStyle w:val="TableText"/>
            </w:pPr>
            <w:r/>
            <w:r>
              <w:t>Handbook 2022-2023, p. 58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TTL-11</w:t>
            </w:r>
          </w:p>
        </w:tc>
        <w:tc>
          <w:tcPr>
            <w:tcW w:type="dxa" w:w="4535"/>
          </w:tcPr>
          <w:p>
            <w:pPr>
              <w:pStyle w:val="TableText"/>
            </w:pPr>
            <w:r/>
            <w:r>
              <w:t>GS staff check that Form 1, three concept papers and the Academic Coordinator's endorsement are present before the Research Coordinator nominates a panel. The check is for completeness only; in the platform the endorsement is refused unless Form 1 and all three papers are uploaded, and panel matching opens only after it.</w:t>
            </w:r>
          </w:p>
        </w:tc>
        <w:tc>
          <w:tcPr>
            <w:tcW w:type="dxa" w:w="3005"/>
          </w:tcPr>
          <w:p>
            <w:pPr>
              <w:pStyle w:val="TableText"/>
            </w:pPr>
            <w:r/>
            <w:r>
              <w:t>Group working notes, July 20 checklist, item 42; Group working notes, transactions list</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TTL-12</w:t>
            </w:r>
          </w:p>
        </w:tc>
        <w:tc>
          <w:tcPr>
            <w:tcW w:type="dxa" w:w="4535"/>
          </w:tcPr>
          <w:p>
            <w:pPr>
              <w:pStyle w:val="TableText"/>
            </w:pPr>
            <w:r/>
            <w:r>
              <w:t>The platform does not schedule a title defense, nominate a panel or approve a title by itself; panel candidates are suggested from the uploaded concept papers, faculty specialization, availability and workload, and staff may choose any active faculty member.</w:t>
            </w:r>
          </w:p>
        </w:tc>
        <w:tc>
          <w:tcPr>
            <w:tcW w:type="dxa" w:w="3005"/>
          </w:tcPr>
          <w:p>
            <w:pPr>
              <w:pStyle w:val="TableText"/>
            </w:pPr>
            <w:r/>
            <w:r>
              <w:t>Group working notes, July 20 checklist, item 44</w:t>
            </w:r>
          </w:p>
        </w:tc>
        <w:tc>
          <w:tcPr>
            <w:tcW w:type="dxa" w:w="1191"/>
            <w:shd w:val="clear" w:color="auto" w:fill="DDEBF7"/>
          </w:tcPr>
          <w:p>
            <w:pPr>
              <w:pStyle w:val="TableText"/>
            </w:pPr>
            <w:r>
              <w:rPr>
                <w:b/>
              </w:rPr>
            </w:r>
            <w:r>
              <w:rPr>
                <w:b/>
              </w:rPr>
              <w:t>Proposed</w:t>
            </w:r>
          </w:p>
        </w:tc>
      </w:tr>
    </w:tbl>
    <w:p>
      <w:pPr>
        <w:spacing w:after="80" w:before="0"/>
      </w:pPr>
    </w:p>
    <w:p>
      <w:pPr>
        <w:pStyle w:val="Heading3"/>
      </w:pPr>
      <w:r>
        <w:t>4.11.6 Exceptions and unusual cases</w:t>
      </w:r>
    </w:p>
    <w:p>
      <w:pPr>
        <w:pStyle w:val="ListBullet"/>
        <w:spacing w:after="40"/>
      </w:pPr>
      <w:r>
        <w:t>All three titles disapproved: the student presents three new titles and repeats the process (TTL-07).</w:t>
      </w:r>
    </w:p>
    <w:p>
      <w:pPr>
        <w:pStyle w:val="ListBullet"/>
        <w:spacing w:after="40"/>
      </w:pPr>
      <w:r>
        <w:t>Student wants to keep the approved title after a long delay: the same concept paper may be re-presented if still applicable (TTL-10).</w:t>
      </w:r>
    </w:p>
    <w:p>
      <w:pPr>
        <w:pStyle w:val="ListBullet"/>
        <w:spacing w:after="40"/>
      </w:pPr>
      <w:r>
        <w:t>Student abroad: the defense is online; the chair sends the login details (Research Protocol, Proposal Defense, Part I, states this for the proposal defense; the title defense is held on the chosen platform).</w:t>
      </w:r>
    </w:p>
    <w:p>
      <w:pPr>
        <w:pStyle w:val="ListBullet"/>
        <w:spacing w:after="40"/>
      </w:pPr>
      <w:r>
        <w:t>Panel members cannot agree on a title: the Protocol does not say what happens.</w:t>
      </w:r>
    </w:p>
    <w:p>
      <w:pPr>
        <w:pStyle w:val="ListBullet"/>
        <w:spacing w:after="40"/>
      </w:pPr>
      <w:r>
        <w:t>Fee tables are blank in the copy of the Protocol supplied; amounts are not known (OQ-27).</w:t>
      </w:r>
    </w:p>
    <w:p>
      <w:pPr>
        <w:pStyle w:val="Heading3"/>
      </w:pPr>
      <w:r>
        <w:t>4.11.7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Form 1 and the three concept papers</w:t>
            </w:r>
          </w:p>
        </w:tc>
        <w:tc>
          <w:tcPr>
            <w:tcW w:type="dxa" w:w="5102"/>
          </w:tcPr>
          <w:p>
            <w:pPr>
              <w:pStyle w:val="TableText"/>
            </w:pPr>
            <w:r/>
            <w:r>
              <w:t>Research Coordinator; GS mailbox</w:t>
            </w:r>
          </w:p>
        </w:tc>
      </w:tr>
      <w:tr>
        <w:trPr>
          <w:cantSplit w:val="true"/>
        </w:trPr>
        <w:tc>
          <w:tcPr>
            <w:tcW w:type="dxa" w:w="4535"/>
          </w:tcPr>
          <w:p>
            <w:pPr>
              <w:pStyle w:val="TableText"/>
            </w:pPr>
            <w:r/>
            <w:r>
              <w:t>Form 2, Report of Title Defense (approved title)</w:t>
            </w:r>
          </w:p>
        </w:tc>
        <w:tc>
          <w:tcPr>
            <w:tcW w:type="dxa" w:w="5102"/>
          </w:tcPr>
          <w:p>
            <w:pPr>
              <w:pStyle w:val="TableText"/>
            </w:pPr>
            <w:r/>
            <w:r>
              <w:t>Research Coordinator; research monitoring workbook (approved title, schedule)</w:t>
            </w:r>
          </w:p>
        </w:tc>
      </w:tr>
      <w:tr>
        <w:trPr>
          <w:cantSplit w:val="true"/>
        </w:trPr>
        <w:tc>
          <w:tcPr>
            <w:tcW w:type="dxa" w:w="4535"/>
          </w:tcPr>
          <w:p>
            <w:pPr>
              <w:pStyle w:val="TableText"/>
            </w:pPr>
            <w:r/>
            <w:r>
              <w:t>Fee payment proof</w:t>
            </w:r>
          </w:p>
        </w:tc>
        <w:tc>
          <w:tcPr>
            <w:tcW w:type="dxa" w:w="5102"/>
          </w:tcPr>
          <w:p>
            <w:pPr>
              <w:pStyle w:val="TableText"/>
            </w:pPr>
            <w:r/>
            <w:r>
              <w:t>GS mailbox</w:t>
            </w:r>
          </w:p>
        </w:tc>
      </w:tr>
    </w:tbl>
    <w:p>
      <w:pPr>
        <w:spacing w:after="80" w:before="0"/>
      </w:pPr>
    </w:p>
    <w:p>
      <w:pPr>
        <w:pStyle w:val="Heading3"/>
      </w:pPr>
      <w:r>
        <w:t>4.11.8 How the platform supports this process</w:t>
      </w:r>
    </w:p>
    <w:p>
      <w:r>
        <w:rPr>
          <w:b w:val="0"/>
          <w:i w:val="0"/>
        </w:rPr>
        <w:t>The student uploads Form 1 and exactly three concept-paper PDFs in the platform. The Academic Coordinator endorses them with a drawn signature; the endorsement is refused unless Form 1 and all three papers are present, and uploading the papers again withdraws it. Panel matching opens only after that endorsement. The platform ranks faculty by comparing the uploaded papers with the faculty expertise records, by availability and by current panel load, and leaves out the adviser. The Research Coordinator or GS staff finalise the panel and may choose any active faculty member, but the platform checks the size of the panel, its roles and that its members are distinct before it accepts the panel, and a change to an existing panel needs a recorded reason. The schedule is booked by staff (see 4.16). The panel chair assigned to the defense enters the verdict (Approved, Deferred or Disapproved) in the Faculty Portal, only after the booked start time, and may name the selected title, which becomes the study title. A Disapproved verdict archives the evidence and asks the student for three new titles and a new panel.</w:t>
      </w:r>
    </w:p>
    <w:p>
      <w:r>
        <w:rPr>
          <w:b/>
          <w:i w:val="0"/>
        </w:rPr>
        <w:t xml:space="preserve">Difference between the platform and the rule. </w:t>
      </w:r>
      <w:r>
        <w:t>The platform now follows the Handbook and the Protocol on the points where the earlier build had differed. A title defense needs 14 days' notice, counted from the Academic Coordinator's endorsement of Form 1 (TTL-01); staff can proceed inside that time only by ticking an override and recording the reason (OQ-43). A project paper panel is the chair and two members (content and method) with no external member; the external member joins thesis and dissertation panels from the proposal defense (TTL-03, OQ-42). The platform also requires the comprehensive examination to be Passed, and every curriculum subject complete, before any title-defense step: the Handbook places the examination before the adviser and candidacy (p. 57), the Research Protocol does not state it (CEX-13, OQ-17). Not in the platform: the deliberation of the GS Research Committee on the panel (TTL-02), the paper Form 2 and the one-working-day deadline for it (TTL-06), the fee proof (TTL-08, OQ-27), and the approval of the same concept paper for a re-defense (TTL-10). The writing limits of TTL-09 are shown as information only.</w:t>
      </w:r>
    </w:p>
    <w:p>
      <w:pPr>
        <w:pStyle w:val="Heading2"/>
        <w:spacing w:before="360"/>
      </w:pPr>
      <w:r>
        <w:t>4.12 Adviser designation, advising contract, change of title and change of adviser</w:t>
      </w:r>
    </w:p>
    <w:p>
      <w:pPr>
        <w:pStyle w:val="Heading3"/>
      </w:pPr>
      <w:r>
        <w:t>4.12.1 Purpose</w:t>
      </w:r>
    </w:p>
    <w:p>
      <w:r>
        <w:rPr>
          <w:b w:val="0"/>
          <w:i w:val="0"/>
        </w:rPr>
        <w:t>To appoint a research adviser for a student, to set the advising timetable and contract, and to handle the one allowed change of title and change of adviser.</w:t>
      </w:r>
    </w:p>
    <w:p>
      <w:pPr>
        <w:pStyle w:val="Heading3"/>
      </w:pPr>
      <w:r>
        <w:t>4.12.2 Who is involved</w:t>
      </w:r>
    </w:p>
    <w:p>
      <w:r>
        <w:rPr>
          <w:b w:val="0"/>
          <w:i w:val="0"/>
        </w:rPr>
        <w:t>Student; Academic Coordinator; Research Coordinator (RC); Associate Dean; Graduate School Dean; Adviser and proposed adviser; Panel chair and panel members (change of title).</w:t>
      </w:r>
    </w:p>
    <w:p>
      <w:pPr>
        <w:pStyle w:val="Heading3"/>
      </w:pPr>
      <w:r>
        <w:t>4.12.3 Trigger and preconditions</w:t>
      </w:r>
    </w:p>
    <w:p>
      <w:r>
        <w:rPr>
          <w:b/>
          <w:i w:val="0"/>
        </w:rPr>
        <w:t xml:space="preserve">Trigger. </w:t>
      </w:r>
      <w:r>
        <w:t>The student has an approved title or, earlier, wants an adviser while still taking courses.</w:t>
      </w:r>
    </w:p>
    <w:p>
      <w:r>
        <w:rPr>
          <w:b/>
          <w:i w:val="0"/>
        </w:rPr>
        <w:t>Preconditions.</w:t>
      </w:r>
    </w:p>
    <w:p>
      <w:pPr>
        <w:pStyle w:val="ListBullet"/>
        <w:spacing w:after="40"/>
      </w:pPr>
      <w:r>
        <w:t>The proposed adviser is a faculty of the University whose program is aligned with the student's program.</w:t>
      </w:r>
    </w:p>
    <w:p>
      <w:pPr>
        <w:pStyle w:val="ListBullet"/>
        <w:spacing w:after="40"/>
      </w:pPr>
      <w:r>
        <w:t>The proposed adviser is within the advisee limit.</w:t>
      </w:r>
    </w:p>
    <w:p>
      <w:pPr>
        <w:pStyle w:val="Heading3"/>
      </w:pPr>
      <w:r>
        <w:t>4.12.4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Student</w:t>
            </w:r>
          </w:p>
        </w:tc>
        <w:tc>
          <w:tcPr>
            <w:tcW w:type="dxa" w:w="4082"/>
          </w:tcPr>
          <w:p>
            <w:pPr>
              <w:pStyle w:val="TableText"/>
            </w:pPr>
            <w:r/>
            <w:r>
              <w:t>Accomplishes Form 3, Application for Designation of Research Adviser, and emails it to the Academic Coordinator.</w:t>
            </w:r>
          </w:p>
        </w:tc>
        <w:tc>
          <w:tcPr>
            <w:tcW w:type="dxa" w:w="1757"/>
          </w:tcPr>
          <w:p>
            <w:pPr>
              <w:pStyle w:val="TableText"/>
            </w:pPr>
            <w:r/>
            <w:r>
              <w:t>Form 3</w:t>
            </w:r>
          </w:p>
        </w:tc>
        <w:tc>
          <w:tcPr>
            <w:tcW w:type="dxa" w:w="1587"/>
          </w:tcPr>
          <w:p>
            <w:pPr>
              <w:pStyle w:val="TableText"/>
            </w:pPr>
            <w:r/>
            <w:r>
              <w:t>—</w:t>
            </w:r>
          </w:p>
        </w:tc>
      </w:tr>
      <w:tr>
        <w:trPr>
          <w:cantSplit w:val="true"/>
        </w:trPr>
        <w:tc>
          <w:tcPr>
            <w:tcW w:type="dxa" w:w="567"/>
          </w:tcPr>
          <w:p>
            <w:pPr>
              <w:pStyle w:val="TableText"/>
            </w:pPr>
            <w:r/>
            <w:r>
              <w:t>2</w:t>
            </w:r>
          </w:p>
        </w:tc>
        <w:tc>
          <w:tcPr>
            <w:tcW w:type="dxa" w:w="1644"/>
          </w:tcPr>
          <w:p>
            <w:pPr>
              <w:pStyle w:val="TableText"/>
            </w:pPr>
            <w:r/>
            <w:r>
              <w:t>Academic Coordinator</w:t>
            </w:r>
          </w:p>
        </w:tc>
        <w:tc>
          <w:tcPr>
            <w:tcW w:type="dxa" w:w="4082"/>
          </w:tcPr>
          <w:p>
            <w:pPr>
              <w:pStyle w:val="TableText"/>
            </w:pPr>
            <w:r/>
            <w:r>
              <w:t>Writes an email or letter to the Research Coordinator at the GS mailbox "noting" the application. The Dean's e-signature is not required at this point.</w:t>
            </w:r>
          </w:p>
        </w:tc>
        <w:tc>
          <w:tcPr>
            <w:tcW w:type="dxa" w:w="1757"/>
          </w:tcPr>
          <w:p>
            <w:pPr>
              <w:pStyle w:val="TableText"/>
            </w:pPr>
            <w:r/>
            <w:r>
              <w:t>AC note</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Research Coordinator</w:t>
            </w:r>
          </w:p>
        </w:tc>
        <w:tc>
          <w:tcPr>
            <w:tcW w:type="dxa" w:w="4082"/>
          </w:tcPr>
          <w:p>
            <w:pPr>
              <w:pStyle w:val="TableText"/>
            </w:pPr>
            <w:r/>
            <w:r>
              <w:t>Emails Form 3 to the Dean for deliberation and appropriate action. Once the adviser is decided, the Research Coordinator, the Associate Dean and the Dean affix their e-signatures.</w:t>
            </w:r>
          </w:p>
        </w:tc>
        <w:tc>
          <w:tcPr>
            <w:tcW w:type="dxa" w:w="1757"/>
          </w:tcPr>
          <w:p>
            <w:pPr>
              <w:pStyle w:val="TableText"/>
            </w:pPr>
            <w:r/>
            <w:r>
              <w:t>Form 3 signed by RC, AD, Dean</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Research Coordinator</w:t>
            </w:r>
          </w:p>
        </w:tc>
        <w:tc>
          <w:tcPr>
            <w:tcW w:type="dxa" w:w="4082"/>
          </w:tcPr>
          <w:p>
            <w:pPr>
              <w:pStyle w:val="TableText"/>
            </w:pPr>
            <w:r/>
            <w:r>
              <w:t>Emails Form 3.1, Appointment for Research Adviser, to the student and the appointed adviser.</w:t>
            </w:r>
          </w:p>
        </w:tc>
        <w:tc>
          <w:tcPr>
            <w:tcW w:type="dxa" w:w="1757"/>
          </w:tcPr>
          <w:p>
            <w:pPr>
              <w:pStyle w:val="TableText"/>
            </w:pPr>
            <w:r/>
            <w:r>
              <w:t>Form 3.1</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Student / adviser</w:t>
            </w:r>
          </w:p>
        </w:tc>
        <w:tc>
          <w:tcPr>
            <w:tcW w:type="dxa" w:w="4082"/>
          </w:tcPr>
          <w:p>
            <w:pPr>
              <w:pStyle w:val="TableText"/>
            </w:pPr>
            <w:r/>
            <w:r>
              <w:t>Email back the accomplished Form 3.1 to the Research Coordinator.</w:t>
            </w:r>
          </w:p>
        </w:tc>
        <w:tc>
          <w:tcPr>
            <w:tcW w:type="dxa" w:w="1757"/>
          </w:tcPr>
          <w:p>
            <w:pPr>
              <w:pStyle w:val="TableText"/>
            </w:pPr>
            <w:r/>
            <w:r>
              <w:t>Form 3.1 (accomplished)</w:t>
            </w:r>
          </w:p>
        </w:tc>
        <w:tc>
          <w:tcPr>
            <w:tcW w:type="dxa" w:w="1587"/>
          </w:tcPr>
          <w:p>
            <w:pPr>
              <w:pStyle w:val="TableText"/>
            </w:pPr>
            <w:r/>
            <w:r>
              <w:t>—</w:t>
            </w:r>
          </w:p>
        </w:tc>
      </w:tr>
      <w:tr>
        <w:trPr>
          <w:cantSplit w:val="true"/>
        </w:trPr>
        <w:tc>
          <w:tcPr>
            <w:tcW w:type="dxa" w:w="567"/>
          </w:tcPr>
          <w:p>
            <w:pPr>
              <w:pStyle w:val="TableText"/>
            </w:pPr>
            <w:r/>
            <w:r>
              <w:t>6</w:t>
            </w:r>
          </w:p>
        </w:tc>
        <w:tc>
          <w:tcPr>
            <w:tcW w:type="dxa" w:w="1644"/>
          </w:tcPr>
          <w:p>
            <w:pPr>
              <w:pStyle w:val="TableText"/>
            </w:pPr>
            <w:r/>
            <w:r>
              <w:t>Student and adviser</w:t>
            </w:r>
          </w:p>
        </w:tc>
        <w:tc>
          <w:tcPr>
            <w:tcW w:type="dxa" w:w="4082"/>
          </w:tcPr>
          <w:p>
            <w:pPr>
              <w:pStyle w:val="TableText"/>
            </w:pPr>
            <w:r/>
            <w:r>
              <w:t>Accomplish Form 3.2, Research Timetable, and Form 3.3, Thesis/Dissertation Advising Contract, and the student emails them to the Research Coordinator.</w:t>
            </w:r>
          </w:p>
        </w:tc>
        <w:tc>
          <w:tcPr>
            <w:tcW w:type="dxa" w:w="1757"/>
          </w:tcPr>
          <w:p>
            <w:pPr>
              <w:pStyle w:val="TableText"/>
            </w:pPr>
            <w:r/>
            <w:r>
              <w:t>Forms 3.2, 3.3</w:t>
            </w:r>
          </w:p>
        </w:tc>
        <w:tc>
          <w:tcPr>
            <w:tcW w:type="dxa" w:w="1587"/>
          </w:tcPr>
          <w:p>
            <w:pPr>
              <w:pStyle w:val="TableText"/>
            </w:pPr>
            <w:r/>
            <w:r>
              <w:t>Within 5 days of receipt of Form 3.1</w:t>
            </w:r>
          </w:p>
        </w:tc>
      </w:tr>
      <w:tr>
        <w:trPr>
          <w:cantSplit w:val="true"/>
        </w:trPr>
        <w:tc>
          <w:tcPr>
            <w:tcW w:type="dxa" w:w="567"/>
          </w:tcPr>
          <w:p>
            <w:pPr>
              <w:pStyle w:val="TableText"/>
            </w:pPr>
            <w:r/>
            <w:r>
              <w:t>7</w:t>
            </w:r>
          </w:p>
        </w:tc>
        <w:tc>
          <w:tcPr>
            <w:tcW w:type="dxa" w:w="1644"/>
          </w:tcPr>
          <w:p>
            <w:pPr>
              <w:pStyle w:val="TableText"/>
            </w:pPr>
            <w:r/>
            <w:r>
              <w:t>Student (change of title)</w:t>
            </w:r>
          </w:p>
        </w:tc>
        <w:tc>
          <w:tcPr>
            <w:tcW w:type="dxa" w:w="4082"/>
          </w:tcPr>
          <w:p>
            <w:pPr>
              <w:pStyle w:val="TableText"/>
            </w:pPr>
            <w:r/>
            <w:r>
              <w:t>Emails Form 3.4 and the new concept paper to the adviser, who endorses the request to the panel (copy to the RC). The panel deliberates and the chair emails the decision to the student, adviser and RC.</w:t>
            </w:r>
          </w:p>
        </w:tc>
        <w:tc>
          <w:tcPr>
            <w:tcW w:type="dxa" w:w="1757"/>
          </w:tcPr>
          <w:p>
            <w:pPr>
              <w:pStyle w:val="TableText"/>
            </w:pPr>
            <w:r/>
            <w:r>
              <w:t>Form 3.4; new concept paper</w:t>
            </w:r>
          </w:p>
        </w:tc>
        <w:tc>
          <w:tcPr>
            <w:tcW w:type="dxa" w:w="1587"/>
          </w:tcPr>
          <w:p>
            <w:pPr>
              <w:pStyle w:val="TableText"/>
            </w:pPr>
            <w:r/>
            <w:r>
              <w:t>Before the proposal defense application</w:t>
            </w:r>
          </w:p>
        </w:tc>
      </w:tr>
      <w:tr>
        <w:trPr>
          <w:cantSplit w:val="true"/>
        </w:trPr>
        <w:tc>
          <w:tcPr>
            <w:tcW w:type="dxa" w:w="567"/>
          </w:tcPr>
          <w:p>
            <w:pPr>
              <w:pStyle w:val="TableText"/>
            </w:pPr>
            <w:r/>
            <w:r>
              <w:t>8</w:t>
            </w:r>
          </w:p>
        </w:tc>
        <w:tc>
          <w:tcPr>
            <w:tcW w:type="dxa" w:w="1644"/>
          </w:tcPr>
          <w:p>
            <w:pPr>
              <w:pStyle w:val="TableText"/>
            </w:pPr>
            <w:r/>
            <w:r>
              <w:t>Student (change of adviser)</w:t>
            </w:r>
          </w:p>
        </w:tc>
        <w:tc>
          <w:tcPr>
            <w:tcW w:type="dxa" w:w="4082"/>
          </w:tcPr>
          <w:p>
            <w:pPr>
              <w:pStyle w:val="TableText"/>
            </w:pPr>
            <w:r/>
            <w:r>
              <w:t>Accomplishes Form 3.1.1 signed by the current and the new adviser and emails it to the Research Coordinator. The RC, Associate Dean and Dean deliberate; if approved, a new Form 3.1 is prepared.</w:t>
            </w:r>
          </w:p>
        </w:tc>
        <w:tc>
          <w:tcPr>
            <w:tcW w:type="dxa" w:w="1757"/>
          </w:tcPr>
          <w:p>
            <w:pPr>
              <w:pStyle w:val="TableText"/>
            </w:pPr>
            <w:r/>
            <w:r>
              <w:t>Form 3.1.1; new Form 3.1</w:t>
            </w:r>
          </w:p>
        </w:tc>
        <w:tc>
          <w:tcPr>
            <w:tcW w:type="dxa" w:w="1587"/>
          </w:tcPr>
          <w:p>
            <w:pPr>
              <w:pStyle w:val="TableText"/>
            </w:pPr>
            <w:r/>
            <w:r>
              <w:t>Before the proposal defense</w:t>
            </w:r>
          </w:p>
        </w:tc>
      </w:tr>
    </w:tbl>
    <w:p>
      <w:pPr>
        <w:spacing w:after="80" w:before="0"/>
      </w:pPr>
    </w:p>
    <w:p>
      <w:pPr>
        <w:pStyle w:val="Heading3"/>
      </w:pPr>
      <w:r>
        <w:t>4.12.5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ADV-01</w:t>
            </w:r>
          </w:p>
        </w:tc>
        <w:tc>
          <w:tcPr>
            <w:tcW w:type="dxa" w:w="4535"/>
          </w:tcPr>
          <w:p>
            <w:pPr>
              <w:pStyle w:val="TableText"/>
            </w:pPr>
            <w:r/>
            <w:r>
              <w:t>The research adviser must be affiliated with the University and the degree program must be aligned with the student's program.</w:t>
            </w:r>
          </w:p>
        </w:tc>
        <w:tc>
          <w:tcPr>
            <w:tcW w:type="dxa" w:w="3005"/>
          </w:tcPr>
          <w:p>
            <w:pPr>
              <w:pStyle w:val="TableText"/>
            </w:pPr>
            <w:r/>
            <w:r>
              <w:t>Handbook 2022-2023, p. 61; Research Protocol AY2024-2025, Designation of the Research Adviser, Part I, step 1</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ADV-02</w:t>
            </w:r>
          </w:p>
        </w:tc>
        <w:tc>
          <w:tcPr>
            <w:tcW w:type="dxa" w:w="4535"/>
          </w:tcPr>
          <w:p>
            <w:pPr>
              <w:pStyle w:val="TableText"/>
            </w:pPr>
            <w:r/>
            <w:r>
              <w:t>Protocol: the research adviser must have a PhD degree for PhD students and at least PhD units for MA students (CHED CMO 15), and should have a maximum of five active advisees for the current academic year.</w:t>
            </w:r>
          </w:p>
        </w:tc>
        <w:tc>
          <w:tcPr>
            <w:tcW w:type="dxa" w:w="3005"/>
          </w:tcPr>
          <w:p>
            <w:pPr>
              <w:pStyle w:val="TableText"/>
            </w:pPr>
            <w:r/>
            <w:r>
              <w:t>Research Protocol AY2024-2025, Designation of the Research Adviser, Part I, step 1 note</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ADV-03</w:t>
            </w:r>
          </w:p>
        </w:tc>
        <w:tc>
          <w:tcPr>
            <w:tcW w:type="dxa" w:w="4535"/>
          </w:tcPr>
          <w:p>
            <w:pPr>
              <w:pStyle w:val="TableText"/>
            </w:pPr>
            <w:r/>
            <w:r>
              <w:t>Handbook: the adviser shall be a faculty of the Graduate School and a holder of a doctoral degree aligned with the discipline, with at least one publication in a refereed journal or publicly recognized creative or technology outputs (CMO 15 s. 2019).</w:t>
            </w:r>
          </w:p>
        </w:tc>
        <w:tc>
          <w:tcPr>
            <w:tcW w:type="dxa" w:w="3005"/>
          </w:tcPr>
          <w:p>
            <w:pPr>
              <w:pStyle w:val="TableText"/>
            </w:pPr>
            <w:r/>
            <w:r>
              <w:t>Handbook 2022-2023, p. 58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ADV-04</w:t>
            </w:r>
          </w:p>
        </w:tc>
        <w:tc>
          <w:tcPr>
            <w:tcW w:type="dxa" w:w="4535"/>
          </w:tcPr>
          <w:p>
            <w:pPr>
              <w:pStyle w:val="TableText"/>
            </w:pPr>
            <w:r/>
            <w:r>
              <w:t>In the exigency of service a faculty member may have more than five advisees with the approval of the Dean.</w:t>
            </w:r>
          </w:p>
        </w:tc>
        <w:tc>
          <w:tcPr>
            <w:tcW w:type="dxa" w:w="3005"/>
          </w:tcPr>
          <w:p>
            <w:pPr>
              <w:pStyle w:val="TableText"/>
            </w:pPr>
            <w:r/>
            <w:r>
              <w:t>Handbook 2022-2023, p. 58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ADV-05</w:t>
            </w:r>
          </w:p>
        </w:tc>
        <w:tc>
          <w:tcPr>
            <w:tcW w:type="dxa" w:w="4535"/>
          </w:tcPr>
          <w:p>
            <w:pPr>
              <w:pStyle w:val="TableText"/>
            </w:pPr>
            <w:r/>
            <w:r>
              <w:t>The student may express a preference, but the Dean, the Associate Dean and the Research Coordinator make the final decision based on the degree, expertise, research work, number of advisees (maximum five per semester) and total workload of the faculty member.</w:t>
            </w:r>
          </w:p>
        </w:tc>
        <w:tc>
          <w:tcPr>
            <w:tcW w:type="dxa" w:w="3005"/>
          </w:tcPr>
          <w:p>
            <w:pPr>
              <w:pStyle w:val="TableText"/>
            </w:pPr>
            <w:r/>
            <w:r>
              <w:t>Handbook 2022-2023, p. 59</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ADV-06</w:t>
            </w:r>
          </w:p>
        </w:tc>
        <w:tc>
          <w:tcPr>
            <w:tcW w:type="dxa" w:w="4535"/>
          </w:tcPr>
          <w:p>
            <w:pPr>
              <w:pStyle w:val="TableText"/>
            </w:pPr>
            <w:r/>
            <w:r>
              <w:t>The choice of adviser gives primary importance to the student's choice with the approval of the program adviser and the Dean; the Dean appoints the adviser on the basis of expertise in the student's topic following the Research Protocol.</w:t>
            </w:r>
          </w:p>
        </w:tc>
        <w:tc>
          <w:tcPr>
            <w:tcW w:type="dxa" w:w="3005"/>
          </w:tcPr>
          <w:p>
            <w:pPr>
              <w:pStyle w:val="TableText"/>
            </w:pPr>
            <w:r/>
            <w:r>
              <w:t>Handbook 2022-2023, p. 58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ADV-07</w:t>
            </w:r>
          </w:p>
        </w:tc>
        <w:tc>
          <w:tcPr>
            <w:tcW w:type="dxa" w:w="4535"/>
          </w:tcPr>
          <w:p>
            <w:pPr>
              <w:pStyle w:val="TableText"/>
            </w:pPr>
            <w:r/>
            <w:r>
              <w:t>Faculty of other universities may serve as adviser in some circumstances if they are adjunct faculty of the Graduate School.</w:t>
            </w:r>
          </w:p>
        </w:tc>
        <w:tc>
          <w:tcPr>
            <w:tcW w:type="dxa" w:w="3005"/>
          </w:tcPr>
          <w:p>
            <w:pPr>
              <w:pStyle w:val="TableText"/>
            </w:pPr>
            <w:r/>
            <w:r>
              <w:t>Handbook 2022-2023, p. 58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ADV-08</w:t>
            </w:r>
          </w:p>
        </w:tc>
        <w:tc>
          <w:tcPr>
            <w:tcW w:type="dxa" w:w="4535"/>
          </w:tcPr>
          <w:p>
            <w:pPr>
              <w:pStyle w:val="TableText"/>
            </w:pPr>
            <w:r/>
            <w:r>
              <w:t>The assignment of an adviser may be done while the student is still taking academic courses.</w:t>
            </w:r>
          </w:p>
        </w:tc>
        <w:tc>
          <w:tcPr>
            <w:tcW w:type="dxa" w:w="3005"/>
          </w:tcPr>
          <w:p>
            <w:pPr>
              <w:pStyle w:val="TableText"/>
            </w:pPr>
            <w:r/>
            <w:r>
              <w:t>Handbook 2022-2023, p. 58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ADV-09</w:t>
            </w:r>
          </w:p>
        </w:tc>
        <w:tc>
          <w:tcPr>
            <w:tcW w:type="dxa" w:w="4535"/>
          </w:tcPr>
          <w:p>
            <w:pPr>
              <w:pStyle w:val="TableText"/>
            </w:pPr>
            <w:r/>
            <w:r>
              <w:t>Form 3 is emailed by the student to the Academic Coordinator, who notes it to the Research Coordinator; the Dean's e-signature is not required at that point; the Research Coordinator emails Form 3 to the Dean; the Research Coordinator, the Associate Dean and the Dean sign; the Research Coordinator emails Form 3.1 to the student and adviser, who email the accomplished form back.</w:t>
            </w:r>
          </w:p>
        </w:tc>
        <w:tc>
          <w:tcPr>
            <w:tcW w:type="dxa" w:w="3005"/>
          </w:tcPr>
          <w:p>
            <w:pPr>
              <w:pStyle w:val="TableText"/>
            </w:pPr>
            <w:r/>
            <w:r>
              <w:t>Handbook 2022-2023, p. 61; Research Protocol AY2024-2025, Designation of the Research Adviser, Part I, steps 2-5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ADV-10</w:t>
            </w:r>
          </w:p>
        </w:tc>
        <w:tc>
          <w:tcPr>
            <w:tcW w:type="dxa" w:w="4535"/>
          </w:tcPr>
          <w:p>
            <w:pPr>
              <w:pStyle w:val="TableText"/>
            </w:pPr>
            <w:r/>
            <w:r>
              <w:t>The advisee and adviser accomplish Form 3.2 and Form 3.3; the student emails them to the Research Coordinator within five days of receipt of Form 3.1.</w:t>
            </w:r>
          </w:p>
        </w:tc>
        <w:tc>
          <w:tcPr>
            <w:tcW w:type="dxa" w:w="3005"/>
          </w:tcPr>
          <w:p>
            <w:pPr>
              <w:pStyle w:val="TableText"/>
            </w:pPr>
            <w:r/>
            <w:r>
              <w:t>Handbook 2022-2023, pp. 61-62; Research Protocol AY2024-2025, Designation of the Research Adviser, Part II</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ADV-11</w:t>
            </w:r>
          </w:p>
        </w:tc>
        <w:tc>
          <w:tcPr>
            <w:tcW w:type="dxa" w:w="4535"/>
          </w:tcPr>
          <w:p>
            <w:pPr>
              <w:pStyle w:val="TableText"/>
            </w:pPr>
            <w:r/>
            <w:r>
              <w:t>The adviser is bound only to advising and shall not be selected as editor of the student or to any other appointment related to the conduct of the study.</w:t>
            </w:r>
          </w:p>
        </w:tc>
        <w:tc>
          <w:tcPr>
            <w:tcW w:type="dxa" w:w="3005"/>
          </w:tcPr>
          <w:p>
            <w:pPr>
              <w:pStyle w:val="TableText"/>
            </w:pPr>
            <w:r/>
            <w:r>
              <w:t>Handbook 2022-2023, p. 59</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ADV-12</w:t>
            </w:r>
          </w:p>
        </w:tc>
        <w:tc>
          <w:tcPr>
            <w:tcW w:type="dxa" w:w="4535"/>
          </w:tcPr>
          <w:p>
            <w:pPr>
              <w:pStyle w:val="TableText"/>
            </w:pPr>
            <w:r/>
            <w:r>
              <w:t>The adviser monitors the research according to the timetable in Form 3.2, reviews submitted proposals, questionnaires and chapters, gives technical and moral guidance, conducts a mock defense when necessary, attends the defense of the advisee, attends orientations set by the Graduate School, and adheres to the Research Protocol.</w:t>
            </w:r>
          </w:p>
        </w:tc>
        <w:tc>
          <w:tcPr>
            <w:tcW w:type="dxa" w:w="3005"/>
          </w:tcPr>
          <w:p>
            <w:pPr>
              <w:pStyle w:val="TableText"/>
            </w:pPr>
            <w:r/>
            <w:r>
              <w:t>Handbook 2022-2023, p. 59</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ADV-13</w:t>
            </w:r>
          </w:p>
        </w:tc>
        <w:tc>
          <w:tcPr>
            <w:tcW w:type="dxa" w:w="4535"/>
          </w:tcPr>
          <w:p>
            <w:pPr>
              <w:pStyle w:val="TableText"/>
            </w:pPr>
            <w:r/>
            <w:r>
              <w:t>A student may make only one request to change the title of the study, before the proposal defense application: Form 3.4 and the new concept paper go to the adviser, who endorses the request to the panel; the panel deliberates and the chair emails the decision.</w:t>
            </w:r>
          </w:p>
        </w:tc>
        <w:tc>
          <w:tcPr>
            <w:tcW w:type="dxa" w:w="3005"/>
          </w:tcPr>
          <w:p>
            <w:pPr>
              <w:pStyle w:val="TableText"/>
            </w:pPr>
            <w:r/>
            <w:r>
              <w:t>Handbook 2022-2023, p. 62; Research Protocol AY2024-2025, Change of Title of the Study</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ADV-14</w:t>
            </w:r>
          </w:p>
        </w:tc>
        <w:tc>
          <w:tcPr>
            <w:tcW w:type="dxa" w:w="4535"/>
          </w:tcPr>
          <w:p>
            <w:pPr>
              <w:pStyle w:val="TableText"/>
            </w:pPr>
            <w:r/>
            <w:r>
              <w:t>A student may make only one request to change the research adviser, before the proposal defense, for justifiable reasons: Form 3.1.1 signed by the current and new adviser, deliberated by the Research Coordinator, Associate Dean and Dean; then a new Form 3.1.</w:t>
            </w:r>
          </w:p>
        </w:tc>
        <w:tc>
          <w:tcPr>
            <w:tcW w:type="dxa" w:w="3005"/>
          </w:tcPr>
          <w:p>
            <w:pPr>
              <w:pStyle w:val="TableText"/>
            </w:pPr>
            <w:r/>
            <w:r>
              <w:t>Handbook 2022-2023, p. 62; Research Protocol AY2024-2025, Request for Change of Research Adviser</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ADV-15</w:t>
            </w:r>
          </w:p>
        </w:tc>
        <w:tc>
          <w:tcPr>
            <w:tcW w:type="dxa" w:w="4535"/>
          </w:tcPr>
          <w:p>
            <w:pPr>
              <w:pStyle w:val="TableText"/>
            </w:pPr>
            <w:r/>
            <w:r>
              <w:t>An adviser designated before the effectivity of his or her retirement may continue to serve until the final defense.</w:t>
            </w:r>
          </w:p>
        </w:tc>
        <w:tc>
          <w:tcPr>
            <w:tcW w:type="dxa" w:w="3005"/>
          </w:tcPr>
          <w:p>
            <w:pPr>
              <w:pStyle w:val="TableText"/>
            </w:pPr>
            <w:r/>
            <w:r>
              <w:t>Handbook 2022-2023, p. 58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ADV-16</w:t>
            </w:r>
          </w:p>
        </w:tc>
        <w:tc>
          <w:tcPr>
            <w:tcW w:type="dxa" w:w="4535"/>
          </w:tcPr>
          <w:p>
            <w:pPr>
              <w:pStyle w:val="TableText"/>
            </w:pPr>
            <w:r/>
            <w:r>
              <w:t>The student needs to propose three faculty as adviser options.</w:t>
            </w:r>
          </w:p>
        </w:tc>
        <w:tc>
          <w:tcPr>
            <w:tcW w:type="dxa" w:w="3005"/>
          </w:tcPr>
          <w:p>
            <w:pPr>
              <w:pStyle w:val="TableText"/>
            </w:pPr>
            <w:r/>
            <w:r>
              <w:t>Consultation 21 July 2026, Associate Dean's description</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ADV-17</w:t>
            </w:r>
          </w:p>
        </w:tc>
        <w:tc>
          <w:tcPr>
            <w:tcW w:type="dxa" w:w="4535"/>
          </w:tcPr>
          <w:p>
            <w:pPr>
              <w:pStyle w:val="TableText"/>
            </w:pPr>
            <w:r/>
            <w:r>
              <w:t>Each nominated faculty member may accept or decline the nomination (the Associate Dean suggested that the platform should offer this; it does not yet); the student and the Graduate School then choose among those who accept.</w:t>
            </w:r>
          </w:p>
        </w:tc>
        <w:tc>
          <w:tcPr>
            <w:tcW w:type="dxa" w:w="3005"/>
          </w:tcPr>
          <w:p>
            <w:pPr>
              <w:pStyle w:val="TableText"/>
            </w:pPr>
            <w:r/>
            <w:r>
              <w:t>Consultation 21 July 2026, Associate Dean's suggestion</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ADV-18</w:t>
            </w:r>
          </w:p>
        </w:tc>
        <w:tc>
          <w:tcPr>
            <w:tcW w:type="dxa" w:w="4535"/>
          </w:tcPr>
          <w:p>
            <w:pPr>
              <w:pStyle w:val="TableText"/>
            </w:pPr>
            <w:r/>
            <w:r>
              <w:t>Adviser-dependent steps (adviser signature, endorsement, document review, availability in scheduling) cannot be completed until an adviser is designated.</w:t>
            </w:r>
          </w:p>
        </w:tc>
        <w:tc>
          <w:tcPr>
            <w:tcW w:type="dxa" w:w="3005"/>
          </w:tcPr>
          <w:p>
            <w:pPr>
              <w:pStyle w:val="TableText"/>
            </w:pPr>
            <w:r/>
            <w:r>
              <w:t>Group working notes, July 20 checklist, item 43</w:t>
            </w:r>
          </w:p>
        </w:tc>
        <w:tc>
          <w:tcPr>
            <w:tcW w:type="dxa" w:w="1191"/>
            <w:shd w:val="clear" w:color="auto" w:fill="DDEBF7"/>
          </w:tcPr>
          <w:p>
            <w:pPr>
              <w:pStyle w:val="TableText"/>
            </w:pPr>
            <w:r>
              <w:rPr>
                <w:b/>
              </w:rPr>
            </w:r>
            <w:r>
              <w:rPr>
                <w:b/>
              </w:rPr>
              <w:t>Proposed</w:t>
            </w:r>
          </w:p>
        </w:tc>
      </w:tr>
    </w:tbl>
    <w:p>
      <w:pPr>
        <w:spacing w:after="80" w:before="0"/>
      </w:pPr>
    </w:p>
    <w:p>
      <w:pPr>
        <w:pStyle w:val="Heading3"/>
      </w:pPr>
      <w:r>
        <w:t>4.12.6 Exceptions and unusual cases</w:t>
      </w:r>
    </w:p>
    <w:p>
      <w:pPr>
        <w:pStyle w:val="ListBullet"/>
        <w:spacing w:after="40"/>
      </w:pPr>
      <w:r>
        <w:t>The proposed adviser is over the advisee limit: the Dean may approve more than five in the exigency of service (ADV-04); the Handbook says five per semester and the Protocol five active advisees per academic year (OQ-20).</w:t>
      </w:r>
    </w:p>
    <w:p>
      <w:pPr>
        <w:pStyle w:val="ListBullet"/>
        <w:spacing w:after="40"/>
      </w:pPr>
      <w:r>
        <w:t>The student wants a second change of title or adviser: the Protocol allows only one of each and only before the proposal defense (ADV-13, ADV-14).</w:t>
      </w:r>
    </w:p>
    <w:p>
      <w:pPr>
        <w:pStyle w:val="ListBullet"/>
        <w:spacing w:after="40"/>
      </w:pPr>
      <w:r>
        <w:t>The adviser is unavailable or leaves the University: not stated in the sources, apart from retirement (ADV-15).</w:t>
      </w:r>
    </w:p>
    <w:p>
      <w:pPr>
        <w:pStyle w:val="Heading3"/>
      </w:pPr>
      <w:r>
        <w:t>4.12.7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Forms 3 and 3.1 with e-signatures</w:t>
            </w:r>
          </w:p>
        </w:tc>
        <w:tc>
          <w:tcPr>
            <w:tcW w:type="dxa" w:w="5102"/>
          </w:tcPr>
          <w:p>
            <w:pPr>
              <w:pStyle w:val="TableText"/>
            </w:pPr>
            <w:r/>
            <w:r>
              <w:t>Research Coordinator; research monitoring workbook (research adviser)</w:t>
            </w:r>
          </w:p>
        </w:tc>
      </w:tr>
      <w:tr>
        <w:trPr>
          <w:cantSplit w:val="true"/>
        </w:trPr>
        <w:tc>
          <w:tcPr>
            <w:tcW w:type="dxa" w:w="4535"/>
          </w:tcPr>
          <w:p>
            <w:pPr>
              <w:pStyle w:val="TableText"/>
            </w:pPr>
            <w:r/>
            <w:r>
              <w:t>Forms 3.2 and 3.3</w:t>
            </w:r>
          </w:p>
        </w:tc>
        <w:tc>
          <w:tcPr>
            <w:tcW w:type="dxa" w:w="5102"/>
          </w:tcPr>
          <w:p>
            <w:pPr>
              <w:pStyle w:val="TableText"/>
            </w:pPr>
            <w:r/>
            <w:r>
              <w:t>Research Coordinator</w:t>
            </w:r>
          </w:p>
        </w:tc>
      </w:tr>
      <w:tr>
        <w:trPr>
          <w:cantSplit w:val="true"/>
        </w:trPr>
        <w:tc>
          <w:tcPr>
            <w:tcW w:type="dxa" w:w="4535"/>
          </w:tcPr>
          <w:p>
            <w:pPr>
              <w:pStyle w:val="TableText"/>
            </w:pPr>
            <w:r/>
            <w:r>
              <w:t>Forms 3.4 and 3.1.1 and the decisions</w:t>
            </w:r>
          </w:p>
        </w:tc>
        <w:tc>
          <w:tcPr>
            <w:tcW w:type="dxa" w:w="5102"/>
          </w:tcPr>
          <w:p>
            <w:pPr>
              <w:pStyle w:val="TableText"/>
            </w:pPr>
            <w:r/>
            <w:r>
              <w:t>Research Coordinator</w:t>
            </w:r>
          </w:p>
        </w:tc>
      </w:tr>
    </w:tbl>
    <w:p>
      <w:pPr>
        <w:spacing w:after="80" w:before="0"/>
      </w:pPr>
    </w:p>
    <w:p>
      <w:pPr>
        <w:pStyle w:val="Heading3"/>
      </w:pPr>
      <w:r>
        <w:t>4.12.8 How the platform supports this process</w:t>
      </w:r>
    </w:p>
    <w:p>
      <w:r>
        <w:rPr>
          <w:b w:val="0"/>
          <w:i w:val="0"/>
        </w:rPr>
        <w:t>The platform does not run the adviser designation process. Form 3 and its companion forms (3.1, 3.2, 3.3, 3.4 and 3.1.1), the nomination of three faculty, the signatures of the Research Coordinator, the Associate Dean and the Dean, and the changes of title and of adviser all happen outside it. The adviser appears in the platform as a name on the student's record, set by GS staff when the monitoring record is created or corrected (a correction needs a recorded reason) and linked to the adviser's faculty login. From then on the platform uses the adviser in four ways. The adviser signs on screen the exact manuscript that the student uploaded, the Form 4 endorsements and the final manuscript; confirms minor revisions; is counted in the availability needed to book a defense; and can never sit on the same student's panel. Without the adviser's signature the proposal and final stages cannot be completed, although staff can still book a defense with a recorded reason.</w:t>
      </w:r>
    </w:p>
    <w:p>
      <w:r>
        <w:rPr>
          <w:b/>
          <w:i w:val="0"/>
        </w:rPr>
        <w:t xml:space="preserve">Difference between the platform and the rule. </w:t>
      </w:r>
      <w:r>
        <w:t>The platform does not count an adviser's advisees, does not check the adviser's qualifications (CMO 15, doctoral degree, publication) and does not enforce the one-change limits for title and adviser. The register holds the five-advisee limit as a documented rule only (ADV-02, ADV-04, ADV-05, ADV-13, ADV-14). Who finally approves an adviser, and the advisee limit, differ between the Handbook and the Protocol (OQ-19, OQ-20). The three-nominee practice and the step in which each faculty member accepts or declines (ADV-16, ADV-17) are not built (OQ-21).</w:t>
      </w:r>
    </w:p>
    <w:p>
      <w:pPr>
        <w:pStyle w:val="Heading2"/>
        <w:spacing w:before="360"/>
      </w:pPr>
      <w:r>
        <w:t>4.13 Proposal defense and ethics review</w:t>
      </w:r>
    </w:p>
    <w:p>
      <w:pPr>
        <w:pStyle w:val="Heading3"/>
      </w:pPr>
      <w:r>
        <w:t>4.13.1 Purpose</w:t>
      </w:r>
    </w:p>
    <w:p>
      <w:r>
        <w:rPr>
          <w:b w:val="0"/>
          <w:i w:val="0"/>
        </w:rPr>
        <w:t>To have the student's research proposal examined by a panel and, after revisions, to obtain the technical review certificate and ethics clearance that precede the final defense.</w:t>
      </w:r>
    </w:p>
    <w:p>
      <w:pPr>
        <w:pStyle w:val="Heading3"/>
      </w:pPr>
      <w:r>
        <w:t>4.13.2 Who is involved</w:t>
      </w:r>
    </w:p>
    <w:p>
      <w:r>
        <w:rPr>
          <w:b w:val="0"/>
          <w:i w:val="0"/>
        </w:rPr>
        <w:t>Student; Statistician; Research adviser; Research Coordinator; GS Research Committee; Panel chair and panel members (including the external panel); Research ethics office; GS Office.</w:t>
      </w:r>
    </w:p>
    <w:p>
      <w:pPr>
        <w:pStyle w:val="Heading3"/>
      </w:pPr>
      <w:r>
        <w:t>4.13.3 Trigger and preconditions</w:t>
      </w:r>
    </w:p>
    <w:p>
      <w:r>
        <w:rPr>
          <w:b/>
          <w:i w:val="0"/>
        </w:rPr>
        <w:t xml:space="preserve">Trigger. </w:t>
      </w:r>
      <w:r>
        <w:t>The student has an adviser and a proposal paper that complies with the Graduate School's research paper guidelines.</w:t>
      </w:r>
    </w:p>
    <w:p>
      <w:r>
        <w:rPr>
          <w:b/>
          <w:i w:val="0"/>
        </w:rPr>
        <w:t>Preconditions.</w:t>
      </w:r>
    </w:p>
    <w:p>
      <w:pPr>
        <w:pStyle w:val="ListBullet"/>
        <w:spacing w:after="40"/>
      </w:pPr>
      <w:r>
        <w:t>One year from the title defense has not passed (TTL-09).</w:t>
      </w:r>
    </w:p>
    <w:p>
      <w:pPr>
        <w:pStyle w:val="ListBullet"/>
        <w:spacing w:after="40"/>
      </w:pPr>
      <w:r>
        <w:t>The student has consulted a statistician (quantitative studies).</w:t>
      </w:r>
    </w:p>
    <w:p>
      <w:pPr>
        <w:pStyle w:val="ListBullet"/>
        <w:spacing w:after="40"/>
      </w:pPr>
      <w:r>
        <w:t>An adviser is designated (ADV-18).</w:t>
      </w:r>
    </w:p>
    <w:p>
      <w:pPr>
        <w:pStyle w:val="Heading3"/>
      </w:pPr>
      <w:r>
        <w:t>4.13.4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Student</w:t>
            </w:r>
          </w:p>
        </w:tc>
        <w:tc>
          <w:tcPr>
            <w:tcW w:type="dxa" w:w="4082"/>
          </w:tcPr>
          <w:p>
            <w:pPr>
              <w:pStyle w:val="TableText"/>
            </w:pPr>
            <w:r/>
            <w:r>
              <w:t>Consults a statistician (quantitative studies) and obtains the accomplished Form 4.1, Statistical Consultation Form. Form 4.1 is not required for qualitative studies.</w:t>
            </w:r>
          </w:p>
        </w:tc>
        <w:tc>
          <w:tcPr>
            <w:tcW w:type="dxa" w:w="1757"/>
          </w:tcPr>
          <w:p>
            <w:pPr>
              <w:pStyle w:val="TableText"/>
            </w:pPr>
            <w:r/>
            <w:r>
              <w:t>Form 4.1</w:t>
            </w:r>
          </w:p>
        </w:tc>
        <w:tc>
          <w:tcPr>
            <w:tcW w:type="dxa" w:w="1587"/>
          </w:tcPr>
          <w:p>
            <w:pPr>
              <w:pStyle w:val="TableText"/>
            </w:pPr>
            <w:r/>
            <w:r>
              <w:t>Before the proposal defense</w:t>
            </w:r>
          </w:p>
        </w:tc>
      </w:tr>
      <w:tr>
        <w:trPr>
          <w:cantSplit w:val="true"/>
        </w:trPr>
        <w:tc>
          <w:tcPr>
            <w:tcW w:type="dxa" w:w="567"/>
          </w:tcPr>
          <w:p>
            <w:pPr>
              <w:pStyle w:val="TableText"/>
            </w:pPr>
            <w:r/>
            <w:r>
              <w:t>2</w:t>
            </w:r>
          </w:p>
        </w:tc>
        <w:tc>
          <w:tcPr>
            <w:tcW w:type="dxa" w:w="1644"/>
          </w:tcPr>
          <w:p>
            <w:pPr>
              <w:pStyle w:val="TableText"/>
            </w:pPr>
            <w:r/>
            <w:r>
              <w:t>Student</w:t>
            </w:r>
          </w:p>
        </w:tc>
        <w:tc>
          <w:tcPr>
            <w:tcW w:type="dxa" w:w="4082"/>
          </w:tcPr>
          <w:p>
            <w:pPr>
              <w:pStyle w:val="TableText"/>
            </w:pPr>
            <w:r/>
            <w:r>
              <w:t>Emails the adviser the proposal paper and Form 4.1.</w:t>
            </w:r>
          </w:p>
        </w:tc>
        <w:tc>
          <w:tcPr>
            <w:tcW w:type="dxa" w:w="1757"/>
          </w:tcPr>
          <w:p>
            <w:pPr>
              <w:pStyle w:val="TableText"/>
            </w:pPr>
            <w:r/>
            <w:r>
              <w:t>Proposal paper; Form 4.1</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Research adviser</w:t>
            </w:r>
          </w:p>
        </w:tc>
        <w:tc>
          <w:tcPr>
            <w:tcW w:type="dxa" w:w="4082"/>
          </w:tcPr>
          <w:p>
            <w:pPr>
              <w:pStyle w:val="TableText"/>
            </w:pPr>
            <w:r/>
            <w:r>
              <w:t>Reviews the manuscript and, once it complies with the Graduate School's research paper guidelines, accomplishes Form 4, Endorsement for Proposal/Final Defense, with e-signature.</w:t>
            </w:r>
          </w:p>
        </w:tc>
        <w:tc>
          <w:tcPr>
            <w:tcW w:type="dxa" w:w="1757"/>
          </w:tcPr>
          <w:p>
            <w:pPr>
              <w:pStyle w:val="TableText"/>
            </w:pPr>
            <w:r/>
            <w:r>
              <w:t>Form 4</w:t>
            </w:r>
          </w:p>
        </w:tc>
        <w:tc>
          <w:tcPr>
            <w:tcW w:type="dxa" w:w="1587"/>
          </w:tcPr>
          <w:p>
            <w:pPr>
              <w:pStyle w:val="TableText"/>
            </w:pPr>
            <w:r/>
            <w:r>
              <w:t>At least 2 weeks before the date of the defense</w:t>
            </w:r>
          </w:p>
        </w:tc>
      </w:tr>
      <w:tr>
        <w:trPr>
          <w:cantSplit w:val="true"/>
        </w:trPr>
        <w:tc>
          <w:tcPr>
            <w:tcW w:type="dxa" w:w="567"/>
          </w:tcPr>
          <w:p>
            <w:pPr>
              <w:pStyle w:val="TableText"/>
            </w:pPr>
            <w:r/>
            <w:r>
              <w:t>4</w:t>
            </w:r>
          </w:p>
        </w:tc>
        <w:tc>
          <w:tcPr>
            <w:tcW w:type="dxa" w:w="1644"/>
          </w:tcPr>
          <w:p>
            <w:pPr>
              <w:pStyle w:val="TableText"/>
            </w:pPr>
            <w:r/>
            <w:r>
              <w:t>Student (optional)</w:t>
            </w:r>
          </w:p>
        </w:tc>
        <w:tc>
          <w:tcPr>
            <w:tcW w:type="dxa" w:w="4082"/>
          </w:tcPr>
          <w:p>
            <w:pPr>
              <w:pStyle w:val="TableText"/>
            </w:pPr>
            <w:r/>
            <w:r>
              <w:t>Submits Form 4.2, Co-authorship Information for Publication, if the student will have a co-author.</w:t>
            </w:r>
          </w:p>
        </w:tc>
        <w:tc>
          <w:tcPr>
            <w:tcW w:type="dxa" w:w="1757"/>
          </w:tcPr>
          <w:p>
            <w:pPr>
              <w:pStyle w:val="TableText"/>
            </w:pPr>
            <w:r/>
            <w:r>
              <w:t>Form 4.2</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Research adviser</w:t>
            </w:r>
          </w:p>
        </w:tc>
        <w:tc>
          <w:tcPr>
            <w:tcW w:type="dxa" w:w="4082"/>
          </w:tcPr>
          <w:p>
            <w:pPr>
              <w:pStyle w:val="TableText"/>
            </w:pPr>
            <w:r/>
            <w:r>
              <w:t>Recommends the preferred external panel, whose expertise is aligned with the student's. The recommendation is subject to the approval of the GS Research Committee (Protocol) or the GS office (Handbook).</w:t>
            </w:r>
          </w:p>
        </w:tc>
        <w:tc>
          <w:tcPr>
            <w:tcW w:type="dxa" w:w="1757"/>
          </w:tcPr>
          <w:p>
            <w:pPr>
              <w:pStyle w:val="TableText"/>
            </w:pPr>
            <w:r/>
            <w:r>
              <w:t>Recommendation</w:t>
            </w:r>
          </w:p>
        </w:tc>
        <w:tc>
          <w:tcPr>
            <w:tcW w:type="dxa" w:w="1587"/>
          </w:tcPr>
          <w:p>
            <w:pPr>
              <w:pStyle w:val="TableText"/>
            </w:pPr>
            <w:r/>
            <w:r>
              <w:t>—</w:t>
            </w:r>
          </w:p>
        </w:tc>
      </w:tr>
      <w:tr>
        <w:trPr>
          <w:cantSplit w:val="true"/>
        </w:trPr>
        <w:tc>
          <w:tcPr>
            <w:tcW w:type="dxa" w:w="567"/>
          </w:tcPr>
          <w:p>
            <w:pPr>
              <w:pStyle w:val="TableText"/>
            </w:pPr>
            <w:r/>
            <w:r>
              <w:t>6</w:t>
            </w:r>
          </w:p>
        </w:tc>
        <w:tc>
          <w:tcPr>
            <w:tcW w:type="dxa" w:w="1644"/>
          </w:tcPr>
          <w:p>
            <w:pPr>
              <w:pStyle w:val="TableText"/>
            </w:pPr>
            <w:r/>
            <w:r>
              <w:t>Student and adviser</w:t>
            </w:r>
          </w:p>
        </w:tc>
        <w:tc>
          <w:tcPr>
            <w:tcW w:type="dxa" w:w="4082"/>
          </w:tcPr>
          <w:p>
            <w:pPr>
              <w:pStyle w:val="TableText"/>
            </w:pPr>
            <w:r/>
            <w:r>
              <w:t>Agree with the panel members on the date and time, indicate the agreed schedule in Form 4, and give the panel the manuscript and Form 4.1.</w:t>
            </w:r>
          </w:p>
        </w:tc>
        <w:tc>
          <w:tcPr>
            <w:tcW w:type="dxa" w:w="1757"/>
          </w:tcPr>
          <w:p>
            <w:pPr>
              <w:pStyle w:val="TableText"/>
            </w:pPr>
            <w:r/>
            <w:r>
              <w:t>Form 4 (schedule)</w:t>
            </w:r>
          </w:p>
        </w:tc>
        <w:tc>
          <w:tcPr>
            <w:tcW w:type="dxa" w:w="1587"/>
          </w:tcPr>
          <w:p>
            <w:pPr>
              <w:pStyle w:val="TableText"/>
            </w:pPr>
            <w:r/>
            <w:r>
              <w:t>Panel has two weeks to review before the defense</w:t>
            </w:r>
          </w:p>
        </w:tc>
      </w:tr>
      <w:tr>
        <w:trPr>
          <w:cantSplit w:val="true"/>
        </w:trPr>
        <w:tc>
          <w:tcPr>
            <w:tcW w:type="dxa" w:w="567"/>
          </w:tcPr>
          <w:p>
            <w:pPr>
              <w:pStyle w:val="TableText"/>
            </w:pPr>
            <w:r/>
            <w:r>
              <w:t>7</w:t>
            </w:r>
          </w:p>
        </w:tc>
        <w:tc>
          <w:tcPr>
            <w:tcW w:type="dxa" w:w="1644"/>
          </w:tcPr>
          <w:p>
            <w:pPr>
              <w:pStyle w:val="TableText"/>
            </w:pPr>
            <w:r/>
            <w:r>
              <w:t>Research adviser</w:t>
            </w:r>
          </w:p>
        </w:tc>
        <w:tc>
          <w:tcPr>
            <w:tcW w:type="dxa" w:w="4082"/>
          </w:tcPr>
          <w:p>
            <w:pPr>
              <w:pStyle w:val="TableText"/>
            </w:pPr>
            <w:r/>
            <w:r>
              <w:t>Emails Form 4, the proposal paper and Form 4.1 to the Research Coordinator.</w:t>
            </w:r>
          </w:p>
        </w:tc>
        <w:tc>
          <w:tcPr>
            <w:tcW w:type="dxa" w:w="1757"/>
          </w:tcPr>
          <w:p>
            <w:pPr>
              <w:pStyle w:val="TableText"/>
            </w:pPr>
            <w:r/>
            <w:r>
              <w:t>Form 4</w:t>
            </w:r>
          </w:p>
        </w:tc>
        <w:tc>
          <w:tcPr>
            <w:tcW w:type="dxa" w:w="1587"/>
          </w:tcPr>
          <w:p>
            <w:pPr>
              <w:pStyle w:val="TableText"/>
            </w:pPr>
            <w:r/>
            <w:r>
              <w:t>—</w:t>
            </w:r>
          </w:p>
        </w:tc>
      </w:tr>
      <w:tr>
        <w:trPr>
          <w:cantSplit w:val="true"/>
        </w:trPr>
        <w:tc>
          <w:tcPr>
            <w:tcW w:type="dxa" w:w="567"/>
          </w:tcPr>
          <w:p>
            <w:pPr>
              <w:pStyle w:val="TableText"/>
            </w:pPr>
            <w:r/>
            <w:r>
              <w:t>8</w:t>
            </w:r>
          </w:p>
        </w:tc>
        <w:tc>
          <w:tcPr>
            <w:tcW w:type="dxa" w:w="1644"/>
          </w:tcPr>
          <w:p>
            <w:pPr>
              <w:pStyle w:val="TableText"/>
            </w:pPr>
            <w:r/>
            <w:r>
              <w:t>Research Coordinator</w:t>
            </w:r>
          </w:p>
        </w:tc>
        <w:tc>
          <w:tcPr>
            <w:tcW w:type="dxa" w:w="4082"/>
          </w:tcPr>
          <w:p>
            <w:pPr>
              <w:pStyle w:val="TableText"/>
            </w:pPr>
            <w:r/>
            <w:r>
              <w:t>Emails the manuscript, Form 4.1 and Form 5, Comments Sheet for Proposal Defense, to the panel, adviser and student.</w:t>
            </w:r>
          </w:p>
        </w:tc>
        <w:tc>
          <w:tcPr>
            <w:tcW w:type="dxa" w:w="1757"/>
          </w:tcPr>
          <w:p>
            <w:pPr>
              <w:pStyle w:val="TableText"/>
            </w:pPr>
            <w:r/>
            <w:r>
              <w:t>Form 5 (blank)</w:t>
            </w:r>
          </w:p>
        </w:tc>
        <w:tc>
          <w:tcPr>
            <w:tcW w:type="dxa" w:w="1587"/>
          </w:tcPr>
          <w:p>
            <w:pPr>
              <w:pStyle w:val="TableText"/>
            </w:pPr>
            <w:r/>
            <w:r>
              <w:t>—</w:t>
            </w:r>
          </w:p>
        </w:tc>
      </w:tr>
      <w:tr>
        <w:trPr>
          <w:cantSplit w:val="true"/>
        </w:trPr>
        <w:tc>
          <w:tcPr>
            <w:tcW w:type="dxa" w:w="567"/>
          </w:tcPr>
          <w:p>
            <w:pPr>
              <w:pStyle w:val="TableText"/>
            </w:pPr>
            <w:r/>
            <w:r>
              <w:t>9</w:t>
            </w:r>
          </w:p>
        </w:tc>
        <w:tc>
          <w:tcPr>
            <w:tcW w:type="dxa" w:w="1644"/>
          </w:tcPr>
          <w:p>
            <w:pPr>
              <w:pStyle w:val="TableText"/>
            </w:pPr>
            <w:r/>
            <w:r>
              <w:t>Panel chair</w:t>
            </w:r>
          </w:p>
        </w:tc>
        <w:tc>
          <w:tcPr>
            <w:tcW w:type="dxa" w:w="4082"/>
          </w:tcPr>
          <w:p>
            <w:pPr>
              <w:pStyle w:val="TableText"/>
            </w:pPr>
            <w:r/>
            <w:r>
              <w:t>Coordinates with the GS Office for the venue (or prepares online details, including for students abroad) and tells student, adviser and panel.</w:t>
            </w:r>
          </w:p>
        </w:tc>
        <w:tc>
          <w:tcPr>
            <w:tcW w:type="dxa" w:w="1757"/>
          </w:tcPr>
          <w:p>
            <w:pPr>
              <w:pStyle w:val="TableText"/>
            </w:pPr>
            <w:r/>
            <w:r>
              <w:t>Venue or online details</w:t>
            </w:r>
          </w:p>
        </w:tc>
        <w:tc>
          <w:tcPr>
            <w:tcW w:type="dxa" w:w="1587"/>
          </w:tcPr>
          <w:p>
            <w:pPr>
              <w:pStyle w:val="TableText"/>
            </w:pPr>
            <w:r/>
            <w:r>
              <w:t>Before the defense</w:t>
            </w:r>
          </w:p>
        </w:tc>
      </w:tr>
      <w:tr>
        <w:trPr>
          <w:cantSplit w:val="true"/>
        </w:trPr>
        <w:tc>
          <w:tcPr>
            <w:tcW w:type="dxa" w:w="567"/>
          </w:tcPr>
          <w:p>
            <w:pPr>
              <w:pStyle w:val="TableText"/>
            </w:pPr>
            <w:r/>
            <w:r>
              <w:t>10</w:t>
            </w:r>
          </w:p>
        </w:tc>
        <w:tc>
          <w:tcPr>
            <w:tcW w:type="dxa" w:w="1644"/>
          </w:tcPr>
          <w:p>
            <w:pPr>
              <w:pStyle w:val="TableText"/>
            </w:pPr>
            <w:r/>
            <w:r>
              <w:t>Panel</w:t>
            </w:r>
          </w:p>
        </w:tc>
        <w:tc>
          <w:tcPr>
            <w:tcW w:type="dxa" w:w="4082"/>
          </w:tcPr>
          <w:p>
            <w:pPr>
              <w:pStyle w:val="TableText"/>
            </w:pPr>
            <w:r/>
            <w:r>
              <w:t>Deliberates first without student and adviser; then the chair admits both. Before the presentation, the chair asks whether the student has a study grant and a plan for a co-author. The adviser records the comments. After the presentation and questions, the panel deliberates and announces the result. If major revisions are recommended, a re-defense is advised.</w:t>
            </w:r>
          </w:p>
        </w:tc>
        <w:tc>
          <w:tcPr>
            <w:tcW w:type="dxa" w:w="1757"/>
          </w:tcPr>
          <w:p>
            <w:pPr>
              <w:pStyle w:val="TableText"/>
            </w:pPr>
            <w:r/>
            <w:r>
              <w:t>Form 5</w:t>
            </w:r>
          </w:p>
        </w:tc>
        <w:tc>
          <w:tcPr>
            <w:tcW w:type="dxa" w:w="1587"/>
          </w:tcPr>
          <w:p>
            <w:pPr>
              <w:pStyle w:val="TableText"/>
            </w:pPr>
            <w:r/>
            <w:r>
              <w:t>At the defense</w:t>
            </w:r>
          </w:p>
        </w:tc>
      </w:tr>
      <w:tr>
        <w:trPr>
          <w:cantSplit w:val="true"/>
        </w:trPr>
        <w:tc>
          <w:tcPr>
            <w:tcW w:type="dxa" w:w="567"/>
          </w:tcPr>
          <w:p>
            <w:pPr>
              <w:pStyle w:val="TableText"/>
            </w:pPr>
            <w:r/>
            <w:r>
              <w:t>11</w:t>
            </w:r>
          </w:p>
        </w:tc>
        <w:tc>
          <w:tcPr>
            <w:tcW w:type="dxa" w:w="1644"/>
          </w:tcPr>
          <w:p>
            <w:pPr>
              <w:pStyle w:val="TableText"/>
            </w:pPr>
            <w:r/>
            <w:r>
              <w:t>Each panel member / panel chair</w:t>
            </w:r>
          </w:p>
        </w:tc>
        <w:tc>
          <w:tcPr>
            <w:tcW w:type="dxa" w:w="4082"/>
          </w:tcPr>
          <w:p>
            <w:pPr>
              <w:pStyle w:val="TableText"/>
            </w:pPr>
            <w:r/>
            <w:r>
              <w:t>Each member accomplishes Form 5 and emails it to the chair; the chair emails the consolidated Form 5 to the student, adviser and Research Coordinator.</w:t>
            </w:r>
          </w:p>
        </w:tc>
        <w:tc>
          <w:tcPr>
            <w:tcW w:type="dxa" w:w="1757"/>
          </w:tcPr>
          <w:p>
            <w:pPr>
              <w:pStyle w:val="TableText"/>
            </w:pPr>
            <w:r/>
            <w:r>
              <w:t>Consolidated Form 5</w:t>
            </w:r>
          </w:p>
        </w:tc>
        <w:tc>
          <w:tcPr>
            <w:tcW w:type="dxa" w:w="1587"/>
          </w:tcPr>
          <w:p>
            <w:pPr>
              <w:pStyle w:val="TableText"/>
            </w:pPr>
            <w:r/>
            <w:r>
              <w:t>Within the first working day after the defense</w:t>
            </w:r>
          </w:p>
        </w:tc>
      </w:tr>
      <w:tr>
        <w:trPr>
          <w:cantSplit w:val="true"/>
        </w:trPr>
        <w:tc>
          <w:tcPr>
            <w:tcW w:type="dxa" w:w="567"/>
          </w:tcPr>
          <w:p>
            <w:pPr>
              <w:pStyle w:val="TableText"/>
            </w:pPr>
            <w:r/>
            <w:r>
              <w:t>12</w:t>
            </w:r>
          </w:p>
        </w:tc>
        <w:tc>
          <w:tcPr>
            <w:tcW w:type="dxa" w:w="1644"/>
          </w:tcPr>
          <w:p>
            <w:pPr>
              <w:pStyle w:val="TableText"/>
            </w:pPr>
            <w:r/>
            <w:r>
              <w:t>Student / adviser / panel</w:t>
            </w:r>
          </w:p>
        </w:tc>
        <w:tc>
          <w:tcPr>
            <w:tcW w:type="dxa" w:w="4082"/>
          </w:tcPr>
          <w:p>
            <w:pPr>
              <w:pStyle w:val="TableText"/>
            </w:pPr>
            <w:r/>
            <w:r>
              <w:t>The student revises; the adviser endorses the revised manuscript and Form 5 to the panel for approval and the release of Form 5.1, Technical Review Certificate; the chair emails Form 5.1 to the student and adviser with copy to the Research Coordinator.</w:t>
            </w:r>
          </w:p>
        </w:tc>
        <w:tc>
          <w:tcPr>
            <w:tcW w:type="dxa" w:w="1757"/>
          </w:tcPr>
          <w:p>
            <w:pPr>
              <w:pStyle w:val="TableText"/>
            </w:pPr>
            <w:r/>
            <w:r>
              <w:t>Form 5.1</w:t>
            </w:r>
          </w:p>
        </w:tc>
        <w:tc>
          <w:tcPr>
            <w:tcW w:type="dxa" w:w="1587"/>
          </w:tcPr>
          <w:p>
            <w:pPr>
              <w:pStyle w:val="TableText"/>
            </w:pPr>
            <w:r/>
            <w:r>
              <w:t>—</w:t>
            </w:r>
          </w:p>
        </w:tc>
      </w:tr>
      <w:tr>
        <w:trPr>
          <w:cantSplit w:val="true"/>
        </w:trPr>
        <w:tc>
          <w:tcPr>
            <w:tcW w:type="dxa" w:w="567"/>
          </w:tcPr>
          <w:p>
            <w:pPr>
              <w:pStyle w:val="TableText"/>
            </w:pPr>
            <w:r/>
            <w:r>
              <w:t>13</w:t>
            </w:r>
          </w:p>
        </w:tc>
        <w:tc>
          <w:tcPr>
            <w:tcW w:type="dxa" w:w="1644"/>
          </w:tcPr>
          <w:p>
            <w:pPr>
              <w:pStyle w:val="TableText"/>
            </w:pPr>
            <w:r/>
            <w:r>
              <w:t>Student</w:t>
            </w:r>
          </w:p>
        </w:tc>
        <w:tc>
          <w:tcPr>
            <w:tcW w:type="dxa" w:w="4082"/>
          </w:tcPr>
          <w:p>
            <w:pPr>
              <w:pStyle w:val="TableText"/>
            </w:pPr>
            <w:r/>
            <w:r>
              <w:t>Accomplishes Form 5.2, Application for Ethics Review, and emails it with the revised manuscript and Form 5.1 to the research ethics office.</w:t>
            </w:r>
          </w:p>
        </w:tc>
        <w:tc>
          <w:tcPr>
            <w:tcW w:type="dxa" w:w="1757"/>
          </w:tcPr>
          <w:p>
            <w:pPr>
              <w:pStyle w:val="TableText"/>
            </w:pPr>
            <w:r/>
            <w:r>
              <w:t>Form 5.2</w:t>
            </w:r>
          </w:p>
        </w:tc>
        <w:tc>
          <w:tcPr>
            <w:tcW w:type="dxa" w:w="1587"/>
          </w:tcPr>
          <w:p>
            <w:pPr>
              <w:pStyle w:val="TableText"/>
            </w:pPr>
            <w:r/>
            <w:r>
              <w:t>Within one month after the proposal defense</w:t>
            </w:r>
          </w:p>
        </w:tc>
      </w:tr>
      <w:tr>
        <w:trPr>
          <w:cantSplit w:val="true"/>
        </w:trPr>
        <w:tc>
          <w:tcPr>
            <w:tcW w:type="dxa" w:w="567"/>
          </w:tcPr>
          <w:p>
            <w:pPr>
              <w:pStyle w:val="TableText"/>
            </w:pPr>
            <w:r/>
            <w:r>
              <w:t>14</w:t>
            </w:r>
          </w:p>
        </w:tc>
        <w:tc>
          <w:tcPr>
            <w:tcW w:type="dxa" w:w="1644"/>
          </w:tcPr>
          <w:p>
            <w:pPr>
              <w:pStyle w:val="TableText"/>
            </w:pPr>
            <w:r/>
            <w:r>
              <w:t>Student</w:t>
            </w:r>
          </w:p>
        </w:tc>
        <w:tc>
          <w:tcPr>
            <w:tcW w:type="dxa" w:w="4082"/>
          </w:tcPr>
          <w:p>
            <w:pPr>
              <w:pStyle w:val="TableText"/>
            </w:pPr>
            <w:r/>
            <w:r>
              <w:t>Settles the panel fees and emails the proof to the GS mailbox.</w:t>
            </w:r>
          </w:p>
        </w:tc>
        <w:tc>
          <w:tcPr>
            <w:tcW w:type="dxa" w:w="1757"/>
          </w:tcPr>
          <w:p>
            <w:pPr>
              <w:pStyle w:val="TableText"/>
            </w:pPr>
            <w:r/>
            <w:r>
              <w:t>Payment proof</w:t>
            </w:r>
          </w:p>
        </w:tc>
        <w:tc>
          <w:tcPr>
            <w:tcW w:type="dxa" w:w="1587"/>
          </w:tcPr>
          <w:p>
            <w:pPr>
              <w:pStyle w:val="TableText"/>
            </w:pPr>
            <w:r/>
            <w:r>
              <w:t>Within the first working day after the defense</w:t>
            </w:r>
          </w:p>
        </w:tc>
      </w:tr>
    </w:tbl>
    <w:p>
      <w:pPr>
        <w:spacing w:after="80" w:before="0"/>
      </w:pPr>
    </w:p>
    <w:p>
      <w:pPr>
        <w:pStyle w:val="Heading3"/>
      </w:pPr>
      <w:r>
        <w:t>4.13.5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PRP-01</w:t>
            </w:r>
          </w:p>
        </w:tc>
        <w:tc>
          <w:tcPr>
            <w:tcW w:type="dxa" w:w="4535"/>
          </w:tcPr>
          <w:p>
            <w:pPr>
              <w:pStyle w:val="TableText"/>
            </w:pPr>
            <w:r/>
            <w:r>
              <w:t>Before the proposal defense the student must have consulted a statistician for a quantitative study, with Form 4.1 accomplished by the statistician. Form 4.1 is not required for qualitative studies.</w:t>
            </w:r>
          </w:p>
        </w:tc>
        <w:tc>
          <w:tcPr>
            <w:tcW w:type="dxa" w:w="3005"/>
          </w:tcPr>
          <w:p>
            <w:pPr>
              <w:pStyle w:val="TableText"/>
            </w:pPr>
            <w:r/>
            <w:r>
              <w:t>Handbook 2022-2023, p. 63; Research Protocol AY2024-2025, Proposal Defense, Part I (statistical consultation)</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PRP-02</w:t>
            </w:r>
          </w:p>
        </w:tc>
        <w:tc>
          <w:tcPr>
            <w:tcW w:type="dxa" w:w="4535"/>
          </w:tcPr>
          <w:p>
            <w:pPr>
              <w:pStyle w:val="TableText"/>
            </w:pPr>
            <w:r/>
            <w:r>
              <w:t>The research adviser accomplishes Form 4 with e-signature once the paper complies with the research paper guidelines set by the Graduate School Office; this must be done at least two weeks before the date of the defense.</w:t>
            </w:r>
          </w:p>
        </w:tc>
        <w:tc>
          <w:tcPr>
            <w:tcW w:type="dxa" w:w="3005"/>
          </w:tcPr>
          <w:p>
            <w:pPr>
              <w:pStyle w:val="TableText"/>
            </w:pPr>
            <w:r/>
            <w:r>
              <w:t>Handbook 2022-2023, p. 63; Research Protocol AY2024-2025, Proposal Defense, Part I (Form 4 endorsement and note)</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PRP-03</w:t>
            </w:r>
          </w:p>
        </w:tc>
        <w:tc>
          <w:tcPr>
            <w:tcW w:type="dxa" w:w="4535"/>
          </w:tcPr>
          <w:p>
            <w:pPr>
              <w:pStyle w:val="TableText"/>
            </w:pPr>
            <w:r/>
            <w:r>
              <w:t>The panel members are given two weeks to review the paper before the scheduled proposal defense.</w:t>
            </w:r>
          </w:p>
        </w:tc>
        <w:tc>
          <w:tcPr>
            <w:tcW w:type="dxa" w:w="3005"/>
          </w:tcPr>
          <w:p>
            <w:pPr>
              <w:pStyle w:val="TableText"/>
            </w:pPr>
            <w:r/>
            <w:r>
              <w:t>Handbook 2022-2023, p. 63; Research Protocol AY2024-2025, Proposal Defense, Part I (panel review period)</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PRP-04</w:t>
            </w:r>
          </w:p>
        </w:tc>
        <w:tc>
          <w:tcPr>
            <w:tcW w:type="dxa" w:w="4535"/>
          </w:tcPr>
          <w:p>
            <w:pPr>
              <w:pStyle w:val="TableText"/>
            </w:pPr>
            <w:r/>
            <w:r>
              <w:t>The adviser's recommendation of an external panel is subject to the approval of the GS Research Committee (Dean, Associate Dean, Academic Coordinator, Research Coordinator) according to the Protocol, and to the approval of the GS office according to the Handbook.</w:t>
            </w:r>
          </w:p>
        </w:tc>
        <w:tc>
          <w:tcPr>
            <w:tcW w:type="dxa" w:w="3005"/>
          </w:tcPr>
          <w:p>
            <w:pPr>
              <w:pStyle w:val="TableText"/>
            </w:pPr>
            <w:r/>
            <w:r>
              <w:t>Handbook 2022-2023, p. 63; Research Protocol AY2024-2025, Proposal Defense, Part I (external panel recommendation)</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PRP-05</w:t>
            </w:r>
          </w:p>
        </w:tc>
        <w:tc>
          <w:tcPr>
            <w:tcW w:type="dxa" w:w="4535"/>
          </w:tcPr>
          <w:p>
            <w:pPr>
              <w:pStyle w:val="TableText"/>
            </w:pPr>
            <w:r/>
            <w:r>
              <w:t>For co-authorship, the student must have the major part and contribute at least 80% during the conduct of the study and must adhere to the contribution of work in Form 4.2; co-authorship or study grant agreements follow the institutional guidelines of the Center for Research and Engagement.</w:t>
            </w:r>
          </w:p>
        </w:tc>
        <w:tc>
          <w:tcPr>
            <w:tcW w:type="dxa" w:w="3005"/>
          </w:tcPr>
          <w:p>
            <w:pPr>
              <w:pStyle w:val="TableText"/>
            </w:pPr>
            <w:r/>
            <w:r>
              <w:t>Handbook 2022-2023, p. 64; Research Protocol AY2024-2025, Proposal Defense, Part II (co-authorship note)</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PRP-06</w:t>
            </w:r>
          </w:p>
        </w:tc>
        <w:tc>
          <w:tcPr>
            <w:tcW w:type="dxa" w:w="4535"/>
          </w:tcPr>
          <w:p>
            <w:pPr>
              <w:pStyle w:val="TableText"/>
            </w:pPr>
            <w:r/>
            <w:r>
              <w:t>The panel deliberates the paper first without the student and the adviser; if major revisions are recommended the student is advised to do a re-defense following the same protocol, reflected in Form 5.</w:t>
            </w:r>
          </w:p>
        </w:tc>
        <w:tc>
          <w:tcPr>
            <w:tcW w:type="dxa" w:w="3005"/>
          </w:tcPr>
          <w:p>
            <w:pPr>
              <w:pStyle w:val="TableText"/>
            </w:pPr>
            <w:r/>
            <w:r>
              <w:t>Handbook 2022-2023, p. 64; Research Protocol AY2024-2025, Proposal Defense, Part II</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PRP-07</w:t>
            </w:r>
          </w:p>
        </w:tc>
        <w:tc>
          <w:tcPr>
            <w:tcW w:type="dxa" w:w="4535"/>
          </w:tcPr>
          <w:p>
            <w:pPr>
              <w:pStyle w:val="TableText"/>
            </w:pPr>
            <w:r/>
            <w:r>
              <w:t>The panel chair emails the consolidated Form 5 to the student, the adviser and the Research Coordinator within the first working day after the defense.</w:t>
            </w:r>
          </w:p>
        </w:tc>
        <w:tc>
          <w:tcPr>
            <w:tcW w:type="dxa" w:w="3005"/>
          </w:tcPr>
          <w:p>
            <w:pPr>
              <w:pStyle w:val="TableText"/>
            </w:pPr>
            <w:r/>
            <w:r>
              <w:t>Handbook 2022-2023, p. 64; Research Protocol AY2024-2025, Proposal Defense, Part III (consolidated Form 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PRP-08</w:t>
            </w:r>
          </w:p>
        </w:tc>
        <w:tc>
          <w:tcPr>
            <w:tcW w:type="dxa" w:w="4535"/>
          </w:tcPr>
          <w:p>
            <w:pPr>
              <w:pStyle w:val="TableText"/>
            </w:pPr>
            <w:r/>
            <w:r>
              <w:t>The application for ethics review (Form 5.2 with the revised manuscript and Form 5.1) is made within one month after the proposal defense.</w:t>
            </w:r>
          </w:p>
        </w:tc>
        <w:tc>
          <w:tcPr>
            <w:tcW w:type="dxa" w:w="3005"/>
          </w:tcPr>
          <w:p>
            <w:pPr>
              <w:pStyle w:val="TableText"/>
            </w:pPr>
            <w:r/>
            <w:r>
              <w:t>Handbook 2022-2023, p. 65; Research Protocol AY2024-2025, Proposal Defense, Part III (ethics review note)</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PRP-09</w:t>
            </w:r>
          </w:p>
        </w:tc>
        <w:tc>
          <w:tcPr>
            <w:tcW w:type="dxa" w:w="4535"/>
          </w:tcPr>
          <w:p>
            <w:pPr>
              <w:pStyle w:val="TableText"/>
            </w:pPr>
            <w:r/>
            <w:r>
              <w:t>The student settles payment to the preferred method of the panel members and emails the proof to the GS mailbox within the first working day after the defense.</w:t>
            </w:r>
          </w:p>
        </w:tc>
        <w:tc>
          <w:tcPr>
            <w:tcW w:type="dxa" w:w="3005"/>
          </w:tcPr>
          <w:p>
            <w:pPr>
              <w:pStyle w:val="TableText"/>
            </w:pPr>
            <w:r/>
            <w:r>
              <w:t>Handbook 2022-2023, p. 65; Research Protocol AY2024-2025, Proposal Defense, Part III (payment)</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PRP-10</w:t>
            </w:r>
          </w:p>
        </w:tc>
        <w:tc>
          <w:tcPr>
            <w:tcW w:type="dxa" w:w="4535"/>
          </w:tcPr>
          <w:p>
            <w:pPr>
              <w:pStyle w:val="TableText"/>
            </w:pPr>
            <w:r/>
            <w:r>
              <w:t>A student who has used a change of title or a change of adviser must have done so before the proposal defense application (ADV-13, ADV-14).</w:t>
            </w:r>
          </w:p>
        </w:tc>
        <w:tc>
          <w:tcPr>
            <w:tcW w:type="dxa" w:w="3005"/>
          </w:tcPr>
          <w:p>
            <w:pPr>
              <w:pStyle w:val="TableText"/>
            </w:pPr>
            <w:r/>
            <w:r>
              <w:t>Handbook 2022-2023, p. 62</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PRP-11</w:t>
            </w:r>
          </w:p>
        </w:tc>
        <w:tc>
          <w:tcPr>
            <w:tcW w:type="dxa" w:w="4535"/>
          </w:tcPr>
          <w:p>
            <w:pPr>
              <w:pStyle w:val="TableText"/>
            </w:pPr>
            <w:r/>
            <w:r>
              <w:t>Ethics clearance is needed before the closed-door final defense: the adviser emails Form 4, the Ethics Clearance and the manuscript to the Research Coordinator.</w:t>
            </w:r>
          </w:p>
        </w:tc>
        <w:tc>
          <w:tcPr>
            <w:tcW w:type="dxa" w:w="3005"/>
          </w:tcPr>
          <w:p>
            <w:pPr>
              <w:pStyle w:val="TableText"/>
            </w:pPr>
            <w:r/>
            <w:r>
              <w:t>Handbook 2022-2023, p. 65; Research Protocol AY2024-2025, Closed-door Final Defense, Part I (Form 4 submission)</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PRP-12</w:t>
            </w:r>
          </w:p>
        </w:tc>
        <w:tc>
          <w:tcPr>
            <w:tcW w:type="dxa" w:w="4535"/>
          </w:tcPr>
          <w:p>
            <w:pPr>
              <w:pStyle w:val="TableText"/>
            </w:pPr>
            <w:r/>
            <w:r>
              <w:t>The Research Coordinator records ethics clearance as received; the office checks that the document is present, not its content.</w:t>
            </w:r>
          </w:p>
        </w:tc>
        <w:tc>
          <w:tcPr>
            <w:tcW w:type="dxa" w:w="3005"/>
          </w:tcPr>
          <w:p>
            <w:pPr>
              <w:pStyle w:val="TableText"/>
            </w:pPr>
            <w:r/>
            <w:r>
              <w:t>Group working notes, July 20 checklist, item 42</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PRP-13</w:t>
            </w:r>
          </w:p>
        </w:tc>
        <w:tc>
          <w:tcPr>
            <w:tcW w:type="dxa" w:w="4535"/>
          </w:tcPr>
          <w:p>
            <w:pPr>
              <w:pStyle w:val="TableText"/>
            </w:pPr>
            <w:r/>
            <w:r>
              <w:t>The platform does not complete the proposal stage without the adviser's signature on the manuscript and on Form 4, and it asks every student for Form 4.1 (it does not distinguish quantitative from qualitative studies).</w:t>
            </w:r>
          </w:p>
        </w:tc>
        <w:tc>
          <w:tcPr>
            <w:tcW w:type="dxa" w:w="3005"/>
          </w:tcPr>
          <w:p>
            <w:pPr>
              <w:pStyle w:val="TableText"/>
            </w:pPr>
            <w:r/>
            <w:r>
              <w:t>Group working notes, July 20 checklist, item 43; Platform (current build)</w:t>
            </w:r>
          </w:p>
        </w:tc>
        <w:tc>
          <w:tcPr>
            <w:tcW w:type="dxa" w:w="1191"/>
            <w:shd w:val="clear" w:color="auto" w:fill="DDEBF7"/>
          </w:tcPr>
          <w:p>
            <w:pPr>
              <w:pStyle w:val="TableText"/>
            </w:pPr>
            <w:r>
              <w:rPr>
                <w:b/>
              </w:rPr>
            </w:r>
            <w:r>
              <w:rPr>
                <w:b/>
              </w:rPr>
              <w:t>Proposed</w:t>
            </w:r>
          </w:p>
        </w:tc>
      </w:tr>
    </w:tbl>
    <w:p>
      <w:pPr>
        <w:spacing w:after="80" w:before="0"/>
      </w:pPr>
    </w:p>
    <w:p>
      <w:pPr>
        <w:pStyle w:val="Heading3"/>
      </w:pPr>
      <w:r>
        <w:t>4.13.6 Exceptions and unusual cases</w:t>
      </w:r>
    </w:p>
    <w:p>
      <w:pPr>
        <w:pStyle w:val="ListBullet"/>
        <w:spacing w:after="40"/>
      </w:pPr>
      <w:r>
        <w:t>Major revisions: the student is advised to re-defend and follows the same protocol (PRP-06).</w:t>
      </w:r>
    </w:p>
    <w:p>
      <w:pPr>
        <w:pStyle w:val="ListBullet"/>
        <w:spacing w:after="40"/>
      </w:pPr>
      <w:r>
        <w:t>Qualitative study: Form 4.1 is not required (PRP-01).</w:t>
      </w:r>
    </w:p>
    <w:p>
      <w:pPr>
        <w:pStyle w:val="ListBullet"/>
        <w:spacing w:after="40"/>
      </w:pPr>
      <w:r>
        <w:t>Student abroad: the panel chair recommends an online deliberation and sends the login details (Research Protocol, Proposal Defense, Part I).</w:t>
      </w:r>
    </w:p>
    <w:p>
      <w:pPr>
        <w:pStyle w:val="ListBullet"/>
        <w:spacing w:after="40"/>
      </w:pPr>
      <w:r>
        <w:t>The external panel member: from the proposal defense onward (TTL-03); approval route differs (OQ-22).</w:t>
      </w:r>
    </w:p>
    <w:p>
      <w:pPr>
        <w:pStyle w:val="ListBullet"/>
        <w:spacing w:after="40"/>
      </w:pPr>
      <w:r>
        <w:t>Panel fee amounts are not known (OQ-27).</w:t>
      </w:r>
    </w:p>
    <w:p>
      <w:pPr>
        <w:pStyle w:val="Heading3"/>
      </w:pPr>
      <w:r>
        <w:t>4.13.7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Forms 4, 4.1, 4.2 and the manuscript</w:t>
            </w:r>
          </w:p>
        </w:tc>
        <w:tc>
          <w:tcPr>
            <w:tcW w:type="dxa" w:w="5102"/>
          </w:tcPr>
          <w:p>
            <w:pPr>
              <w:pStyle w:val="TableText"/>
            </w:pPr>
            <w:r/>
            <w:r>
              <w:t>Research Coordinator; research monitoring workbook (endorsement and schedule of proposal)</w:t>
            </w:r>
          </w:p>
        </w:tc>
      </w:tr>
      <w:tr>
        <w:trPr>
          <w:cantSplit w:val="true"/>
        </w:trPr>
        <w:tc>
          <w:tcPr>
            <w:tcW w:type="dxa" w:w="4535"/>
          </w:tcPr>
          <w:p>
            <w:pPr>
              <w:pStyle w:val="TableText"/>
            </w:pPr>
            <w:r/>
            <w:r>
              <w:t>Form 5, consolidated comments sheet</w:t>
            </w:r>
          </w:p>
        </w:tc>
        <w:tc>
          <w:tcPr>
            <w:tcW w:type="dxa" w:w="5102"/>
          </w:tcPr>
          <w:p>
            <w:pPr>
              <w:pStyle w:val="TableText"/>
            </w:pPr>
            <w:r/>
            <w:r>
              <w:t>Research Coordinator; student; adviser</w:t>
            </w:r>
          </w:p>
        </w:tc>
      </w:tr>
      <w:tr>
        <w:trPr>
          <w:cantSplit w:val="true"/>
        </w:trPr>
        <w:tc>
          <w:tcPr>
            <w:tcW w:type="dxa" w:w="4535"/>
          </w:tcPr>
          <w:p>
            <w:pPr>
              <w:pStyle w:val="TableText"/>
            </w:pPr>
            <w:r/>
            <w:r>
              <w:t>Form 5.1 Technical Review Certificate; Form 5.2; ethics clearance</w:t>
            </w:r>
          </w:p>
        </w:tc>
        <w:tc>
          <w:tcPr>
            <w:tcW w:type="dxa" w:w="5102"/>
          </w:tcPr>
          <w:p>
            <w:pPr>
              <w:pStyle w:val="TableText"/>
            </w:pPr>
            <w:r/>
            <w:r>
              <w:t>Research Coordinator; research ethics office; research monitoring workbook (technical clearance, ethics submission, ethics clearance)</w:t>
            </w:r>
          </w:p>
        </w:tc>
      </w:tr>
    </w:tbl>
    <w:p>
      <w:pPr>
        <w:spacing w:after="80" w:before="0"/>
      </w:pPr>
    </w:p>
    <w:p>
      <w:pPr>
        <w:pStyle w:val="Heading3"/>
      </w:pPr>
      <w:r>
        <w:t>4.13.8 How the platform supports this process</w:t>
      </w:r>
    </w:p>
    <w:p>
      <w:r>
        <w:rPr>
          <w:b w:val="0"/>
          <w:i w:val="0"/>
        </w:rPr>
        <w:t>The student uploads the proposal manuscript, Form 4, Form 4.1 and the endorsement. Each needs the adviser's on-screen signature on that exact file, and a replaced file returns to the adviser's queue. The proposal stage lists ten items: the manuscript, the panel, the Form 4 endorsement, Form 4.1 (or the qualitative exemption), the adviser's signature, the schedule, the result, Form 5.1, the ethics clearance and the ethics status record. Form 4.1 is asked of every student; the platform does not ask whether the study is quantitative or qualitative. The panel is the full panel, including the external member for a thesis or dissertation; the platform does not check that the external member is from outside the University or that the GS Research Committee approved. Booking follows 4.16, with a 14-day notice that staff can override with a reason. The chair records one of six outcomes (Passed; Passed with minor revisions; Provisional pass with revisions for panel approval; Provisional pass, re-defense required; Deferred; Failed), only at or after the booked time. Form 5.1 and the ethics items stay locked until the proposal is passed and its revisions are confirmed. The Research Coordinator records ethics as Cleared (this needs a date and Forms 5.1 and 5.2 uploaded), Returned or Not cleared. The proposal stage completes, and the final stage opens, only when ethics is Cleared.</w:t>
      </w:r>
    </w:p>
    <w:p>
      <w:r>
        <w:rPr>
          <w:b/>
          <w:i w:val="0"/>
        </w:rPr>
        <w:t xml:space="preserve">Difference between the platform and the rule. </w:t>
      </w:r>
      <w:r>
        <w:t>The platform checks that documents are present and signed, not that they are valid. The month after the proposal defense for the ethics application (PRP-08) is a dated task of 30 days, not a block. It has no step for Form 4.2 and the co-author contribution (PRP-05). The two-week review period (PRP-03) is a warning that can be overridden. The approval of the external panel member (PRP-04, OQ-22), the statistician's consultation itself and the payment proof (PRP-09, OQ-27) are left to people. Ethics clearance before the final defense (PRP-11) is enforced.</w:t>
      </w:r>
    </w:p>
    <w:p>
      <w:pPr>
        <w:pStyle w:val="Heading2"/>
        <w:spacing w:before="360"/>
      </w:pPr>
      <w:r>
        <w:t>4.14 Final defense (closed-door and public)</w:t>
      </w:r>
    </w:p>
    <w:p>
      <w:pPr>
        <w:pStyle w:val="Heading3"/>
      </w:pPr>
      <w:r>
        <w:t>4.14.1 Purpose</w:t>
      </w:r>
    </w:p>
    <w:p>
      <w:r>
        <w:rPr>
          <w:b w:val="0"/>
          <w:i w:val="0"/>
        </w:rPr>
        <w:t>To have the completed thesis or dissertation examined in a closed-door final defense and, for students admitted from August 2020, in a public final defense.</w:t>
      </w:r>
    </w:p>
    <w:p>
      <w:pPr>
        <w:pStyle w:val="Heading3"/>
      </w:pPr>
      <w:r>
        <w:t>4.14.2 Who is involved</w:t>
      </w:r>
    </w:p>
    <w:p>
      <w:r>
        <w:rPr>
          <w:b w:val="0"/>
          <w:i w:val="0"/>
        </w:rPr>
        <w:t>Student; Research adviser; Research Coordinator; Panel chair and panel members; GS Office; Associate Dean and Dean (copied on the public announcement).</w:t>
      </w:r>
    </w:p>
    <w:p>
      <w:pPr>
        <w:pStyle w:val="Heading3"/>
      </w:pPr>
      <w:r>
        <w:t>4.14.3 Trigger and preconditions</w:t>
      </w:r>
    </w:p>
    <w:p>
      <w:r>
        <w:rPr>
          <w:b/>
          <w:i w:val="0"/>
        </w:rPr>
        <w:t xml:space="preserve">Trigger. </w:t>
      </w:r>
      <w:r>
        <w:t>The student has completed the study, has ethics clearance, and the adviser endorses the final manuscript.</w:t>
      </w:r>
    </w:p>
    <w:p>
      <w:r>
        <w:rPr>
          <w:b/>
          <w:i w:val="0"/>
        </w:rPr>
        <w:t>Preconditions.</w:t>
      </w:r>
    </w:p>
    <w:p>
      <w:pPr>
        <w:pStyle w:val="ListBullet"/>
        <w:spacing w:after="40"/>
      </w:pPr>
      <w:r>
        <w:t>Ethics clearance.</w:t>
      </w:r>
    </w:p>
    <w:p>
      <w:pPr>
        <w:pStyle w:val="ListBullet"/>
        <w:spacing w:after="40"/>
      </w:pPr>
      <w:r>
        <w:t>The manuscript has been given to the panel members before the schedule is set (FIN-05).</w:t>
      </w:r>
    </w:p>
    <w:p>
      <w:pPr>
        <w:pStyle w:val="ListBullet"/>
        <w:spacing w:after="40"/>
      </w:pPr>
      <w:r>
        <w:t>Students admitted before August 2020 do not do the public final defense (FIN-16).</w:t>
      </w:r>
    </w:p>
    <w:p>
      <w:pPr>
        <w:pStyle w:val="Heading3"/>
      </w:pPr>
      <w:r>
        <w:t>4.14.4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Student</w:t>
            </w:r>
          </w:p>
        </w:tc>
        <w:tc>
          <w:tcPr>
            <w:tcW w:type="dxa" w:w="4082"/>
          </w:tcPr>
          <w:p>
            <w:pPr>
              <w:pStyle w:val="TableText"/>
            </w:pPr>
            <w:r/>
            <w:r>
              <w:t>Tells the adviser, with the final manuscript, that the student is ready for the closed-door final defense.</w:t>
            </w:r>
          </w:p>
        </w:tc>
        <w:tc>
          <w:tcPr>
            <w:tcW w:type="dxa" w:w="1757"/>
          </w:tcPr>
          <w:p>
            <w:pPr>
              <w:pStyle w:val="TableText"/>
            </w:pPr>
            <w:r/>
            <w:r>
              <w:t>Final manuscript</w:t>
            </w:r>
          </w:p>
        </w:tc>
        <w:tc>
          <w:tcPr>
            <w:tcW w:type="dxa" w:w="1587"/>
          </w:tcPr>
          <w:p>
            <w:pPr>
              <w:pStyle w:val="TableText"/>
            </w:pPr>
            <w:r/>
            <w:r>
              <w:t>—</w:t>
            </w:r>
          </w:p>
        </w:tc>
      </w:tr>
      <w:tr>
        <w:trPr>
          <w:cantSplit w:val="true"/>
        </w:trPr>
        <w:tc>
          <w:tcPr>
            <w:tcW w:type="dxa" w:w="567"/>
          </w:tcPr>
          <w:p>
            <w:pPr>
              <w:pStyle w:val="TableText"/>
            </w:pPr>
            <w:r/>
            <w:r>
              <w:t>2</w:t>
            </w:r>
          </w:p>
        </w:tc>
        <w:tc>
          <w:tcPr>
            <w:tcW w:type="dxa" w:w="1644"/>
          </w:tcPr>
          <w:p>
            <w:pPr>
              <w:pStyle w:val="TableText"/>
            </w:pPr>
            <w:r/>
            <w:r>
              <w:t>Research adviser</w:t>
            </w:r>
          </w:p>
        </w:tc>
        <w:tc>
          <w:tcPr>
            <w:tcW w:type="dxa" w:w="4082"/>
          </w:tcPr>
          <w:p>
            <w:pPr>
              <w:pStyle w:val="TableText"/>
            </w:pPr>
            <w:r/>
            <w:r>
              <w:t>Reviews the manuscript and accomplishes Form 4 with e-signature.</w:t>
            </w:r>
          </w:p>
        </w:tc>
        <w:tc>
          <w:tcPr>
            <w:tcW w:type="dxa" w:w="1757"/>
          </w:tcPr>
          <w:p>
            <w:pPr>
              <w:pStyle w:val="TableText"/>
            </w:pPr>
            <w:r/>
            <w:r>
              <w:t>Form 4</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Student and adviser</w:t>
            </w:r>
          </w:p>
        </w:tc>
        <w:tc>
          <w:tcPr>
            <w:tcW w:type="dxa" w:w="4082"/>
          </w:tcPr>
          <w:p>
            <w:pPr>
              <w:pStyle w:val="TableText"/>
            </w:pPr>
            <w:r/>
            <w:r>
              <w:t>Arrange the target date with the panel; the manuscript must already be with the panel. The adviser emails Form 4, the Ethics Clearance and the manuscript to the Research Coordinator.</w:t>
            </w:r>
          </w:p>
        </w:tc>
        <w:tc>
          <w:tcPr>
            <w:tcW w:type="dxa" w:w="1757"/>
          </w:tcPr>
          <w:p>
            <w:pPr>
              <w:pStyle w:val="TableText"/>
            </w:pPr>
            <w:r/>
            <w:r>
              <w:t>Form 4; ethics clearance</w:t>
            </w:r>
          </w:p>
        </w:tc>
        <w:tc>
          <w:tcPr>
            <w:tcW w:type="dxa" w:w="1587"/>
          </w:tcPr>
          <w:p>
            <w:pPr>
              <w:pStyle w:val="TableText"/>
            </w:pPr>
            <w:r/>
            <w:r>
              <w:t>At least 2 weeks before the defense; panel has 2 weeks to review (14-Day Rule)</w:t>
            </w:r>
          </w:p>
        </w:tc>
      </w:tr>
      <w:tr>
        <w:trPr>
          <w:cantSplit w:val="true"/>
        </w:trPr>
        <w:tc>
          <w:tcPr>
            <w:tcW w:type="dxa" w:w="567"/>
          </w:tcPr>
          <w:p>
            <w:pPr>
              <w:pStyle w:val="TableText"/>
            </w:pPr>
            <w:r/>
            <w:r>
              <w:t>4</w:t>
            </w:r>
          </w:p>
        </w:tc>
        <w:tc>
          <w:tcPr>
            <w:tcW w:type="dxa" w:w="1644"/>
          </w:tcPr>
          <w:p>
            <w:pPr>
              <w:pStyle w:val="TableText"/>
            </w:pPr>
            <w:r/>
            <w:r>
              <w:t>Research Coordinator</w:t>
            </w:r>
          </w:p>
        </w:tc>
        <w:tc>
          <w:tcPr>
            <w:tcW w:type="dxa" w:w="4082"/>
          </w:tcPr>
          <w:p>
            <w:pPr>
              <w:pStyle w:val="TableText"/>
            </w:pPr>
            <w:r/>
            <w:r>
              <w:t>Emails Form 6, Comments Sheet for Final Defense, and Form 7, Evaluation Sheet for Final Defense, to the panel.</w:t>
            </w:r>
          </w:p>
        </w:tc>
        <w:tc>
          <w:tcPr>
            <w:tcW w:type="dxa" w:w="1757"/>
          </w:tcPr>
          <w:p>
            <w:pPr>
              <w:pStyle w:val="TableText"/>
            </w:pPr>
            <w:r/>
            <w:r>
              <w:t>Forms 6, 7 (blank)</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Panel chair</w:t>
            </w:r>
          </w:p>
        </w:tc>
        <w:tc>
          <w:tcPr>
            <w:tcW w:type="dxa" w:w="4082"/>
          </w:tcPr>
          <w:p>
            <w:pPr>
              <w:pStyle w:val="TableText"/>
            </w:pPr>
            <w:r/>
            <w:r>
              <w:t>Reserves the room through the GS Office, emails the venue, and hosts the defense. The same panel takes part.</w:t>
            </w:r>
          </w:p>
        </w:tc>
        <w:tc>
          <w:tcPr>
            <w:tcW w:type="dxa" w:w="1757"/>
          </w:tcPr>
          <w:p>
            <w:pPr>
              <w:pStyle w:val="TableText"/>
            </w:pPr>
            <w:r/>
            <w:r>
              <w:t>Venue</w:t>
            </w:r>
          </w:p>
        </w:tc>
        <w:tc>
          <w:tcPr>
            <w:tcW w:type="dxa" w:w="1587"/>
          </w:tcPr>
          <w:p>
            <w:pPr>
              <w:pStyle w:val="TableText"/>
            </w:pPr>
            <w:r/>
            <w:r>
              <w:t>Before the defense</w:t>
            </w:r>
          </w:p>
        </w:tc>
      </w:tr>
      <w:tr>
        <w:trPr>
          <w:cantSplit w:val="true"/>
        </w:trPr>
        <w:tc>
          <w:tcPr>
            <w:tcW w:type="dxa" w:w="567"/>
          </w:tcPr>
          <w:p>
            <w:pPr>
              <w:pStyle w:val="TableText"/>
            </w:pPr>
            <w:r/>
            <w:r>
              <w:t>6</w:t>
            </w:r>
          </w:p>
        </w:tc>
        <w:tc>
          <w:tcPr>
            <w:tcW w:type="dxa" w:w="1644"/>
          </w:tcPr>
          <w:p>
            <w:pPr>
              <w:pStyle w:val="TableText"/>
            </w:pPr>
            <w:r/>
            <w:r>
              <w:t>Panel</w:t>
            </w:r>
          </w:p>
        </w:tc>
        <w:tc>
          <w:tcPr>
            <w:tcW w:type="dxa" w:w="4082"/>
          </w:tcPr>
          <w:p>
            <w:pPr>
              <w:pStyle w:val="TableText"/>
            </w:pPr>
            <w:r/>
            <w:r>
              <w:t>Discusses the manuscript without student and adviser; the student presents; the adviser records comments; the panel deliberates and announces pass, pass with minor revisions, or provisional pass with major revisions (subject to re-defense).</w:t>
            </w:r>
          </w:p>
        </w:tc>
        <w:tc>
          <w:tcPr>
            <w:tcW w:type="dxa" w:w="1757"/>
          </w:tcPr>
          <w:p>
            <w:pPr>
              <w:pStyle w:val="TableText"/>
            </w:pPr>
            <w:r/>
            <w:r>
              <w:t>Result</w:t>
            </w:r>
          </w:p>
        </w:tc>
        <w:tc>
          <w:tcPr>
            <w:tcW w:type="dxa" w:w="1587"/>
          </w:tcPr>
          <w:p>
            <w:pPr>
              <w:pStyle w:val="TableText"/>
            </w:pPr>
            <w:r/>
            <w:r>
              <w:t>At the defense</w:t>
            </w:r>
          </w:p>
        </w:tc>
      </w:tr>
      <w:tr>
        <w:trPr>
          <w:cantSplit w:val="true"/>
        </w:trPr>
        <w:tc>
          <w:tcPr>
            <w:tcW w:type="dxa" w:w="567"/>
          </w:tcPr>
          <w:p>
            <w:pPr>
              <w:pStyle w:val="TableText"/>
            </w:pPr>
            <w:r/>
            <w:r>
              <w:t>7</w:t>
            </w:r>
          </w:p>
        </w:tc>
        <w:tc>
          <w:tcPr>
            <w:tcW w:type="dxa" w:w="1644"/>
          </w:tcPr>
          <w:p>
            <w:pPr>
              <w:pStyle w:val="TableText"/>
            </w:pPr>
            <w:r/>
            <w:r>
              <w:t>Adviser</w:t>
            </w:r>
          </w:p>
        </w:tc>
        <w:tc>
          <w:tcPr>
            <w:tcW w:type="dxa" w:w="4082"/>
          </w:tcPr>
          <w:p>
            <w:pPr>
              <w:pStyle w:val="TableText"/>
            </w:pPr>
            <w:r/>
            <w:r>
              <w:t>If the student has a provisional pass and no re-defense is recommended, accomplishes Form 8 and emails it to the GS Research Coordinator.</w:t>
            </w:r>
          </w:p>
        </w:tc>
        <w:tc>
          <w:tcPr>
            <w:tcW w:type="dxa" w:w="1757"/>
          </w:tcPr>
          <w:p>
            <w:pPr>
              <w:pStyle w:val="TableText"/>
            </w:pPr>
            <w:r/>
            <w:r>
              <w:t>Form 8</w:t>
            </w:r>
          </w:p>
        </w:tc>
        <w:tc>
          <w:tcPr>
            <w:tcW w:type="dxa" w:w="1587"/>
          </w:tcPr>
          <w:p>
            <w:pPr>
              <w:pStyle w:val="TableText"/>
            </w:pPr>
            <w:r/>
            <w:r>
              <w:t>—</w:t>
            </w:r>
          </w:p>
        </w:tc>
      </w:tr>
      <w:tr>
        <w:trPr>
          <w:cantSplit w:val="true"/>
        </w:trPr>
        <w:tc>
          <w:tcPr>
            <w:tcW w:type="dxa" w:w="567"/>
          </w:tcPr>
          <w:p>
            <w:pPr>
              <w:pStyle w:val="TableText"/>
            </w:pPr>
            <w:r/>
            <w:r>
              <w:t>8</w:t>
            </w:r>
          </w:p>
        </w:tc>
        <w:tc>
          <w:tcPr>
            <w:tcW w:type="dxa" w:w="1644"/>
          </w:tcPr>
          <w:p>
            <w:pPr>
              <w:pStyle w:val="TableText"/>
            </w:pPr>
            <w:r/>
            <w:r>
              <w:t>Panel members / panel chair</w:t>
            </w:r>
          </w:p>
        </w:tc>
        <w:tc>
          <w:tcPr>
            <w:tcW w:type="dxa" w:w="4082"/>
          </w:tcPr>
          <w:p>
            <w:pPr>
              <w:pStyle w:val="TableText"/>
            </w:pPr>
            <w:r/>
            <w:r>
              <w:t>Each member accomplishes Form 6 (to the chair) and Form 7 (to the Research Coordinator); the chair emails all Forms 6 and the consolidated comments to the Research Coordinator, adviser and student.</w:t>
            </w:r>
          </w:p>
        </w:tc>
        <w:tc>
          <w:tcPr>
            <w:tcW w:type="dxa" w:w="1757"/>
          </w:tcPr>
          <w:p>
            <w:pPr>
              <w:pStyle w:val="TableText"/>
            </w:pPr>
            <w:r/>
            <w:r>
              <w:t>Forms 6, 7</w:t>
            </w:r>
          </w:p>
        </w:tc>
        <w:tc>
          <w:tcPr>
            <w:tcW w:type="dxa" w:w="1587"/>
          </w:tcPr>
          <w:p>
            <w:pPr>
              <w:pStyle w:val="TableText"/>
            </w:pPr>
            <w:r/>
            <w:r>
              <w:t>Within the first working day after the defense</w:t>
            </w:r>
          </w:p>
        </w:tc>
      </w:tr>
      <w:tr>
        <w:trPr>
          <w:cantSplit w:val="true"/>
        </w:trPr>
        <w:tc>
          <w:tcPr>
            <w:tcW w:type="dxa" w:w="567"/>
          </w:tcPr>
          <w:p>
            <w:pPr>
              <w:pStyle w:val="TableText"/>
            </w:pPr>
            <w:r/>
            <w:r>
              <w:t>9</w:t>
            </w:r>
          </w:p>
        </w:tc>
        <w:tc>
          <w:tcPr>
            <w:tcW w:type="dxa" w:w="1644"/>
          </w:tcPr>
          <w:p>
            <w:pPr>
              <w:pStyle w:val="TableText"/>
            </w:pPr>
            <w:r/>
            <w:r>
              <w:t>Student</w:t>
            </w:r>
          </w:p>
        </w:tc>
        <w:tc>
          <w:tcPr>
            <w:tcW w:type="dxa" w:w="4082"/>
          </w:tcPr>
          <w:p>
            <w:pPr>
              <w:pStyle w:val="TableText"/>
            </w:pPr>
            <w:r/>
            <w:r>
              <w:t>Settles the panel fees and emails the proof to the GS mailbox.</w:t>
            </w:r>
          </w:p>
        </w:tc>
        <w:tc>
          <w:tcPr>
            <w:tcW w:type="dxa" w:w="1757"/>
          </w:tcPr>
          <w:p>
            <w:pPr>
              <w:pStyle w:val="TableText"/>
            </w:pPr>
            <w:r/>
            <w:r>
              <w:t>Payment proof</w:t>
            </w:r>
          </w:p>
        </w:tc>
        <w:tc>
          <w:tcPr>
            <w:tcW w:type="dxa" w:w="1587"/>
          </w:tcPr>
          <w:p>
            <w:pPr>
              <w:pStyle w:val="TableText"/>
            </w:pPr>
            <w:r/>
            <w:r>
              <w:t>Within the first working day</w:t>
            </w:r>
          </w:p>
        </w:tc>
      </w:tr>
      <w:tr>
        <w:trPr>
          <w:cantSplit w:val="true"/>
        </w:trPr>
        <w:tc>
          <w:tcPr>
            <w:tcW w:type="dxa" w:w="567"/>
          </w:tcPr>
          <w:p>
            <w:pPr>
              <w:pStyle w:val="TableText"/>
            </w:pPr>
            <w:r/>
            <w:r>
              <w:t>10</w:t>
            </w:r>
          </w:p>
        </w:tc>
        <w:tc>
          <w:tcPr>
            <w:tcW w:type="dxa" w:w="1644"/>
          </w:tcPr>
          <w:p>
            <w:pPr>
              <w:pStyle w:val="TableText"/>
            </w:pPr>
            <w:r/>
            <w:r>
              <w:t>Student (admitted August 2020 onward)</w:t>
            </w:r>
          </w:p>
        </w:tc>
        <w:tc>
          <w:tcPr>
            <w:tcW w:type="dxa" w:w="4082"/>
          </w:tcPr>
          <w:p>
            <w:pPr>
              <w:pStyle w:val="TableText"/>
            </w:pPr>
            <w:r/>
            <w:r>
              <w:t>Is given two to four weeks to prepare and apply for the public final defense; the adviser reviews compliance (Form 6 with Action Taken and page numbers) and the student and adviser agree a date with the panel.</w:t>
            </w:r>
          </w:p>
        </w:tc>
        <w:tc>
          <w:tcPr>
            <w:tcW w:type="dxa" w:w="1757"/>
          </w:tcPr>
          <w:p>
            <w:pPr>
              <w:pStyle w:val="TableText"/>
            </w:pPr>
            <w:r/>
            <w:r>
              <w:t>Form 6 (Action Taken; page numbers)</w:t>
            </w:r>
          </w:p>
        </w:tc>
        <w:tc>
          <w:tcPr>
            <w:tcW w:type="dxa" w:w="1587"/>
          </w:tcPr>
          <w:p>
            <w:pPr>
              <w:pStyle w:val="TableText"/>
            </w:pPr>
            <w:r/>
            <w:r>
              <w:t>2 to 4 weeks</w:t>
            </w:r>
          </w:p>
        </w:tc>
      </w:tr>
      <w:tr>
        <w:trPr>
          <w:cantSplit w:val="true"/>
        </w:trPr>
        <w:tc>
          <w:tcPr>
            <w:tcW w:type="dxa" w:w="567"/>
          </w:tcPr>
          <w:p>
            <w:pPr>
              <w:pStyle w:val="TableText"/>
            </w:pPr>
            <w:r/>
            <w:r>
              <w:t>11</w:t>
            </w:r>
          </w:p>
        </w:tc>
        <w:tc>
          <w:tcPr>
            <w:tcW w:type="dxa" w:w="1644"/>
          </w:tcPr>
          <w:p>
            <w:pPr>
              <w:pStyle w:val="TableText"/>
            </w:pPr>
            <w:r/>
            <w:r>
              <w:t>Research adviser</w:t>
            </w:r>
          </w:p>
        </w:tc>
        <w:tc>
          <w:tcPr>
            <w:tcW w:type="dxa" w:w="4082"/>
          </w:tcPr>
          <w:p>
            <w:pPr>
              <w:pStyle w:val="TableText"/>
            </w:pPr>
            <w:r/>
            <w:r>
              <w:t>Emails Form 4.3, Endorsement for Public Defense, fully accomplished with the panel members' e-signatures and the date they received the revised manuscript, to the Research Coordinator.</w:t>
            </w:r>
          </w:p>
        </w:tc>
        <w:tc>
          <w:tcPr>
            <w:tcW w:type="dxa" w:w="1757"/>
          </w:tcPr>
          <w:p>
            <w:pPr>
              <w:pStyle w:val="TableText"/>
            </w:pPr>
            <w:r/>
            <w:r>
              <w:t>Form 4.3</w:t>
            </w:r>
          </w:p>
        </w:tc>
        <w:tc>
          <w:tcPr>
            <w:tcW w:type="dxa" w:w="1587"/>
          </w:tcPr>
          <w:p>
            <w:pPr>
              <w:pStyle w:val="TableText"/>
            </w:pPr>
            <w:r/>
            <w:r>
              <w:t>At least 2 weeks before the defense; application 5 days before for posting (conflict, OQ-23)</w:t>
            </w:r>
          </w:p>
        </w:tc>
      </w:tr>
      <w:tr>
        <w:trPr>
          <w:cantSplit w:val="true"/>
        </w:trPr>
        <w:tc>
          <w:tcPr>
            <w:tcW w:type="dxa" w:w="567"/>
          </w:tcPr>
          <w:p>
            <w:pPr>
              <w:pStyle w:val="TableText"/>
            </w:pPr>
            <w:r/>
            <w:r>
              <w:t>12</w:t>
            </w:r>
          </w:p>
        </w:tc>
        <w:tc>
          <w:tcPr>
            <w:tcW w:type="dxa" w:w="1644"/>
          </w:tcPr>
          <w:p>
            <w:pPr>
              <w:pStyle w:val="TableText"/>
            </w:pPr>
            <w:r/>
            <w:r>
              <w:t>GS Office / Research Coordinator</w:t>
            </w:r>
          </w:p>
        </w:tc>
        <w:tc>
          <w:tcPr>
            <w:tcW w:type="dxa" w:w="4082"/>
          </w:tcPr>
          <w:p>
            <w:pPr>
              <w:pStyle w:val="TableText"/>
            </w:pPr>
            <w:r/>
            <w:r>
              <w:t>Reserves the venue; the Research Coordinator prepares the announcement, sends it to adviser, student, panel and, in copy, to the Associate Dean and Dean, and posts it on the Graduate School official Facebook page with a pre-registration link; campus entry is processed with the GS Office.</w:t>
            </w:r>
          </w:p>
        </w:tc>
        <w:tc>
          <w:tcPr>
            <w:tcW w:type="dxa" w:w="1757"/>
          </w:tcPr>
          <w:p>
            <w:pPr>
              <w:pStyle w:val="TableText"/>
            </w:pPr>
            <w:r/>
            <w:r>
              <w:t>Public announcement</w:t>
            </w:r>
          </w:p>
        </w:tc>
        <w:tc>
          <w:tcPr>
            <w:tcW w:type="dxa" w:w="1587"/>
          </w:tcPr>
          <w:p>
            <w:pPr>
              <w:pStyle w:val="TableText"/>
            </w:pPr>
            <w:r/>
            <w:r>
              <w:t>—</w:t>
            </w:r>
          </w:p>
        </w:tc>
      </w:tr>
      <w:tr>
        <w:trPr>
          <w:cantSplit w:val="true"/>
        </w:trPr>
        <w:tc>
          <w:tcPr>
            <w:tcW w:type="dxa" w:w="567"/>
          </w:tcPr>
          <w:p>
            <w:pPr>
              <w:pStyle w:val="TableText"/>
            </w:pPr>
            <w:r/>
            <w:r>
              <w:t>13</w:t>
            </w:r>
          </w:p>
        </w:tc>
        <w:tc>
          <w:tcPr>
            <w:tcW w:type="dxa" w:w="1644"/>
          </w:tcPr>
          <w:p>
            <w:pPr>
              <w:pStyle w:val="TableText"/>
            </w:pPr>
            <w:r/>
            <w:r>
              <w:t>Panel chair</w:t>
            </w:r>
          </w:p>
        </w:tc>
        <w:tc>
          <w:tcPr>
            <w:tcW w:type="dxa" w:w="4082"/>
          </w:tcPr>
          <w:p>
            <w:pPr>
              <w:pStyle w:val="TableText"/>
            </w:pPr>
            <w:r/>
            <w:r>
              <w:t>Gives a brief orientation; the student presents for 30 minutes; questions follow (the audience may ask); the panel deliberates; the chair announces the result and the audience leaves; the panel may then emphasize comments not yet addressed.</w:t>
            </w:r>
          </w:p>
        </w:tc>
        <w:tc>
          <w:tcPr>
            <w:tcW w:type="dxa" w:w="1757"/>
          </w:tcPr>
          <w:p>
            <w:pPr>
              <w:pStyle w:val="TableText"/>
            </w:pPr>
            <w:r/>
            <w:r>
              <w:t>Forms 6 and 7</w:t>
            </w:r>
          </w:p>
        </w:tc>
        <w:tc>
          <w:tcPr>
            <w:tcW w:type="dxa" w:w="1587"/>
          </w:tcPr>
          <w:p>
            <w:pPr>
              <w:pStyle w:val="TableText"/>
            </w:pPr>
            <w:r/>
            <w:r>
              <w:t>At the defense</w:t>
            </w:r>
          </w:p>
        </w:tc>
      </w:tr>
    </w:tbl>
    <w:p>
      <w:pPr>
        <w:spacing w:after="80" w:before="0"/>
      </w:pPr>
    </w:p>
    <w:p>
      <w:pPr>
        <w:pStyle w:val="Heading3"/>
      </w:pPr>
      <w:r>
        <w:t>4.14.5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FIN-01</w:t>
            </w:r>
          </w:p>
        </w:tc>
        <w:tc>
          <w:tcPr>
            <w:tcW w:type="dxa" w:w="4535"/>
          </w:tcPr>
          <w:p>
            <w:pPr>
              <w:pStyle w:val="TableText"/>
            </w:pPr>
            <w:r/>
            <w:r>
              <w:t>Final decisions are pass, pass with minor revisions, and provisional pass with major revisions (subject for re-defense).</w:t>
            </w:r>
          </w:p>
        </w:tc>
        <w:tc>
          <w:tcPr>
            <w:tcW w:type="dxa" w:w="3005"/>
          </w:tcPr>
          <w:p>
            <w:pPr>
              <w:pStyle w:val="TableText"/>
            </w:pPr>
            <w:r/>
            <w:r>
              <w:t>Handbook 2022-2023, p. 66; Research Protocol AY2024-2025, Closed-door Final Defense, Part II</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FIN-02</w:t>
            </w:r>
          </w:p>
        </w:tc>
        <w:tc>
          <w:tcPr>
            <w:tcW w:type="dxa" w:w="4535"/>
          </w:tcPr>
          <w:p>
            <w:pPr>
              <w:pStyle w:val="TableText"/>
            </w:pPr>
            <w:r/>
            <w:r>
              <w:t>The adviser emails Form 4, the Ethics Clearance and the manuscript to the Research Coordinator at least two weeks before the defense.</w:t>
            </w:r>
          </w:p>
        </w:tc>
        <w:tc>
          <w:tcPr>
            <w:tcW w:type="dxa" w:w="3005"/>
          </w:tcPr>
          <w:p>
            <w:pPr>
              <w:pStyle w:val="TableText"/>
            </w:pPr>
            <w:r/>
            <w:r>
              <w:t>Handbook 2022-2023, p. 65; Research Protocol AY2024-2025, Closed-door Final Defense, Part I (Form 4 submission)</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FIN-03</w:t>
            </w:r>
          </w:p>
        </w:tc>
        <w:tc>
          <w:tcPr>
            <w:tcW w:type="dxa" w:w="4535"/>
          </w:tcPr>
          <w:p>
            <w:pPr>
              <w:pStyle w:val="TableText"/>
            </w:pPr>
            <w:r/>
            <w:r>
              <w:t>14-Day Rule: "At least fourteen (14) days, inclusive of weekends, from the date the panel members of the oral defense received their copies of the thesis/dissertation to the date of the oral defense."</w:t>
            </w:r>
          </w:p>
        </w:tc>
        <w:tc>
          <w:tcPr>
            <w:tcW w:type="dxa" w:w="3005"/>
          </w:tcPr>
          <w:p>
            <w:pPr>
              <w:pStyle w:val="TableText"/>
            </w:pPr>
            <w:r/>
            <w:r>
              <w:t>Handbook 2022-2023, p. 66; Research Protocol AY2024-2025, Closed-door Final Defense, Part I note</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FIN-04</w:t>
            </w:r>
          </w:p>
        </w:tc>
        <w:tc>
          <w:tcPr>
            <w:tcW w:type="dxa" w:w="4535"/>
          </w:tcPr>
          <w:p>
            <w:pPr>
              <w:pStyle w:val="TableText"/>
            </w:pPr>
            <w:r/>
            <w:r>
              <w:t>The same set of panel members takes part in the closed-door final defense.</w:t>
            </w:r>
          </w:p>
        </w:tc>
        <w:tc>
          <w:tcPr>
            <w:tcW w:type="dxa" w:w="3005"/>
          </w:tcPr>
          <w:p>
            <w:pPr>
              <w:pStyle w:val="TableText"/>
            </w:pPr>
            <w:r/>
            <w:r>
              <w:t>Handbook 2022-2023, p. 66; Research Protocol AY2024-2025, Closed-door Final Defense, Part I (same panel)</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FIN-05</w:t>
            </w:r>
          </w:p>
        </w:tc>
        <w:tc>
          <w:tcPr>
            <w:tcW w:type="dxa" w:w="4535"/>
          </w:tcPr>
          <w:p>
            <w:pPr>
              <w:pStyle w:val="TableText"/>
            </w:pPr>
            <w:r/>
            <w:r>
              <w:t>The panel members must not agree with the proposed schedule without the revised manuscript; the manuscript must already have been given to the panel before the date is set.</w:t>
            </w:r>
          </w:p>
        </w:tc>
        <w:tc>
          <w:tcPr>
            <w:tcW w:type="dxa" w:w="3005"/>
          </w:tcPr>
          <w:p>
            <w:pPr>
              <w:pStyle w:val="TableText"/>
            </w:pPr>
            <w:r/>
            <w:r>
              <w:t>Handbook 2022-2023, p. 65; Research Protocol AY2024-2025, Closed-door Final Defense, Part I note</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FIN-06</w:t>
            </w:r>
          </w:p>
        </w:tc>
        <w:tc>
          <w:tcPr>
            <w:tcW w:type="dxa" w:w="4535"/>
          </w:tcPr>
          <w:p>
            <w:pPr>
              <w:pStyle w:val="TableText"/>
            </w:pPr>
            <w:r/>
            <w:r>
              <w:t>If a provisional pass with major revisions is given and the panel recommends a re-defense, the student follows the same protocol for the final defense afterward; the same amount of fees applies to the re-defense.</w:t>
            </w:r>
          </w:p>
        </w:tc>
        <w:tc>
          <w:tcPr>
            <w:tcW w:type="dxa" w:w="3005"/>
          </w:tcPr>
          <w:p>
            <w:pPr>
              <w:pStyle w:val="TableText"/>
            </w:pPr>
            <w:r/>
            <w:r>
              <w:t>Handbook 2022-2023, p. 67; Research Protocol AY2024-2025, Closed-door Final Defense, Part II note</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FIN-07</w:t>
            </w:r>
          </w:p>
        </w:tc>
        <w:tc>
          <w:tcPr>
            <w:tcW w:type="dxa" w:w="4535"/>
          </w:tcPr>
          <w:p>
            <w:pPr>
              <w:pStyle w:val="TableText"/>
            </w:pPr>
            <w:r/>
            <w:r>
              <w:t>If a provisional pass with major revisions is given but no re-defense is recommended, the student complies with the corrections; once the revised manuscript is given to the panel for approval the 14-Day Rule applies; the adviser accomplishes Form 8 and emails it to the GS Research Coordinator.</w:t>
            </w:r>
          </w:p>
        </w:tc>
        <w:tc>
          <w:tcPr>
            <w:tcW w:type="dxa" w:w="3005"/>
          </w:tcPr>
          <w:p>
            <w:pPr>
              <w:pStyle w:val="TableText"/>
            </w:pPr>
            <w:r/>
            <w:r>
              <w:t>Handbook 2022-2023, p. 67; Research Protocol AY2024-2025, Closed-door Final Defense, Part II</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FIN-08</w:t>
            </w:r>
          </w:p>
        </w:tc>
        <w:tc>
          <w:tcPr>
            <w:tcW w:type="dxa" w:w="4535"/>
          </w:tcPr>
          <w:p>
            <w:pPr>
              <w:pStyle w:val="TableText"/>
            </w:pPr>
            <w:r/>
            <w:r>
              <w:t>A student who fails to meet the recommendations of all the panel members at a given time is advised to re-defend following the same protocol.</w:t>
            </w:r>
          </w:p>
        </w:tc>
        <w:tc>
          <w:tcPr>
            <w:tcW w:type="dxa" w:w="3005"/>
          </w:tcPr>
          <w:p>
            <w:pPr>
              <w:pStyle w:val="TableText"/>
            </w:pPr>
            <w:r/>
            <w:r>
              <w:t>Handbook 2022-2023, p. 67; Research Protocol AY2024-2025, Closed-door Final Defense, Part II</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FIN-09</w:t>
            </w:r>
          </w:p>
        </w:tc>
        <w:tc>
          <w:tcPr>
            <w:tcW w:type="dxa" w:w="4535"/>
          </w:tcPr>
          <w:p>
            <w:pPr>
              <w:pStyle w:val="TableText"/>
            </w:pPr>
            <w:r/>
            <w:r>
              <w:t>A provisional pass with major revisions must be reflected in Form 6 and agree with the score in Form 7: for a thesis the score is below 85; for a dissertation the score is below 90.</w:t>
            </w:r>
          </w:p>
        </w:tc>
        <w:tc>
          <w:tcPr>
            <w:tcW w:type="dxa" w:w="3005"/>
          </w:tcPr>
          <w:p>
            <w:pPr>
              <w:pStyle w:val="TableText"/>
            </w:pPr>
            <w:r/>
            <w:r>
              <w:t>Handbook 2022-2023, p. 67; Research Protocol AY2024-2025, Closed-door Final Defense, Part II note</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FIN-10</w:t>
            </w:r>
          </w:p>
        </w:tc>
        <w:tc>
          <w:tcPr>
            <w:tcW w:type="dxa" w:w="4535"/>
          </w:tcPr>
          <w:p>
            <w:pPr>
              <w:pStyle w:val="TableText"/>
            </w:pPr>
            <w:r/>
            <w:r>
              <w:t>Each panel member accomplishes Form 6 and emails it to the panel chair, and accomplishes Form 7 and emails it to the Research Coordinator, within the first working day after the defense (the Protocol adds that the research adviser also accomplishes Form 7); the chair emails all Forms 6 and the consolidated comments to the Research Coordinator, adviser and student within the same time.</w:t>
            </w:r>
          </w:p>
        </w:tc>
        <w:tc>
          <w:tcPr>
            <w:tcW w:type="dxa" w:w="3005"/>
          </w:tcPr>
          <w:p>
            <w:pPr>
              <w:pStyle w:val="TableText"/>
            </w:pPr>
            <w:r/>
            <w:r>
              <w:t>Handbook 2022-2023, p. 67; Research Protocol AY2024-2025, Closed-door Final Defense, Part III</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FIN-11</w:t>
            </w:r>
          </w:p>
        </w:tc>
        <w:tc>
          <w:tcPr>
            <w:tcW w:type="dxa" w:w="4535"/>
          </w:tcPr>
          <w:p>
            <w:pPr>
              <w:pStyle w:val="TableText"/>
            </w:pPr>
            <w:r/>
            <w:r>
              <w:t>For students admitted on August 2020 and onwards, the student is given two to four weeks to prepare and apply for the public final defense.</w:t>
            </w:r>
          </w:p>
        </w:tc>
        <w:tc>
          <w:tcPr>
            <w:tcW w:type="dxa" w:w="3005"/>
          </w:tcPr>
          <w:p>
            <w:pPr>
              <w:pStyle w:val="TableText"/>
            </w:pPr>
            <w:r/>
            <w:r>
              <w:t>Handbook 2022-2023, p. 71; Research Protocol AY2024-2025, Closed-door Final Defense, Part IV</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FIN-12</w:t>
            </w:r>
          </w:p>
        </w:tc>
        <w:tc>
          <w:tcPr>
            <w:tcW w:type="dxa" w:w="4535"/>
          </w:tcPr>
          <w:p>
            <w:pPr>
              <w:pStyle w:val="TableText"/>
            </w:pPr>
            <w:r/>
            <w:r>
              <w:t>Form 4.3 must be fully accomplished with the e-signature of the panel members and the date the panel received the revised manuscript.</w:t>
            </w:r>
          </w:p>
        </w:tc>
        <w:tc>
          <w:tcPr>
            <w:tcW w:type="dxa" w:w="3005"/>
          </w:tcPr>
          <w:p>
            <w:pPr>
              <w:pStyle w:val="TableText"/>
            </w:pPr>
            <w:r/>
            <w:r>
              <w:t>Handbook 2022-2023, pp. 72-73; Research Protocol AY2024-2025, Public Defense, Part I (Form 4.3 notes)</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FIN-13</w:t>
            </w:r>
          </w:p>
        </w:tc>
        <w:tc>
          <w:tcPr>
            <w:tcW w:type="dxa" w:w="4535"/>
          </w:tcPr>
          <w:p>
            <w:pPr>
              <w:pStyle w:val="TableText"/>
            </w:pPr>
            <w:r/>
            <w:r>
              <w:t>Form 6 must state the Action Taken by the student to address each comment and the specific page number where the improvement appears.</w:t>
            </w:r>
          </w:p>
        </w:tc>
        <w:tc>
          <w:tcPr>
            <w:tcW w:type="dxa" w:w="3005"/>
          </w:tcPr>
          <w:p>
            <w:pPr>
              <w:pStyle w:val="TableText"/>
            </w:pPr>
            <w:r/>
            <w:r>
              <w:t>Handbook 2022-2023, p. 72</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FIN-14</w:t>
            </w:r>
          </w:p>
        </w:tc>
        <w:tc>
          <w:tcPr>
            <w:tcW w:type="dxa" w:w="4535"/>
          </w:tcPr>
          <w:p>
            <w:pPr>
              <w:pStyle w:val="TableText"/>
            </w:pPr>
            <w:r/>
            <w:r>
              <w:t>Application for the public final defense must be made 5 days before the preferred schedule for posting purposes; Form 4.3 must be submitted at least two weeks before the date of the defense. (The two periods conflict; see OQ-23.)</w:t>
            </w:r>
          </w:p>
        </w:tc>
        <w:tc>
          <w:tcPr>
            <w:tcW w:type="dxa" w:w="3005"/>
          </w:tcPr>
          <w:p>
            <w:pPr>
              <w:pStyle w:val="TableText"/>
            </w:pPr>
            <w:r/>
            <w:r>
              <w:t>Handbook 2022-2023, pp. 72-73; Research Protocol AY2024-2025, Public Defense, Part I (Form 4.3 notes)</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FIN-15</w:t>
            </w:r>
          </w:p>
        </w:tc>
        <w:tc>
          <w:tcPr>
            <w:tcW w:type="dxa" w:w="4535"/>
          </w:tcPr>
          <w:p>
            <w:pPr>
              <w:pStyle w:val="TableText"/>
            </w:pPr>
            <w:r/>
            <w:r>
              <w:t>The announcement of the public defense is posted on the Graduate School Official Facebook Page with an embedded pre-registration link; the Research Coordinator coordinates campus entry with the GS Office.</w:t>
            </w:r>
          </w:p>
        </w:tc>
        <w:tc>
          <w:tcPr>
            <w:tcW w:type="dxa" w:w="3005"/>
          </w:tcPr>
          <w:p>
            <w:pPr>
              <w:pStyle w:val="TableText"/>
            </w:pPr>
            <w:r/>
            <w:r>
              <w:t>Handbook 2022-2023, p. 73; Research Protocol AY2024-2025, Public Defense, Part I (announcement and pre-registration)</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FIN-16</w:t>
            </w:r>
          </w:p>
        </w:tc>
        <w:tc>
          <w:tcPr>
            <w:tcW w:type="dxa" w:w="4535"/>
          </w:tcPr>
          <w:p>
            <w:pPr>
              <w:pStyle w:val="TableText"/>
            </w:pPr>
            <w:r/>
            <w:r>
              <w:t>Students enrolled (admitted) before August 2020 are not required to do a public final defense; instead, after the closed-door final defense, the student presents at a research conference.</w:t>
            </w:r>
          </w:p>
        </w:tc>
        <w:tc>
          <w:tcPr>
            <w:tcW w:type="dxa" w:w="3005"/>
          </w:tcPr>
          <w:p>
            <w:pPr>
              <w:pStyle w:val="TableText"/>
            </w:pPr>
            <w:r/>
            <w:r>
              <w:t>Handbook 2022-2023, pp. 68-69; Research Protocol AY2024-2025, Closed-door Final Defense, Part III note</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FIN-17</w:t>
            </w:r>
          </w:p>
        </w:tc>
        <w:tc>
          <w:tcPr>
            <w:tcW w:type="dxa" w:w="4535"/>
          </w:tcPr>
          <w:p>
            <w:pPr>
              <w:pStyle w:val="TableText"/>
            </w:pPr>
            <w:r/>
            <w:r>
              <w:t>In the public final defense the student has 30 minutes to present; the Handbook adds another 30 minutes for questions and answers, and the audience may ask questions. Panel members must have Form 6 in hand to check compliance.</w:t>
            </w:r>
          </w:p>
        </w:tc>
        <w:tc>
          <w:tcPr>
            <w:tcW w:type="dxa" w:w="3005"/>
          </w:tcPr>
          <w:p>
            <w:pPr>
              <w:pStyle w:val="TableText"/>
            </w:pPr>
            <w:r/>
            <w:r>
              <w:t>Handbook 2022-2023, p. 73; Research Protocol AY2024-2025, Public Defense, Part II</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FIN-18</w:t>
            </w:r>
          </w:p>
        </w:tc>
        <w:tc>
          <w:tcPr>
            <w:tcW w:type="dxa" w:w="4535"/>
          </w:tcPr>
          <w:p>
            <w:pPr>
              <w:pStyle w:val="TableText"/>
            </w:pPr>
            <w:r/>
            <w:r>
              <w:t>Only the panel chair submits the defense verdict and the record of the result.</w:t>
            </w:r>
          </w:p>
        </w:tc>
        <w:tc>
          <w:tcPr>
            <w:tcW w:type="dxa" w:w="3005"/>
          </w:tcPr>
          <w:p>
            <w:pPr>
              <w:pStyle w:val="TableText"/>
            </w:pPr>
            <w:r/>
            <w:r>
              <w:t>Group working notes, July 20 checklist, item 48</w:t>
            </w:r>
          </w:p>
        </w:tc>
        <w:tc>
          <w:tcPr>
            <w:tcW w:type="dxa" w:w="1191"/>
            <w:shd w:val="clear" w:color="auto" w:fill="DDEBF7"/>
          </w:tcPr>
          <w:p>
            <w:pPr>
              <w:pStyle w:val="TableText"/>
            </w:pPr>
            <w:r>
              <w:rPr>
                <w:b/>
              </w:rPr>
            </w:r>
            <w:r>
              <w:rPr>
                <w:b/>
              </w:rPr>
              <w:t>Proposed</w:t>
            </w:r>
          </w:p>
        </w:tc>
      </w:tr>
    </w:tbl>
    <w:p>
      <w:pPr>
        <w:spacing w:after="80" w:before="0"/>
      </w:pPr>
    </w:p>
    <w:p>
      <w:pPr>
        <w:pStyle w:val="Heading3"/>
      </w:pPr>
      <w:r>
        <w:t>4.14.6 Exceptions and unusual cases</w:t>
      </w:r>
    </w:p>
    <w:p>
      <w:pPr>
        <w:pStyle w:val="ListBullet"/>
        <w:spacing w:after="40"/>
      </w:pPr>
      <w:r>
        <w:t>Provisional pass with major revisions: re-defense or compliance with Form 8 (FIN-06, FIN-07).</w:t>
      </w:r>
    </w:p>
    <w:p>
      <w:pPr>
        <w:pStyle w:val="ListBullet"/>
        <w:spacing w:after="40"/>
      </w:pPr>
      <w:r>
        <w:t>Panel members disagree on whether the recommendations were met: the student re-defends (FIN-08).</w:t>
      </w:r>
    </w:p>
    <w:p>
      <w:pPr>
        <w:pStyle w:val="ListBullet"/>
        <w:spacing w:after="40"/>
      </w:pPr>
      <w:r>
        <w:t>Public defense audience: the audience leaves the room after the result is announced and the panel may emphasize unaddressed comments in private (Handbook 2022-2023, p. 73).</w:t>
      </w:r>
    </w:p>
    <w:p>
      <w:pPr>
        <w:pStyle w:val="ListBullet"/>
        <w:spacing w:after="40"/>
      </w:pPr>
      <w:r>
        <w:t>Final defense fee amounts are not known (OQ-27). The time available to submit the revised manuscript after a pass with minor revisions is not stated.</w:t>
      </w:r>
    </w:p>
    <w:p>
      <w:pPr>
        <w:pStyle w:val="Heading3"/>
      </w:pPr>
      <w:r>
        <w:t>4.14.7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Form 4, Form 4.3 and the manuscript</w:t>
            </w:r>
          </w:p>
        </w:tc>
        <w:tc>
          <w:tcPr>
            <w:tcW w:type="dxa" w:w="5102"/>
          </w:tcPr>
          <w:p>
            <w:pPr>
              <w:pStyle w:val="TableText"/>
            </w:pPr>
            <w:r/>
            <w:r>
              <w:t>Research Coordinator; research monitoring workbook (endorsement for final defense, schedule of final defense, schedule of public defense)</w:t>
            </w:r>
          </w:p>
        </w:tc>
      </w:tr>
      <w:tr>
        <w:trPr>
          <w:cantSplit w:val="true"/>
        </w:trPr>
        <w:tc>
          <w:tcPr>
            <w:tcW w:type="dxa" w:w="4535"/>
          </w:tcPr>
          <w:p>
            <w:pPr>
              <w:pStyle w:val="TableText"/>
            </w:pPr>
            <w:r/>
            <w:r>
              <w:t>Forms 6, 7 and 8</w:t>
            </w:r>
          </w:p>
        </w:tc>
        <w:tc>
          <w:tcPr>
            <w:tcW w:type="dxa" w:w="5102"/>
          </w:tcPr>
          <w:p>
            <w:pPr>
              <w:pStyle w:val="TableText"/>
            </w:pPr>
            <w:r/>
            <w:r>
              <w:t>Research Coordinator; student; adviser</w:t>
            </w:r>
          </w:p>
        </w:tc>
      </w:tr>
      <w:tr>
        <w:trPr>
          <w:cantSplit w:val="true"/>
        </w:trPr>
        <w:tc>
          <w:tcPr>
            <w:tcW w:type="dxa" w:w="4535"/>
          </w:tcPr>
          <w:p>
            <w:pPr>
              <w:pStyle w:val="TableText"/>
            </w:pPr>
            <w:r/>
            <w:r>
              <w:t>Public announcement</w:t>
            </w:r>
          </w:p>
        </w:tc>
        <w:tc>
          <w:tcPr>
            <w:tcW w:type="dxa" w:w="5102"/>
          </w:tcPr>
          <w:p>
            <w:pPr>
              <w:pStyle w:val="TableText"/>
            </w:pPr>
            <w:r/>
            <w:r>
              <w:t>Graduate School Facebook page; Associate Dean and Dean (copy)</w:t>
            </w:r>
          </w:p>
        </w:tc>
      </w:tr>
    </w:tbl>
    <w:p>
      <w:pPr>
        <w:spacing w:after="80" w:before="0"/>
      </w:pPr>
    </w:p>
    <w:p>
      <w:pPr>
        <w:pStyle w:val="Heading3"/>
      </w:pPr>
      <w:r>
        <w:t>4.14.8 How the platform supports this process</w:t>
      </w:r>
    </w:p>
    <w:p>
      <w:r>
        <w:rPr>
          <w:b w:val="0"/>
          <w:i w:val="0"/>
        </w:rPr>
        <w:t>The adviser signs the Form 4 final endorsement and the final manuscript on screen. The final stage lists four items: the endorsement, the signed manuscript, the confirmed schedule and the result. The panel of the proposal defense carries over to the final defense; a change needs a recorded reason and puts any booking back to Needs Re-confirmation. Booking follows 4.16: 14 days counted from the date that staff record as the day the panel received the manuscript, a warning that staff can override with a reason. The panel chair records one of the six outcomes. After a pass with minor revisions the adviser or the chair confirms the student's revision; after a provisional pass with major revisions and no re-defense the chair confirms; after a re-defense or a fail the evidence is archived, the student resubmits, the adviser signs again and staff book again. The chair may enter the Form 7 score; when one is entered and it is below 85 (project paper, thesis) or 90 (dissertation), the platform refuses Passed and minor revisions. The public final defense cannot be booked in the platform: there is no Form 4.3, announcement, pre-registration, panel or verdict step for it.</w:t>
      </w:r>
    </w:p>
    <w:p>
      <w:r>
        <w:rPr>
          <w:b/>
          <w:i w:val="0"/>
        </w:rPr>
        <w:t xml:space="preserve">Difference between the platform and the rule. </w:t>
      </w:r>
      <w:r>
        <w:t>The platform does not handle the public final defense (FIN-11 to FIN-15, FIN-17), so the five-day and two-week periods for Form 4.3 (OQ-23) are not reached in practice, although the register still holds the five-day value. Forms 6 and 7 and the one-working-day deadline (FIN-10), Form 8 (FIN-07), the two tracks before and after August 2020 (FIN-16, OQ-40) and the defense fees are not in the platform. The Form 7 score is optional, and the platform applies the thresholds of FIN-09 only when a score is typed; the register lists the two score rules as documented only, which no longer describes the verdict form exactly.</w:t>
      </w:r>
    </w:p>
    <w:p>
      <w:pPr>
        <w:pStyle w:val="Heading2"/>
        <w:spacing w:before="360"/>
      </w:pPr>
      <w:r>
        <w:t>4.15 Revisions and completion</w:t>
      </w:r>
    </w:p>
    <w:p>
      <w:pPr>
        <w:pStyle w:val="Heading3"/>
      </w:pPr>
      <w:r>
        <w:t>4.15.1 Purpose</w:t>
      </w:r>
    </w:p>
    <w:p>
      <w:r>
        <w:rPr>
          <w:b w:val="0"/>
          <w:i w:val="0"/>
        </w:rPr>
        <w:t>To have the final manuscript approved by the panel, scanned for similarity (Turnitin), edited, bound and submitted with the approval sheet, and to record the conference and publication requirements.</w:t>
      </w:r>
    </w:p>
    <w:p>
      <w:pPr>
        <w:pStyle w:val="Heading3"/>
      </w:pPr>
      <w:r>
        <w:t>4.15.2 Who is involved</w:t>
      </w:r>
    </w:p>
    <w:p>
      <w:r>
        <w:rPr>
          <w:b w:val="0"/>
          <w:i w:val="0"/>
        </w:rPr>
        <w:t>Student; Research adviser; Panel members; Turnitin desk; Editor; GS Office; Research ethics office (copy); Research Committee; Publication and Engagement Office.</w:t>
      </w:r>
    </w:p>
    <w:p>
      <w:pPr>
        <w:pStyle w:val="Heading3"/>
      </w:pPr>
      <w:r>
        <w:t>4.15.3 Trigger and preconditions</w:t>
      </w:r>
    </w:p>
    <w:p>
      <w:r>
        <w:rPr>
          <w:b/>
          <w:i w:val="0"/>
        </w:rPr>
        <w:t xml:space="preserve">Trigger. </w:t>
      </w:r>
      <w:r>
        <w:t>The final defense is passed (with or without minor or major revisions).</w:t>
      </w:r>
    </w:p>
    <w:p>
      <w:r>
        <w:rPr>
          <w:b/>
          <w:i w:val="0"/>
        </w:rPr>
        <w:t>Preconditions.</w:t>
      </w:r>
    </w:p>
    <w:p>
      <w:pPr>
        <w:pStyle w:val="ListBullet"/>
        <w:spacing w:after="40"/>
      </w:pPr>
      <w:r>
        <w:t>The panel's comments have been addressed in the revised manuscript.</w:t>
      </w:r>
    </w:p>
    <w:p>
      <w:pPr>
        <w:pStyle w:val="Heading3"/>
      </w:pPr>
      <w:r>
        <w:t>4.15.4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Student</w:t>
            </w:r>
          </w:p>
        </w:tc>
        <w:tc>
          <w:tcPr>
            <w:tcW w:type="dxa" w:w="4082"/>
          </w:tcPr>
          <w:p>
            <w:pPr>
              <w:pStyle w:val="TableText"/>
            </w:pPr>
            <w:r/>
            <w:r>
              <w:t>Polishes the paper by addressing the panel's comments and emails the manuscript to the panel members for approval before Turnitin scanning and editing.</w:t>
            </w:r>
          </w:p>
        </w:tc>
        <w:tc>
          <w:tcPr>
            <w:tcW w:type="dxa" w:w="1757"/>
          </w:tcPr>
          <w:p>
            <w:pPr>
              <w:pStyle w:val="TableText"/>
            </w:pPr>
            <w:r/>
            <w:r>
              <w:t>Revised manuscript</w:t>
            </w:r>
          </w:p>
        </w:tc>
        <w:tc>
          <w:tcPr>
            <w:tcW w:type="dxa" w:w="1587"/>
          </w:tcPr>
          <w:p>
            <w:pPr>
              <w:pStyle w:val="TableText"/>
            </w:pPr>
            <w:r/>
            <w:r>
              <w:t>14-Day Rule applies</w:t>
            </w:r>
          </w:p>
        </w:tc>
      </w:tr>
      <w:tr>
        <w:trPr>
          <w:cantSplit w:val="true"/>
        </w:trPr>
        <w:tc>
          <w:tcPr>
            <w:tcW w:type="dxa" w:w="567"/>
          </w:tcPr>
          <w:p>
            <w:pPr>
              <w:pStyle w:val="TableText"/>
            </w:pPr>
            <w:r/>
            <w:r>
              <w:t>2</w:t>
            </w:r>
          </w:p>
        </w:tc>
        <w:tc>
          <w:tcPr>
            <w:tcW w:type="dxa" w:w="1644"/>
          </w:tcPr>
          <w:p>
            <w:pPr>
              <w:pStyle w:val="TableText"/>
            </w:pPr>
            <w:r/>
            <w:r>
              <w:t>Panel members</w:t>
            </w:r>
          </w:p>
        </w:tc>
        <w:tc>
          <w:tcPr>
            <w:tcW w:type="dxa" w:w="4082"/>
          </w:tcPr>
          <w:p>
            <w:pPr>
              <w:pStyle w:val="TableText"/>
            </w:pPr>
            <w:r/>
            <w:r>
              <w:t>Email the student confirming initial approval of the final manuscript.</w:t>
            </w:r>
          </w:p>
        </w:tc>
        <w:tc>
          <w:tcPr>
            <w:tcW w:type="dxa" w:w="1757"/>
          </w:tcPr>
          <w:p>
            <w:pPr>
              <w:pStyle w:val="TableText"/>
            </w:pPr>
            <w:r/>
            <w:r>
              <w:t>Approval emails</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Research adviser</w:t>
            </w:r>
          </w:p>
        </w:tc>
        <w:tc>
          <w:tcPr>
            <w:tcW w:type="dxa" w:w="4082"/>
          </w:tcPr>
          <w:p>
            <w:pPr>
              <w:pStyle w:val="TableText"/>
            </w:pPr>
            <w:r/>
            <w:r>
              <w:t>Verifies that the panelists' recommendations are reflected in the manuscript, then endorses it for Turnitin scanning and editing.</w:t>
            </w:r>
          </w:p>
        </w:tc>
        <w:tc>
          <w:tcPr>
            <w:tcW w:type="dxa" w:w="1757"/>
          </w:tcPr>
          <w:p>
            <w:pPr>
              <w:pStyle w:val="TableText"/>
            </w:pPr>
            <w:r/>
            <w:r>
              <w:t>Adviser endorsement</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Student / Turnitin desk</w:t>
            </w:r>
          </w:p>
        </w:tc>
        <w:tc>
          <w:tcPr>
            <w:tcW w:type="dxa" w:w="4082"/>
          </w:tcPr>
          <w:p>
            <w:pPr>
              <w:pStyle w:val="TableText"/>
            </w:pPr>
            <w:r/>
            <w:r>
              <w:t>Requests a Turnitin scan by email; a similarity index rating (SIR) of not more than 15% is required.</w:t>
            </w:r>
          </w:p>
        </w:tc>
        <w:tc>
          <w:tcPr>
            <w:tcW w:type="dxa" w:w="1757"/>
          </w:tcPr>
          <w:p>
            <w:pPr>
              <w:pStyle w:val="TableText"/>
            </w:pPr>
            <w:r/>
            <w:r>
              <w:t>Turnitin certificate</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Student / Editor</w:t>
            </w:r>
          </w:p>
        </w:tc>
        <w:tc>
          <w:tcPr>
            <w:tcW w:type="dxa" w:w="4082"/>
          </w:tcPr>
          <w:p>
            <w:pPr>
              <w:pStyle w:val="TableText"/>
            </w:pPr>
            <w:r/>
            <w:r>
              <w:t>Chooses an editor from the pool affiliated with the University so that the USLS IRF is employed, applies the corrections and presents the revised paper to the editor, who issues Form 9, Editor Certification.</w:t>
            </w:r>
          </w:p>
        </w:tc>
        <w:tc>
          <w:tcPr>
            <w:tcW w:type="dxa" w:w="1757"/>
          </w:tcPr>
          <w:p>
            <w:pPr>
              <w:pStyle w:val="TableText"/>
            </w:pPr>
            <w:r/>
            <w:r>
              <w:t>Form 9</w:t>
            </w:r>
          </w:p>
        </w:tc>
        <w:tc>
          <w:tcPr>
            <w:tcW w:type="dxa" w:w="1587"/>
          </w:tcPr>
          <w:p>
            <w:pPr>
              <w:pStyle w:val="TableText"/>
            </w:pPr>
            <w:r/>
            <w:r>
              <w:t>14-Day Rule applies to the editor's review</w:t>
            </w:r>
          </w:p>
        </w:tc>
      </w:tr>
      <w:tr>
        <w:trPr>
          <w:cantSplit w:val="true"/>
        </w:trPr>
        <w:tc>
          <w:tcPr>
            <w:tcW w:type="dxa" w:w="567"/>
          </w:tcPr>
          <w:p>
            <w:pPr>
              <w:pStyle w:val="TableText"/>
            </w:pPr>
            <w:r/>
            <w:r>
              <w:t>6</w:t>
            </w:r>
          </w:p>
        </w:tc>
        <w:tc>
          <w:tcPr>
            <w:tcW w:type="dxa" w:w="1644"/>
          </w:tcPr>
          <w:p>
            <w:pPr>
              <w:pStyle w:val="TableText"/>
            </w:pPr>
            <w:r/>
            <w:r>
              <w:t>Student</w:t>
            </w:r>
          </w:p>
        </w:tc>
        <w:tc>
          <w:tcPr>
            <w:tcW w:type="dxa" w:w="4082"/>
          </w:tcPr>
          <w:p>
            <w:pPr>
              <w:pStyle w:val="TableText"/>
            </w:pPr>
            <w:r/>
            <w:r>
              <w:t>Sends the soft copy of the final manuscript, a screenshot of the panel members' approval emails, the Ethics Clearance, the Turnitin certificate and the Editor's certification to the GS Office and the research ethics office.</w:t>
            </w:r>
          </w:p>
        </w:tc>
        <w:tc>
          <w:tcPr>
            <w:tcW w:type="dxa" w:w="1757"/>
          </w:tcPr>
          <w:p>
            <w:pPr>
              <w:pStyle w:val="TableText"/>
            </w:pPr>
            <w:r/>
            <w:r>
              <w:t>Completion documents</w:t>
            </w:r>
          </w:p>
        </w:tc>
        <w:tc>
          <w:tcPr>
            <w:tcW w:type="dxa" w:w="1587"/>
          </w:tcPr>
          <w:p>
            <w:pPr>
              <w:pStyle w:val="TableText"/>
            </w:pPr>
            <w:r/>
            <w:r>
              <w:t>Within the period set by the office (OQ-26)</w:t>
            </w:r>
          </w:p>
        </w:tc>
      </w:tr>
      <w:tr>
        <w:trPr>
          <w:cantSplit w:val="true"/>
        </w:trPr>
        <w:tc>
          <w:tcPr>
            <w:tcW w:type="dxa" w:w="567"/>
          </w:tcPr>
          <w:p>
            <w:pPr>
              <w:pStyle w:val="TableText"/>
            </w:pPr>
            <w:r/>
            <w:r>
              <w:t>7</w:t>
            </w:r>
          </w:p>
        </w:tc>
        <w:tc>
          <w:tcPr>
            <w:tcW w:type="dxa" w:w="1644"/>
          </w:tcPr>
          <w:p>
            <w:pPr>
              <w:pStyle w:val="TableText"/>
            </w:pPr>
            <w:r/>
            <w:r>
              <w:t>GS Office</w:t>
            </w:r>
          </w:p>
        </w:tc>
        <w:tc>
          <w:tcPr>
            <w:tcW w:type="dxa" w:w="4082"/>
          </w:tcPr>
          <w:p>
            <w:pPr>
              <w:pStyle w:val="TableText"/>
            </w:pPr>
            <w:r/>
            <w:r>
              <w:t>Coordinates with the panel members and advisers for the accomplishment of Form 10, Approval Sheet.</w:t>
            </w:r>
          </w:p>
        </w:tc>
        <w:tc>
          <w:tcPr>
            <w:tcW w:type="dxa" w:w="1757"/>
          </w:tcPr>
          <w:p>
            <w:pPr>
              <w:pStyle w:val="TableText"/>
            </w:pPr>
            <w:r/>
            <w:r>
              <w:t>Form 10</w:t>
            </w:r>
          </w:p>
        </w:tc>
        <w:tc>
          <w:tcPr>
            <w:tcW w:type="dxa" w:w="1587"/>
          </w:tcPr>
          <w:p>
            <w:pPr>
              <w:pStyle w:val="TableText"/>
            </w:pPr>
            <w:r/>
            <w:r>
              <w:t>—</w:t>
            </w:r>
          </w:p>
        </w:tc>
      </w:tr>
      <w:tr>
        <w:trPr>
          <w:cantSplit w:val="true"/>
        </w:trPr>
        <w:tc>
          <w:tcPr>
            <w:tcW w:type="dxa" w:w="567"/>
          </w:tcPr>
          <w:p>
            <w:pPr>
              <w:pStyle w:val="TableText"/>
            </w:pPr>
            <w:r/>
            <w:r>
              <w:t>8</w:t>
            </w:r>
          </w:p>
        </w:tc>
        <w:tc>
          <w:tcPr>
            <w:tcW w:type="dxa" w:w="1644"/>
          </w:tcPr>
          <w:p>
            <w:pPr>
              <w:pStyle w:val="TableText"/>
            </w:pPr>
            <w:r/>
            <w:r>
              <w:t>Student</w:t>
            </w:r>
          </w:p>
        </w:tc>
        <w:tc>
          <w:tcPr>
            <w:tcW w:type="dxa" w:w="4082"/>
          </w:tcPr>
          <w:p>
            <w:pPr>
              <w:pStyle w:val="TableText"/>
            </w:pPr>
            <w:r/>
            <w:r>
              <w:t>Submits the bound copies and the CD with the signed approval sheets as part of the requirements for the diploma, TOR and other documents.</w:t>
            </w:r>
          </w:p>
        </w:tc>
        <w:tc>
          <w:tcPr>
            <w:tcW w:type="dxa" w:w="1757"/>
          </w:tcPr>
          <w:p>
            <w:pPr>
              <w:pStyle w:val="TableText"/>
            </w:pPr>
            <w:r/>
            <w:r>
              <w:t>Bound copy; CD</w:t>
            </w:r>
          </w:p>
        </w:tc>
        <w:tc>
          <w:tcPr>
            <w:tcW w:type="dxa" w:w="1587"/>
          </w:tcPr>
          <w:p>
            <w:pPr>
              <w:pStyle w:val="TableText"/>
            </w:pPr>
            <w:r/>
            <w:r>
              <w:t>—</w:t>
            </w:r>
          </w:p>
        </w:tc>
      </w:tr>
      <w:tr>
        <w:trPr>
          <w:cantSplit w:val="true"/>
        </w:trPr>
        <w:tc>
          <w:tcPr>
            <w:tcW w:type="dxa" w:w="567"/>
          </w:tcPr>
          <w:p>
            <w:pPr>
              <w:pStyle w:val="TableText"/>
            </w:pPr>
            <w:r/>
            <w:r>
              <w:t>9</w:t>
            </w:r>
          </w:p>
        </w:tc>
        <w:tc>
          <w:tcPr>
            <w:tcW w:type="dxa" w:w="1644"/>
          </w:tcPr>
          <w:p>
            <w:pPr>
              <w:pStyle w:val="TableText"/>
            </w:pPr>
            <w:r/>
            <w:r>
              <w:t>Student</w:t>
            </w:r>
          </w:p>
        </w:tc>
        <w:tc>
          <w:tcPr>
            <w:tcW w:type="dxa" w:w="4082"/>
          </w:tcPr>
          <w:p>
            <w:pPr>
              <w:pStyle w:val="TableText"/>
            </w:pPr>
            <w:r/>
            <w:r>
              <w:t>Presents the thesis or dissertation at a research conference (Graduate School Research Conference or external) and submits the certificate of presentation if external.</w:t>
            </w:r>
          </w:p>
        </w:tc>
        <w:tc>
          <w:tcPr>
            <w:tcW w:type="dxa" w:w="1757"/>
          </w:tcPr>
          <w:p>
            <w:pPr>
              <w:pStyle w:val="TableText"/>
            </w:pPr>
            <w:r/>
            <w:r>
              <w:t>Certificate of presentation</w:t>
            </w:r>
          </w:p>
        </w:tc>
        <w:tc>
          <w:tcPr>
            <w:tcW w:type="dxa" w:w="1587"/>
          </w:tcPr>
          <w:p>
            <w:pPr>
              <w:pStyle w:val="TableText"/>
            </w:pPr>
            <w:r/>
            <w:r>
              <w:t>May be submitted after the bound copies and CD</w:t>
            </w:r>
          </w:p>
        </w:tc>
      </w:tr>
      <w:tr>
        <w:trPr>
          <w:cantSplit w:val="true"/>
        </w:trPr>
        <w:tc>
          <w:tcPr>
            <w:tcW w:type="dxa" w:w="567"/>
          </w:tcPr>
          <w:p>
            <w:pPr>
              <w:pStyle w:val="TableText"/>
            </w:pPr>
            <w:r/>
            <w:r>
              <w:t>10</w:t>
            </w:r>
          </w:p>
        </w:tc>
        <w:tc>
          <w:tcPr>
            <w:tcW w:type="dxa" w:w="1644"/>
          </w:tcPr>
          <w:p>
            <w:pPr>
              <w:pStyle w:val="TableText"/>
            </w:pPr>
            <w:r/>
            <w:r>
              <w:t>Student / Research Committee / Dean</w:t>
            </w:r>
          </w:p>
        </w:tc>
        <w:tc>
          <w:tcPr>
            <w:tcW w:type="dxa" w:w="4082"/>
          </w:tcPr>
          <w:p>
            <w:pPr>
              <w:pStyle w:val="TableText"/>
            </w:pPr>
            <w:r/>
            <w:r>
              <w:t>Publication: chooses a journal from the approved PEO list, accomplishes Form 12 (and Form 11 if a co-author was pre-identified), emails the manuscript, ethics clearance and forms to the Research Coordinator for review by the Research Committee; the Dean approves; the student submits to the journal and later files Form 13 with the copy of the journal or certificate.</w:t>
            </w:r>
          </w:p>
        </w:tc>
        <w:tc>
          <w:tcPr>
            <w:tcW w:type="dxa" w:w="1757"/>
          </w:tcPr>
          <w:p>
            <w:pPr>
              <w:pStyle w:val="TableText"/>
            </w:pPr>
            <w:r/>
            <w:r>
              <w:t>Forms 11, 12, 13</w:t>
            </w:r>
          </w:p>
        </w:tc>
        <w:tc>
          <w:tcPr>
            <w:tcW w:type="dxa" w:w="1587"/>
          </w:tcPr>
          <w:p>
            <w:pPr>
              <w:pStyle w:val="TableText"/>
            </w:pPr>
            <w:r/>
            <w:r>
              <w:t>—</w:t>
            </w:r>
          </w:p>
        </w:tc>
      </w:tr>
    </w:tbl>
    <w:p>
      <w:pPr>
        <w:spacing w:after="80" w:before="0"/>
      </w:pPr>
    </w:p>
    <w:p>
      <w:pPr>
        <w:pStyle w:val="Heading3"/>
      </w:pPr>
      <w:r>
        <w:t>4.15.5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CMP-01</w:t>
            </w:r>
          </w:p>
        </w:tc>
        <w:tc>
          <w:tcPr>
            <w:tcW w:type="dxa" w:w="4535"/>
          </w:tcPr>
          <w:p>
            <w:pPr>
              <w:pStyle w:val="TableText"/>
            </w:pPr>
            <w:r/>
            <w:r>
              <w:t>After the student revises the paper, the manuscript is emailed to the panel members for their approval before Turnitin scanning and editing; the 14-Day Rule is applied, and the panel members then email the student confirming their initial approval.</w:t>
            </w:r>
          </w:p>
        </w:tc>
        <w:tc>
          <w:tcPr>
            <w:tcW w:type="dxa" w:w="3005"/>
          </w:tcPr>
          <w:p>
            <w:pPr>
              <w:pStyle w:val="TableText"/>
            </w:pPr>
            <w:r/>
            <w:r>
              <w:t>Handbook 2022-2023, p. 68; Research Protocol AY2024-2025, Closed-door Final Defense, Part III-IV</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CMP-02</w:t>
            </w:r>
          </w:p>
        </w:tc>
        <w:tc>
          <w:tcPr>
            <w:tcW w:type="dxa" w:w="4535"/>
          </w:tcPr>
          <w:p>
            <w:pPr>
              <w:pStyle w:val="TableText"/>
            </w:pPr>
            <w:r/>
            <w:r>
              <w:t>The adviser verifies that the panelists' recommendations are reflected in the manuscript and then endorses it for Turnitin scanning and editing.</w:t>
            </w:r>
          </w:p>
        </w:tc>
        <w:tc>
          <w:tcPr>
            <w:tcW w:type="dxa" w:w="3005"/>
          </w:tcPr>
          <w:p>
            <w:pPr>
              <w:pStyle w:val="TableText"/>
            </w:pPr>
            <w:r/>
            <w:r>
              <w:t>Research Protocol AY2024-2025, Closed-door Final Defense, Part III (adviser verification)</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CMP-03</w:t>
            </w:r>
          </w:p>
        </w:tc>
        <w:tc>
          <w:tcPr>
            <w:tcW w:type="dxa" w:w="4535"/>
          </w:tcPr>
          <w:p>
            <w:pPr>
              <w:pStyle w:val="TableText"/>
            </w:pPr>
            <w:r/>
            <w:r>
              <w:t>The final draft undergoes Turnitin scanning; a similarity index rating (SIR) of not more than 15% is required before the paper goes to the editor.</w:t>
            </w:r>
          </w:p>
        </w:tc>
        <w:tc>
          <w:tcPr>
            <w:tcW w:type="dxa" w:w="3005"/>
          </w:tcPr>
          <w:p>
            <w:pPr>
              <w:pStyle w:val="TableText"/>
            </w:pPr>
            <w:r/>
            <w:r>
              <w:t>Handbook 2022-2023, p. 68; Research Protocol AY2024-2025, Closed-door Final Defense, Part III</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CMP-04</w:t>
            </w:r>
          </w:p>
        </w:tc>
        <w:tc>
          <w:tcPr>
            <w:tcW w:type="dxa" w:w="4535"/>
          </w:tcPr>
          <w:p>
            <w:pPr>
              <w:pStyle w:val="TableText"/>
            </w:pPr>
            <w:r/>
            <w:r>
              <w:t>The student chooses from the pool of editors affiliated with the University so that the USLS IRF is employed; the 14-Day Rule applies to the editor; the editor gives Form 9, Editor Certification, once corrections are carried out.</w:t>
            </w:r>
          </w:p>
        </w:tc>
        <w:tc>
          <w:tcPr>
            <w:tcW w:type="dxa" w:w="3005"/>
          </w:tcPr>
          <w:p>
            <w:pPr>
              <w:pStyle w:val="TableText"/>
            </w:pPr>
            <w:r/>
            <w:r>
              <w:t>Handbook 2022-2023, p. 68; Research Protocol AY2024-2025, Closed-door Final Defense, Part III</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CMP-05</w:t>
            </w:r>
          </w:p>
        </w:tc>
        <w:tc>
          <w:tcPr>
            <w:tcW w:type="dxa" w:w="4535"/>
          </w:tcPr>
          <w:p>
            <w:pPr>
              <w:pStyle w:val="TableText"/>
            </w:pPr>
            <w:r/>
            <w:r>
              <w:t>The student sends the soft copy of the final manuscript to the GS Office, copy furnished to the research ethics office, with the panel approval emails, ethics clearance, Turnitin certificate and editor's certification, within the period set by the office, to inform the office that the manuscript is ready for hard-bound reproduction.</w:t>
            </w:r>
          </w:p>
        </w:tc>
        <w:tc>
          <w:tcPr>
            <w:tcW w:type="dxa" w:w="3005"/>
          </w:tcPr>
          <w:p>
            <w:pPr>
              <w:pStyle w:val="TableText"/>
            </w:pPr>
            <w:r/>
            <w:r>
              <w:t>Handbook 2022-2023, p. 68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CMP-06</w:t>
            </w:r>
          </w:p>
        </w:tc>
        <w:tc>
          <w:tcPr>
            <w:tcW w:type="dxa" w:w="4535"/>
          </w:tcPr>
          <w:p>
            <w:pPr>
              <w:pStyle w:val="TableText"/>
            </w:pPr>
            <w:r/>
            <w:r>
              <w:t>The GS Office coordinates with the panel members and advisers for the accomplishment of Form 10, Approval Sheet.</w:t>
            </w:r>
          </w:p>
        </w:tc>
        <w:tc>
          <w:tcPr>
            <w:tcW w:type="dxa" w:w="3005"/>
          </w:tcPr>
          <w:p>
            <w:pPr>
              <w:pStyle w:val="TableText"/>
            </w:pPr>
            <w:r/>
            <w:r>
              <w:t>Handbook 2022-2023, p. 68; Research Protocol AY2024-2025, Closed-door Final Defense, Part III</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CMP-07</w:t>
            </w:r>
          </w:p>
        </w:tc>
        <w:tc>
          <w:tcPr>
            <w:tcW w:type="dxa" w:w="4535"/>
          </w:tcPr>
          <w:p>
            <w:pPr>
              <w:pStyle w:val="TableText"/>
            </w:pPr>
            <w:r/>
            <w:r>
              <w:t>The student submits the bound copies and CD with the signed approval sheets as part of the requirements for the diploma, TOR and other related documents.</w:t>
            </w:r>
          </w:p>
        </w:tc>
        <w:tc>
          <w:tcPr>
            <w:tcW w:type="dxa" w:w="3005"/>
          </w:tcPr>
          <w:p>
            <w:pPr>
              <w:pStyle w:val="TableText"/>
            </w:pPr>
            <w:r/>
            <w:r>
              <w:t>Handbook 2022-2023, p. 68; Research Protocol AY2024-2025, Closed-door Final Defense, Part III</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CMP-08</w:t>
            </w:r>
          </w:p>
        </w:tc>
        <w:tc>
          <w:tcPr>
            <w:tcW w:type="dxa" w:w="4535"/>
          </w:tcPr>
          <w:p>
            <w:pPr>
              <w:pStyle w:val="TableText"/>
            </w:pPr>
            <w:r/>
            <w:r>
              <w:t>The student presents the thesis or dissertation at a research conference (the Graduate School Research Conference or an external one); the certificate of presentation for an external conference may be submitted after the bound copies and CD. Only graduating students present at the Graduate School Research Conference and join the graduation ceremony.</w:t>
            </w:r>
          </w:p>
        </w:tc>
        <w:tc>
          <w:tcPr>
            <w:tcW w:type="dxa" w:w="3005"/>
          </w:tcPr>
          <w:p>
            <w:pPr>
              <w:pStyle w:val="TableText"/>
            </w:pPr>
            <w:r/>
            <w:r>
              <w:t>Handbook 2022-2023, pp. 68-69, 74; Research Protocol AY2024-2025, Public Defense, Part III note</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CMP-09</w:t>
            </w:r>
          </w:p>
        </w:tc>
        <w:tc>
          <w:tcPr>
            <w:tcW w:type="dxa" w:w="4535"/>
          </w:tcPr>
          <w:p>
            <w:pPr>
              <w:pStyle w:val="TableText"/>
            </w:pPr>
            <w:r/>
            <w:r>
              <w:t>Publication: the student chooses a journal from the list of the Publication and Engagement Office and accomplishes Form 12 (Scopus, ISI and Web of Science for PhD; peer-reviewed journals for MA students); the manuscript, ethics clearance (if applicable), Form 11 (if applicable) and Form 12 go to the GS Research Coordinator for review by the Research Committee (Research Coordinator, Academic Coordinator, Associate Dean and the external expert); the Dean approves; the student then files Form 13 with the copy of the journal or the certificate of publication.</w:t>
            </w:r>
          </w:p>
        </w:tc>
        <w:tc>
          <w:tcPr>
            <w:tcW w:type="dxa" w:w="3005"/>
          </w:tcPr>
          <w:p>
            <w:pPr>
              <w:pStyle w:val="TableText"/>
            </w:pPr>
            <w:r/>
            <w:r>
              <w:t>Handbook 2022-2023, p. 75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CMP-10</w:t>
            </w:r>
          </w:p>
        </w:tc>
        <w:tc>
          <w:tcPr>
            <w:tcW w:type="dxa" w:w="4535"/>
          </w:tcPr>
          <w:p>
            <w:pPr>
              <w:pStyle w:val="TableText"/>
            </w:pPr>
            <w:r/>
            <w:r>
              <w:t>The student can only be declared a graduate and join the graduation ceremony once Form 13 and a copy of the journal or certificate of publication has been submitted.</w:t>
            </w:r>
          </w:p>
        </w:tc>
        <w:tc>
          <w:tcPr>
            <w:tcW w:type="dxa" w:w="3005"/>
          </w:tcPr>
          <w:p>
            <w:pPr>
              <w:pStyle w:val="TableText"/>
            </w:pPr>
            <w:r/>
            <w:r>
              <w:t>Handbook 2022-2023, p. 75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CMP-11</w:t>
            </w:r>
          </w:p>
        </w:tc>
        <w:tc>
          <w:tcPr>
            <w:tcW w:type="dxa" w:w="4535"/>
          </w:tcPr>
          <w:p>
            <w:pPr>
              <w:pStyle w:val="TableText"/>
            </w:pPr>
            <w:r/>
            <w:r>
              <w:t>The published journal must include the authorship affiliation in the sample format given in the Handbook.</w:t>
            </w:r>
          </w:p>
        </w:tc>
        <w:tc>
          <w:tcPr>
            <w:tcW w:type="dxa" w:w="3005"/>
          </w:tcPr>
          <w:p>
            <w:pPr>
              <w:pStyle w:val="TableText"/>
            </w:pPr>
            <w:r/>
            <w:r>
              <w:t>Handbook 2022-2023, p. 75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CMP-12</w:t>
            </w:r>
          </w:p>
        </w:tc>
        <w:tc>
          <w:tcPr>
            <w:tcW w:type="dxa" w:w="4535"/>
          </w:tcPr>
          <w:p>
            <w:pPr>
              <w:pStyle w:val="TableText"/>
            </w:pPr>
            <w:r/>
            <w:r>
              <w:t>The best thesis or dissertation award requires a cut-off score of 96 points; the chairman of the committee or the Dean submits the work to the committee and approval by the majority is required.</w:t>
            </w:r>
          </w:p>
        </w:tc>
        <w:tc>
          <w:tcPr>
            <w:tcW w:type="dxa" w:w="3005"/>
          </w:tcPr>
          <w:p>
            <w:pPr>
              <w:pStyle w:val="TableText"/>
            </w:pPr>
            <w:r/>
            <w:r>
              <w:t>Handbook 2022-2023, pp. 76-77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CMP-13</w:t>
            </w:r>
          </w:p>
        </w:tc>
        <w:tc>
          <w:tcPr>
            <w:tcW w:type="dxa" w:w="4535"/>
          </w:tcPr>
          <w:p>
            <w:pPr>
              <w:pStyle w:val="TableText"/>
            </w:pPr>
            <w:r/>
            <w:r>
              <w:t>The office checks that each completion document is present and that the Turnitin certificate shows a rating of 15% or below; it does not verify the content of the documents.</w:t>
            </w:r>
          </w:p>
        </w:tc>
        <w:tc>
          <w:tcPr>
            <w:tcW w:type="dxa" w:w="3005"/>
          </w:tcPr>
          <w:p>
            <w:pPr>
              <w:pStyle w:val="TableText"/>
            </w:pPr>
            <w:r/>
            <w:r>
              <w:t>Group working notes, July 20 checklist, item 42; Platform (current build)</w:t>
            </w:r>
          </w:p>
        </w:tc>
        <w:tc>
          <w:tcPr>
            <w:tcW w:type="dxa" w:w="1191"/>
            <w:shd w:val="clear" w:color="auto" w:fill="DDEBF7"/>
          </w:tcPr>
          <w:p>
            <w:pPr>
              <w:pStyle w:val="TableText"/>
            </w:pPr>
            <w:r>
              <w:rPr>
                <w:b/>
              </w:rPr>
            </w:r>
            <w:r>
              <w:rPr>
                <w:b/>
              </w:rPr>
              <w:t>Proposed</w:t>
            </w:r>
          </w:p>
        </w:tc>
      </w:tr>
    </w:tbl>
    <w:p>
      <w:pPr>
        <w:spacing w:after="80" w:before="0"/>
      </w:pPr>
    </w:p>
    <w:p>
      <w:pPr>
        <w:pStyle w:val="Heading3"/>
      </w:pPr>
      <w:r>
        <w:t>4.15.6 Exceptions and unusual cases</w:t>
      </w:r>
    </w:p>
    <w:p>
      <w:pPr>
        <w:pStyle w:val="ListBullet"/>
        <w:spacing w:after="40"/>
      </w:pPr>
      <w:r>
        <w:t>SIR above 15%: the paper cannot go to the editor (CMP-03); what the student must do next is not described in the sources.</w:t>
      </w:r>
    </w:p>
    <w:p>
      <w:pPr>
        <w:pStyle w:val="ListBullet"/>
        <w:spacing w:after="40"/>
      </w:pPr>
      <w:r>
        <w:t>External conference: the certificate of presentation is submitted after the bound copies (CMP-08).</w:t>
      </w:r>
    </w:p>
    <w:p>
      <w:pPr>
        <w:pStyle w:val="ListBullet"/>
        <w:spacing w:after="40"/>
      </w:pPr>
      <w:r>
        <w:t>The student enrolled before August 2020: presents at a conference instead of a public defense (FIN-16).</w:t>
      </w:r>
    </w:p>
    <w:p>
      <w:pPr>
        <w:pStyle w:val="ListBullet"/>
        <w:spacing w:after="40"/>
      </w:pPr>
      <w:r>
        <w:t>Publication: the Protocol supplied is the version without the publication protocol; the Handbook's publication procedure applies (OQ-25).</w:t>
      </w:r>
    </w:p>
    <w:p>
      <w:pPr>
        <w:pStyle w:val="Heading3"/>
      </w:pPr>
      <w:r>
        <w:t>4.15.7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Turnitin certificate; Form 9; Form 10; panel approval emails; ethics clearance</w:t>
            </w:r>
          </w:p>
        </w:tc>
        <w:tc>
          <w:tcPr>
            <w:tcW w:type="dxa" w:w="5102"/>
          </w:tcPr>
          <w:p>
            <w:pPr>
              <w:pStyle w:val="TableText"/>
            </w:pPr>
            <w:r/>
            <w:r>
              <w:t>GS Office; research monitoring workbook (Turnitin scan certificate, editor's certification, final approval sheet)</w:t>
            </w:r>
          </w:p>
        </w:tc>
      </w:tr>
      <w:tr>
        <w:trPr>
          <w:cantSplit w:val="true"/>
        </w:trPr>
        <w:tc>
          <w:tcPr>
            <w:tcW w:type="dxa" w:w="4535"/>
          </w:tcPr>
          <w:p>
            <w:pPr>
              <w:pStyle w:val="TableText"/>
            </w:pPr>
            <w:r/>
            <w:r>
              <w:t>Bound copies and CD</w:t>
            </w:r>
          </w:p>
        </w:tc>
        <w:tc>
          <w:tcPr>
            <w:tcW w:type="dxa" w:w="5102"/>
          </w:tcPr>
          <w:p>
            <w:pPr>
              <w:pStyle w:val="TableText"/>
            </w:pPr>
            <w:r/>
            <w:r>
              <w:t>GS Office; Library</w:t>
            </w:r>
          </w:p>
        </w:tc>
      </w:tr>
      <w:tr>
        <w:trPr>
          <w:cantSplit w:val="true"/>
        </w:trPr>
        <w:tc>
          <w:tcPr>
            <w:tcW w:type="dxa" w:w="4535"/>
          </w:tcPr>
          <w:p>
            <w:pPr>
              <w:pStyle w:val="TableText"/>
            </w:pPr>
            <w:r/>
            <w:r>
              <w:t>Forms 11, 12, 13 and proof of publication</w:t>
            </w:r>
          </w:p>
        </w:tc>
        <w:tc>
          <w:tcPr>
            <w:tcW w:type="dxa" w:w="5102"/>
          </w:tcPr>
          <w:p>
            <w:pPr>
              <w:pStyle w:val="TableText"/>
            </w:pPr>
            <w:r/>
            <w:r>
              <w:t>Research Coordinator; research monitoring workbook (publication)</w:t>
            </w:r>
          </w:p>
        </w:tc>
      </w:tr>
    </w:tbl>
    <w:p>
      <w:pPr>
        <w:spacing w:after="80" w:before="0"/>
      </w:pPr>
    </w:p>
    <w:p>
      <w:pPr>
        <w:pStyle w:val="Heading3"/>
      </w:pPr>
      <w:r>
        <w:t>4.15.8 How the platform supports this process</w:t>
      </w:r>
    </w:p>
    <w:p>
      <w:r>
        <w:rPr>
          <w:b w:val="0"/>
          <w:i w:val="0"/>
        </w:rPr>
        <w:t>The platform keeps a completion checklist of five items that the student uploads as PDF files: the soft copy of the final manuscript, the panel approval emails (one file), the Turnitin certificate labelled as a similarity index of 15% or below, Form 9 and Form 10. An item counts as complete only after the student submits it and GS staff review and verify it. When all five are verified the case becomes Verified Complete and the student's stage becomes Completed, which feeds the graduation eligibility check. Staff read the Turnitin percentage on the certificate; the platform does not read it from the file, and it does not verify the content of any document.</w:t>
      </w:r>
    </w:p>
    <w:p>
      <w:r>
        <w:rPr>
          <w:b/>
          <w:i w:val="0"/>
        </w:rPr>
        <w:t xml:space="preserve">Difference between the platform and the rule. </w:t>
      </w:r>
      <w:r>
        <w:t>The platform does not record the adviser's verification (CMP-02), the editor step, the bound copies, the CD, the conference presentation or the publication forms (Forms 11 to 13), and so cannot yet show the Handbook's publication requirement for graduation (OQ-25). The ethics clearance, which the Handbook also lists with the completion documents, is checked at the proposal stage and is not one of the five items. The register shows the Turnitin limit and the conference presentation as documented only. The period for sending the completion documents is not stated (OQ-26).</w:t>
      </w:r>
    </w:p>
    <w:p>
      <w:pPr>
        <w:pStyle w:val="Heading2"/>
        <w:spacing w:before="360"/>
      </w:pPr>
      <w:r>
        <w:t>4.16 Defense scheduling and rescheduling</w:t>
      </w:r>
    </w:p>
    <w:p>
      <w:pPr>
        <w:pStyle w:val="Heading3"/>
      </w:pPr>
      <w:r>
        <w:t>4.16.1 Purpose</w:t>
      </w:r>
    </w:p>
    <w:p>
      <w:r>
        <w:rPr>
          <w:b w:val="0"/>
          <w:i w:val="0"/>
        </w:rPr>
        <w:t>To set a date, time, venue or meeting link for a defense with the panel and adviser, and to handle changes.</w:t>
      </w:r>
    </w:p>
    <w:p>
      <w:pPr>
        <w:pStyle w:val="Heading3"/>
      </w:pPr>
      <w:r>
        <w:t>4.16.2 Who is involved</w:t>
      </w:r>
    </w:p>
    <w:p>
      <w:r>
        <w:rPr>
          <w:b w:val="0"/>
          <w:i w:val="0"/>
        </w:rPr>
        <w:t>Student; Research adviser; Research Coordinator; GS Office; Panel chair and panel members.</w:t>
      </w:r>
    </w:p>
    <w:p>
      <w:pPr>
        <w:pStyle w:val="Heading3"/>
      </w:pPr>
      <w:r>
        <w:t>4.16.3 Trigger and preconditions</w:t>
      </w:r>
    </w:p>
    <w:p>
      <w:r>
        <w:rPr>
          <w:b/>
          <w:i w:val="0"/>
        </w:rPr>
        <w:t xml:space="preserve">Trigger. </w:t>
      </w:r>
      <w:r>
        <w:t>The student is ready for a defense and the documents and panel are in place.</w:t>
      </w:r>
    </w:p>
    <w:p>
      <w:r>
        <w:rPr>
          <w:b/>
          <w:i w:val="0"/>
        </w:rPr>
        <w:t>Preconditions.</w:t>
      </w:r>
    </w:p>
    <w:p>
      <w:pPr>
        <w:pStyle w:val="ListBullet"/>
        <w:spacing w:after="40"/>
      </w:pPr>
      <w:r>
        <w:t>A panel is nominated.</w:t>
      </w:r>
    </w:p>
    <w:p>
      <w:pPr>
        <w:pStyle w:val="ListBullet"/>
        <w:spacing w:after="40"/>
      </w:pPr>
      <w:r>
        <w:t>The lead time in the rules below can be met.</w:t>
      </w:r>
    </w:p>
    <w:p>
      <w:pPr>
        <w:pStyle w:val="Heading3"/>
      </w:pPr>
      <w:r>
        <w:t>4.16.4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Student / adviser</w:t>
            </w:r>
          </w:p>
        </w:tc>
        <w:tc>
          <w:tcPr>
            <w:tcW w:type="dxa" w:w="4082"/>
          </w:tcPr>
          <w:p>
            <w:pPr>
              <w:pStyle w:val="TableText"/>
            </w:pPr>
            <w:r/>
            <w:r>
              <w:t>Agree a target date with the panel members (title: GS Office coordinates the panel; proposal and final: the student and adviser agree with the panel).</w:t>
            </w:r>
          </w:p>
        </w:tc>
        <w:tc>
          <w:tcPr>
            <w:tcW w:type="dxa" w:w="1757"/>
          </w:tcPr>
          <w:p>
            <w:pPr>
              <w:pStyle w:val="TableText"/>
            </w:pPr>
            <w:r/>
            <w:r>
              <w:t>Form 4 (schedule)</w:t>
            </w:r>
          </w:p>
        </w:tc>
        <w:tc>
          <w:tcPr>
            <w:tcW w:type="dxa" w:w="1587"/>
          </w:tcPr>
          <w:p>
            <w:pPr>
              <w:pStyle w:val="TableText"/>
            </w:pPr>
            <w:r/>
            <w:r>
              <w:t>See lead times below</w:t>
            </w:r>
          </w:p>
        </w:tc>
      </w:tr>
      <w:tr>
        <w:trPr>
          <w:cantSplit w:val="true"/>
        </w:trPr>
        <w:tc>
          <w:tcPr>
            <w:tcW w:type="dxa" w:w="567"/>
          </w:tcPr>
          <w:p>
            <w:pPr>
              <w:pStyle w:val="TableText"/>
            </w:pPr>
            <w:r/>
            <w:r>
              <w:t>2†</w:t>
            </w:r>
          </w:p>
        </w:tc>
        <w:tc>
          <w:tcPr>
            <w:tcW w:type="dxa" w:w="1644"/>
          </w:tcPr>
          <w:p>
            <w:pPr>
              <w:pStyle w:val="TableText"/>
            </w:pPr>
            <w:r/>
            <w:r>
              <w:t>Student (platform)</w:t>
            </w:r>
          </w:p>
        </w:tc>
        <w:tc>
          <w:tcPr>
            <w:tcW w:type="dxa" w:w="4082"/>
          </w:tcPr>
          <w:p>
            <w:pPr>
              <w:pStyle w:val="TableText"/>
            </w:pPr>
            <w:r/>
            <w:r>
              <w:t>Sends a scheduling request with a preferred date and onsite or online mode.</w:t>
            </w:r>
          </w:p>
        </w:tc>
        <w:tc>
          <w:tcPr>
            <w:tcW w:type="dxa" w:w="1757"/>
          </w:tcPr>
          <w:p>
            <w:pPr>
              <w:pStyle w:val="TableText"/>
            </w:pPr>
            <w:r/>
            <w:r>
              <w:t>Scheduling request</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Research Coordinator</w:t>
            </w:r>
          </w:p>
        </w:tc>
        <w:tc>
          <w:tcPr>
            <w:tcW w:type="dxa" w:w="4082"/>
          </w:tcPr>
          <w:p>
            <w:pPr>
              <w:pStyle w:val="TableText"/>
            </w:pPr>
            <w:r/>
            <w:r>
              <w:t>Requests the adviser's and panel members' availability, combines the responses, confirms onsite or online, and proposes a schedule to the student.</w:t>
            </w:r>
          </w:p>
        </w:tc>
        <w:tc>
          <w:tcPr>
            <w:tcW w:type="dxa" w:w="1757"/>
          </w:tcPr>
          <w:p>
            <w:pPr>
              <w:pStyle w:val="TableText"/>
            </w:pPr>
            <w:r/>
            <w:r>
              <w:t>Availability; proposed schedule</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Student</w:t>
            </w:r>
          </w:p>
        </w:tc>
        <w:tc>
          <w:tcPr>
            <w:tcW w:type="dxa" w:w="4082"/>
          </w:tcPr>
          <w:p>
            <w:pPr>
              <w:pStyle w:val="TableText"/>
            </w:pPr>
            <w:r/>
            <w:r>
              <w:t>Accepts the proposal, or asks for a revision with new preferred dates.</w:t>
            </w:r>
          </w:p>
        </w:tc>
        <w:tc>
          <w:tcPr>
            <w:tcW w:type="dxa" w:w="1757"/>
          </w:tcPr>
          <w:p>
            <w:pPr>
              <w:pStyle w:val="TableText"/>
            </w:pPr>
            <w:r/>
            <w:r>
              <w:t>Acceptance / reschedule request</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Research Coordinator</w:t>
            </w:r>
          </w:p>
        </w:tc>
        <w:tc>
          <w:tcPr>
            <w:tcW w:type="dxa" w:w="4082"/>
          </w:tcPr>
          <w:p>
            <w:pPr>
              <w:pStyle w:val="TableText"/>
            </w:pPr>
            <w:r/>
            <w:r>
              <w:t>Finalizes the schedule and notifies the adviser and panel.</w:t>
            </w:r>
          </w:p>
        </w:tc>
        <w:tc>
          <w:tcPr>
            <w:tcW w:type="dxa" w:w="1757"/>
          </w:tcPr>
          <w:p>
            <w:pPr>
              <w:pStyle w:val="TableText"/>
            </w:pPr>
            <w:r/>
            <w:r>
              <w:t>Final schedule</w:t>
            </w:r>
          </w:p>
        </w:tc>
        <w:tc>
          <w:tcPr>
            <w:tcW w:type="dxa" w:w="1587"/>
          </w:tcPr>
          <w:p>
            <w:pPr>
              <w:pStyle w:val="TableText"/>
            </w:pPr>
            <w:r/>
            <w:r>
              <w:t>—</w:t>
            </w:r>
          </w:p>
        </w:tc>
      </w:tr>
      <w:tr>
        <w:trPr>
          <w:cantSplit w:val="true"/>
        </w:trPr>
        <w:tc>
          <w:tcPr>
            <w:tcW w:type="dxa" w:w="567"/>
          </w:tcPr>
          <w:p>
            <w:pPr>
              <w:pStyle w:val="TableText"/>
            </w:pPr>
            <w:r/>
            <w:r>
              <w:t>6</w:t>
            </w:r>
          </w:p>
        </w:tc>
        <w:tc>
          <w:tcPr>
            <w:tcW w:type="dxa" w:w="1644"/>
          </w:tcPr>
          <w:p>
            <w:pPr>
              <w:pStyle w:val="TableText"/>
            </w:pPr>
            <w:r/>
            <w:r>
              <w:t>Panel chair / GS Office</w:t>
            </w:r>
          </w:p>
        </w:tc>
        <w:tc>
          <w:tcPr>
            <w:tcW w:type="dxa" w:w="4082"/>
          </w:tcPr>
          <w:p>
            <w:pPr>
              <w:pStyle w:val="TableText"/>
            </w:pPr>
            <w:r/>
            <w:r>
              <w:t>Reserves the venue through the GS Office or prepares the online details, and tells student, adviser and panel.</w:t>
            </w:r>
          </w:p>
        </w:tc>
        <w:tc>
          <w:tcPr>
            <w:tcW w:type="dxa" w:w="1757"/>
          </w:tcPr>
          <w:p>
            <w:pPr>
              <w:pStyle w:val="TableText"/>
            </w:pPr>
            <w:r/>
            <w:r>
              <w:t>Venue or meeting link</w:t>
            </w:r>
          </w:p>
        </w:tc>
        <w:tc>
          <w:tcPr>
            <w:tcW w:type="dxa" w:w="1587"/>
          </w:tcPr>
          <w:p>
            <w:pPr>
              <w:pStyle w:val="TableText"/>
            </w:pPr>
            <w:r/>
            <w:r>
              <w:t>Before the defense</w:t>
            </w:r>
          </w:p>
        </w:tc>
      </w:tr>
      <w:tr>
        <w:trPr>
          <w:cantSplit w:val="true"/>
        </w:trPr>
        <w:tc>
          <w:tcPr>
            <w:tcW w:type="dxa" w:w="567"/>
          </w:tcPr>
          <w:p>
            <w:pPr>
              <w:pStyle w:val="TableText"/>
            </w:pPr>
            <w:r/>
            <w:r>
              <w:t>7</w:t>
            </w:r>
          </w:p>
        </w:tc>
        <w:tc>
          <w:tcPr>
            <w:tcW w:type="dxa" w:w="1644"/>
          </w:tcPr>
          <w:p>
            <w:pPr>
              <w:pStyle w:val="TableText"/>
            </w:pPr>
            <w:r/>
            <w:r>
              <w:t>Research Coordinator</w:t>
            </w:r>
          </w:p>
        </w:tc>
        <w:tc>
          <w:tcPr>
            <w:tcW w:type="dxa" w:w="4082"/>
          </w:tcPr>
          <w:p>
            <w:pPr>
              <w:pStyle w:val="TableText"/>
            </w:pPr>
            <w:r/>
            <w:r>
              <w:t>Sends the forms for the defense to the panel.</w:t>
            </w:r>
          </w:p>
        </w:tc>
        <w:tc>
          <w:tcPr>
            <w:tcW w:type="dxa" w:w="1757"/>
          </w:tcPr>
          <w:p>
            <w:pPr>
              <w:pStyle w:val="TableText"/>
            </w:pPr>
            <w:r/>
            <w:r>
              <w:t>Forms</w:t>
            </w:r>
          </w:p>
        </w:tc>
        <w:tc>
          <w:tcPr>
            <w:tcW w:type="dxa" w:w="1587"/>
          </w:tcPr>
          <w:p>
            <w:pPr>
              <w:pStyle w:val="TableText"/>
            </w:pPr>
            <w:r/>
            <w:r>
              <w:t>—</w:t>
            </w:r>
          </w:p>
        </w:tc>
      </w:tr>
    </w:tbl>
    <w:p>
      <w:pPr>
        <w:spacing w:after="80" w:before="0"/>
      </w:pPr>
    </w:p>
    <w:p>
      <w:r>
        <w:rPr>
          <w:b w:val="0"/>
          <w:i/>
          <w:color w:val="595959"/>
          <w:sz w:val="17"/>
        </w:rPr>
        <w:t>† This step rests on a rule marked Practice or Proposed in section 4.16.5, or on the group's process model; it is not described in the Handbook or the Research Protocol and is to be confirmed by the Graduate School.</w:t>
      </w:r>
    </w:p>
    <w:p>
      <w:pPr>
        <w:pStyle w:val="Heading3"/>
      </w:pPr>
      <w:r>
        <w:t>4.16.5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SCH-01</w:t>
            </w:r>
          </w:p>
        </w:tc>
        <w:tc>
          <w:tcPr>
            <w:tcW w:type="dxa" w:w="4535"/>
          </w:tcPr>
          <w:p>
            <w:pPr>
              <w:pStyle w:val="TableText"/>
            </w:pPr>
            <w:r/>
            <w:r>
              <w:t>For the title defense the GS Office coordinates with the panel members about the proposed schedule; the Research Coordinator informs the panel and the student of the date and time.</w:t>
            </w:r>
          </w:p>
        </w:tc>
        <w:tc>
          <w:tcPr>
            <w:tcW w:type="dxa" w:w="3005"/>
          </w:tcPr>
          <w:p>
            <w:pPr>
              <w:pStyle w:val="TableText"/>
            </w:pPr>
            <w:r/>
            <w:r>
              <w:t>Handbook 2022-2023, p. 60; Research Protocol AY2024-2025, Title Defense, Part I, steps 5-6</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SCH-02</w:t>
            </w:r>
          </w:p>
        </w:tc>
        <w:tc>
          <w:tcPr>
            <w:tcW w:type="dxa" w:w="4535"/>
          </w:tcPr>
          <w:p>
            <w:pPr>
              <w:pStyle w:val="TableText"/>
            </w:pPr>
            <w:r/>
            <w:r>
              <w:t>For the proposal and final defenses the student and the research adviser agree with the panel members on the date and time, and the agreed schedule is indicated in Form 4.</w:t>
            </w:r>
          </w:p>
        </w:tc>
        <w:tc>
          <w:tcPr>
            <w:tcW w:type="dxa" w:w="3005"/>
          </w:tcPr>
          <w:p>
            <w:pPr>
              <w:pStyle w:val="TableText"/>
            </w:pPr>
            <w:r/>
            <w:r>
              <w:t>Handbook 2022-2023, pp. 63, 65; Research Protocol AY2024-2025, Proposal Defense, Part I (agreed schedule)</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SCH-03</w:t>
            </w:r>
          </w:p>
        </w:tc>
        <w:tc>
          <w:tcPr>
            <w:tcW w:type="dxa" w:w="4535"/>
          </w:tcPr>
          <w:p>
            <w:pPr>
              <w:pStyle w:val="TableText"/>
            </w:pPr>
            <w:r/>
            <w:r>
              <w:t>Lead times: title defense application at least two weeks before the defense; Form 4 at least two weeks before the proposal or final defense; the panel has two weeks to review the manuscript; under the 14-Day Rule at least fourteen days, inclusive of weekends, pass from the date the panel receives the manuscript to the defense.</w:t>
            </w:r>
          </w:p>
        </w:tc>
        <w:tc>
          <w:tcPr>
            <w:tcW w:type="dxa" w:w="3005"/>
          </w:tcPr>
          <w:p>
            <w:pPr>
              <w:pStyle w:val="TableText"/>
            </w:pPr>
            <w:r/>
            <w:r>
              <w:t>Handbook 2022-2023, pp. 59, 63, 65-66; Research Protocol AY2024-2025, Closed-door Final Defense, Part I note</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SCH-04</w:t>
            </w:r>
          </w:p>
        </w:tc>
        <w:tc>
          <w:tcPr>
            <w:tcW w:type="dxa" w:w="4535"/>
          </w:tcPr>
          <w:p>
            <w:pPr>
              <w:pStyle w:val="TableText"/>
            </w:pPr>
            <w:r/>
            <w:r>
              <w:t>Public final defense: Form 4.3 must be submitted five days before the preferred schedule for posting purposes (and at least two weeks before the defense according to the same section; OQ-23).</w:t>
            </w:r>
          </w:p>
        </w:tc>
        <w:tc>
          <w:tcPr>
            <w:tcW w:type="dxa" w:w="3005"/>
          </w:tcPr>
          <w:p>
            <w:pPr>
              <w:pStyle w:val="TableText"/>
            </w:pPr>
            <w:r/>
            <w:r>
              <w:t>Handbook 2022-2023, pp. 72-73; Research Protocol AY2024-2025, Public Defense, Part I (Form 4.3 notes)</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SCH-05</w:t>
            </w:r>
          </w:p>
        </w:tc>
        <w:tc>
          <w:tcPr>
            <w:tcW w:type="dxa" w:w="4535"/>
          </w:tcPr>
          <w:p>
            <w:pPr>
              <w:pStyle w:val="TableText"/>
            </w:pPr>
            <w:r/>
            <w:r>
              <w:t>The panel chair coordinates with the GS Office for the venue (proposal and closed-door final defense); the GS Office reserves the venue for the public final defense. For students abroad the defense is online.</w:t>
            </w:r>
          </w:p>
        </w:tc>
        <w:tc>
          <w:tcPr>
            <w:tcW w:type="dxa" w:w="3005"/>
          </w:tcPr>
          <w:p>
            <w:pPr>
              <w:pStyle w:val="TableText"/>
            </w:pPr>
            <w:r/>
            <w:r>
              <w:t>Handbook 2022-2023, pp. 63, 66, 70, 73; Research Protocol AY2024-2025, Proposal Defense, Part I (venue and students abroad)</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SCH-06</w:t>
            </w:r>
          </w:p>
        </w:tc>
        <w:tc>
          <w:tcPr>
            <w:tcW w:type="dxa" w:w="4535"/>
          </w:tcPr>
          <w:p>
            <w:pPr>
              <w:pStyle w:val="TableText"/>
            </w:pPr>
            <w:r/>
            <w:r>
              <w:t>The panel members must not agree with a proposed schedule without the revised manuscript.</w:t>
            </w:r>
          </w:p>
        </w:tc>
        <w:tc>
          <w:tcPr>
            <w:tcW w:type="dxa" w:w="3005"/>
          </w:tcPr>
          <w:p>
            <w:pPr>
              <w:pStyle w:val="TableText"/>
            </w:pPr>
            <w:r/>
            <w:r>
              <w:t>Handbook 2022-2023, p. 65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SCH-07</w:t>
            </w:r>
          </w:p>
        </w:tc>
        <w:tc>
          <w:tcPr>
            <w:tcW w:type="dxa" w:w="4535"/>
          </w:tcPr>
          <w:p>
            <w:pPr>
              <w:pStyle w:val="TableText"/>
            </w:pPr>
            <w:r/>
            <w:r>
              <w:t>A re-defense follows the same protocol as the original defense.</w:t>
            </w:r>
          </w:p>
        </w:tc>
        <w:tc>
          <w:tcPr>
            <w:tcW w:type="dxa" w:w="3005"/>
          </w:tcPr>
          <w:p>
            <w:pPr>
              <w:pStyle w:val="TableText"/>
            </w:pPr>
            <w:r/>
            <w:r>
              <w:t>Handbook 2022-2023, pp. 64, 66-67; Research Protocol AY2024-2025, Proposal Defense, Part II (major revisions)</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SCH-08</w:t>
            </w:r>
          </w:p>
        </w:tc>
        <w:tc>
          <w:tcPr>
            <w:tcW w:type="dxa" w:w="4535"/>
          </w:tcPr>
          <w:p>
            <w:pPr>
              <w:pStyle w:val="TableText"/>
            </w:pPr>
            <w:r/>
            <w:r>
              <w:t>Faculty invited to a panel may accept the invitation for the proposed date or mark themselves unavailable (the Associate Dean suggested this).</w:t>
            </w:r>
          </w:p>
        </w:tc>
        <w:tc>
          <w:tcPr>
            <w:tcW w:type="dxa" w:w="3005"/>
          </w:tcPr>
          <w:p>
            <w:pPr>
              <w:pStyle w:val="TableText"/>
            </w:pPr>
            <w:r/>
            <w:r>
              <w:t>Consultation 21 July 2026, Associate Dean's suggestion for panel scheduling</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SCH-09</w:t>
            </w:r>
          </w:p>
        </w:tc>
        <w:tc>
          <w:tcPr>
            <w:tcW w:type="dxa" w:w="4535"/>
          </w:tcPr>
          <w:p>
            <w:pPr>
              <w:pStyle w:val="TableText"/>
            </w:pPr>
            <w:r/>
            <w:r>
              <w:t>A defense is confirmed only when all required panel members and the adviser are available on the date; the lead time is a warning that staff may override with a recorded reason; the student may send a scheduling request with preferred dates; a reschedule or cancellation needs a recorded reason and the name of who asked for it.</w:t>
            </w:r>
          </w:p>
        </w:tc>
        <w:tc>
          <w:tcPr>
            <w:tcW w:type="dxa" w:w="3005"/>
          </w:tcPr>
          <w:p>
            <w:pPr>
              <w:pStyle w:val="TableText"/>
            </w:pPr>
            <w:r/>
            <w:r>
              <w:t>Group working notes, BPM accurate flow, section 9; Platform (current build)</w:t>
            </w:r>
          </w:p>
        </w:tc>
        <w:tc>
          <w:tcPr>
            <w:tcW w:type="dxa" w:w="1191"/>
            <w:shd w:val="clear" w:color="auto" w:fill="DDEBF7"/>
          </w:tcPr>
          <w:p>
            <w:pPr>
              <w:pStyle w:val="TableText"/>
            </w:pPr>
            <w:r>
              <w:rPr>
                <w:b/>
              </w:rPr>
            </w:r>
            <w:r>
              <w:rPr>
                <w:b/>
              </w:rPr>
              <w:t>Proposed</w:t>
            </w:r>
          </w:p>
        </w:tc>
      </w:tr>
    </w:tbl>
    <w:p>
      <w:pPr>
        <w:spacing w:after="80" w:before="0"/>
      </w:pPr>
    </w:p>
    <w:p>
      <w:pPr>
        <w:pStyle w:val="Heading3"/>
      </w:pPr>
      <w:r>
        <w:t>4.16.6 Exceptions and unusual cases</w:t>
      </w:r>
    </w:p>
    <w:p>
      <w:pPr>
        <w:pStyle w:val="ListBullet"/>
        <w:spacing w:after="40"/>
      </w:pPr>
      <w:r>
        <w:t>A panel member is unavailable: the Research Coordinator proposes other dates (SCH-09). The Protocol does not state a notice period for rescheduling (OQ-28).</w:t>
      </w:r>
    </w:p>
    <w:p>
      <w:pPr>
        <w:pStyle w:val="ListBullet"/>
        <w:spacing w:after="40"/>
      </w:pPr>
      <w:r>
        <w:t>A student asks to reschedule after the date is confirmed: not stated in the sources; the notice period, who approves and whether the panel fee changes are open (OQ-28).</w:t>
      </w:r>
    </w:p>
    <w:p>
      <w:pPr>
        <w:pStyle w:val="ListBullet"/>
        <w:spacing w:after="40"/>
      </w:pPr>
      <w:r>
        <w:t>A manuscript reaches the panel late: the 14-Day Rule is not met and the panel should not agree to the date (SCH-03, SCH-06).</w:t>
      </w:r>
    </w:p>
    <w:p>
      <w:pPr>
        <w:pStyle w:val="Heading3"/>
      </w:pPr>
      <w:r>
        <w:t>4.16.7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Form 4 (schedule), meeting details, reservations</w:t>
            </w:r>
          </w:p>
        </w:tc>
        <w:tc>
          <w:tcPr>
            <w:tcW w:type="dxa" w:w="5102"/>
          </w:tcPr>
          <w:p>
            <w:pPr>
              <w:pStyle w:val="TableText"/>
            </w:pPr>
            <w:r/>
            <w:r>
              <w:t>Research Coordinator; GS Office</w:t>
            </w:r>
          </w:p>
        </w:tc>
      </w:tr>
      <w:tr>
        <w:trPr>
          <w:cantSplit w:val="true"/>
        </w:trPr>
        <w:tc>
          <w:tcPr>
            <w:tcW w:type="dxa" w:w="4535"/>
          </w:tcPr>
          <w:p>
            <w:pPr>
              <w:pStyle w:val="TableText"/>
            </w:pPr>
            <w:r/>
            <w:r>
              <w:t>Schedule entries</w:t>
            </w:r>
          </w:p>
        </w:tc>
        <w:tc>
          <w:tcPr>
            <w:tcW w:type="dxa" w:w="5102"/>
          </w:tcPr>
          <w:p>
            <w:pPr>
              <w:pStyle w:val="TableText"/>
            </w:pPr>
            <w:r/>
            <w:r>
              <w:t>Research monitoring workbook (schedule of title, proposal, final and public defense)</w:t>
            </w:r>
          </w:p>
        </w:tc>
      </w:tr>
    </w:tbl>
    <w:p>
      <w:pPr>
        <w:spacing w:after="80" w:before="0"/>
      </w:pPr>
    </w:p>
    <w:p>
      <w:pPr>
        <w:pStyle w:val="Heading3"/>
      </w:pPr>
      <w:r>
        <w:t>4.16.8 How the platform supports this process</w:t>
      </w:r>
    </w:p>
    <w:p>
      <w:r>
        <w:rPr>
          <w:b w:val="0"/>
          <w:i w:val="0"/>
        </w:rPr>
        <w:t>Once a panel is matched and the student is at the right stage, the student can send a scheduling request with a preferred date, mode, venue and constraints; it creates a task for the Research Coordinator and runs no lead-time check. The Research Coordinator or GS staff book the slot. The platform shows the free times common to the adviser and every panel member, taken from their connected Google Calendars where faculty have connected them and otherwise from the working hours and availability kept on the faculty profile. Only the defense that matches the student's stage (title, proposal or final) can be booked, and one active booking is allowed for each. A booking is refused when the panel is incomplete, the adviser sits on the panel, anyone is unavailable, the student, a panel member or the venue is double-booked, the time is in the past, or, for a title defense, the Academic Coordinator's endorsement is missing. The lead time (14 days for the title, proposal and final defenses, counted as in 4.11 and 4.14) and other pending requirements are warnings that staff can override with a recorded reason. Staff and the Research Coordinator can reschedule or cancel a booking; a reason and the name of who asked are required, the old booking is kept and linked, and a reschedule runs every check again. A cancellation or a Deferred verdict opens a task for the Research Coordinator. The platform does not send the student a proposed schedule to accept or revise.</w:t>
      </w:r>
    </w:p>
    <w:p>
      <w:r>
        <w:rPr>
          <w:b/>
          <w:i w:val="0"/>
        </w:rPr>
        <w:t xml:space="preserve">Difference between the platform and the rule. </w:t>
      </w:r>
      <w:r>
        <w:t>The platform now applies a 14-day lead time to the title defense, as the Protocol asks, where the earlier build applied none. The public final defense (five days, or two weeks; OQ-23) cannot be booked. The lead time is a warning and not a block, because the sources describe no waiver (OQ-43). The steps in which the Research Coordinator asks for availability by message and the student accepts or revises a proposed schedule are the group's process model (SCH-08, SCH-09); the platform works out availability itself and the student only makes a request. The notice period for rescheduling is not defined in any source (OQ-28); the platform requires a reason but no notice period. The venue is only checked for a clash between bookings in the platform; reserving it with the GS Office is done by people (SCH-05).</w:t>
      </w:r>
    </w:p>
    <w:p>
      <w:pPr>
        <w:pStyle w:val="Heading2"/>
        <w:spacing w:before="360"/>
      </w:pPr>
      <w:r>
        <w:t>4.17 Practicum</w:t>
      </w:r>
    </w:p>
    <w:p>
      <w:pPr>
        <w:pStyle w:val="Heading3"/>
      </w:pPr>
      <w:r>
        <w:t>4.17.1 Purpose</w:t>
      </w:r>
    </w:p>
    <w:p>
      <w:r>
        <w:rPr>
          <w:b w:val="0"/>
          <w:i w:val="0"/>
        </w:rPr>
        <w:t>To record the practicum or internship required by some programs: the agreement with the practicum site, the hours completed, the certificates, and the Graduate School's acceptance of completion. The Handbook mentions the practicum only in passing; most of this chapter is therefore the group's proposal and must be confirmed.</w:t>
      </w:r>
    </w:p>
    <w:p>
      <w:pPr>
        <w:pStyle w:val="Heading3"/>
      </w:pPr>
      <w:r>
        <w:t>4.17.2 Who is involved</w:t>
      </w:r>
    </w:p>
    <w:p>
      <w:r>
        <w:rPr>
          <w:b w:val="0"/>
          <w:i w:val="0"/>
        </w:rPr>
        <w:t>Student; GS staff; Academic Coordinator; Graduate School Dean.</w:t>
      </w:r>
    </w:p>
    <w:p>
      <w:pPr>
        <w:pStyle w:val="Heading3"/>
      </w:pPr>
      <w:r>
        <w:t>4.17.3 Trigger and preconditions</w:t>
      </w:r>
    </w:p>
    <w:p>
      <w:r>
        <w:rPr>
          <w:b/>
          <w:i w:val="0"/>
        </w:rPr>
        <w:t xml:space="preserve">Trigger. </w:t>
      </w:r>
      <w:r>
        <w:t>A student in a program that requires a practicum or internship has finished the eligible coursework and begins the practicum.</w:t>
      </w:r>
    </w:p>
    <w:p>
      <w:r>
        <w:rPr>
          <w:b/>
          <w:i w:val="0"/>
        </w:rPr>
        <w:t>Preconditions.</w:t>
      </w:r>
    </w:p>
    <w:p>
      <w:pPr>
        <w:pStyle w:val="ListBullet"/>
        <w:spacing w:after="40"/>
      </w:pPr>
      <w:r>
        <w:t>The student's program requires a practicum (see OQ-29).</w:t>
      </w:r>
    </w:p>
    <w:p>
      <w:pPr>
        <w:pStyle w:val="ListBullet"/>
        <w:spacing w:after="40"/>
      </w:pPr>
      <w:r>
        <w:t>The student has completed the units the program requires before the practicum (the platform uses Basic 6, Major 9, Cognate 6, total 21 units as prototype values; OQ-29).</w:t>
      </w:r>
    </w:p>
    <w:p>
      <w:pPr>
        <w:pStyle w:val="ListBullet"/>
        <w:spacing w:after="40"/>
      </w:pPr>
      <w:r>
        <w:t>The research stages that precede the practicum are complete according to the program (OQ-29).</w:t>
      </w:r>
    </w:p>
    <w:p>
      <w:pPr>
        <w:pStyle w:val="Heading3"/>
      </w:pPr>
      <w:r>
        <w:t>4.17.4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Student</w:t>
            </w:r>
          </w:p>
        </w:tc>
        <w:tc>
          <w:tcPr>
            <w:tcW w:type="dxa" w:w="4082"/>
          </w:tcPr>
          <w:p>
            <w:pPr>
              <w:pStyle w:val="TableText"/>
            </w:pPr>
            <w:r/>
            <w:r>
              <w:t>Submits the signed memorandum of agreement (MOA) with the practicum site, with the site and supervisor names.</w:t>
            </w:r>
          </w:p>
        </w:tc>
        <w:tc>
          <w:tcPr>
            <w:tcW w:type="dxa" w:w="1757"/>
          </w:tcPr>
          <w:p>
            <w:pPr>
              <w:pStyle w:val="TableText"/>
            </w:pPr>
            <w:r/>
            <w:r>
              <w:t>MOA (PDF)</w:t>
            </w:r>
          </w:p>
        </w:tc>
        <w:tc>
          <w:tcPr>
            <w:tcW w:type="dxa" w:w="1587"/>
          </w:tcPr>
          <w:p>
            <w:pPr>
              <w:pStyle w:val="TableText"/>
            </w:pPr>
            <w:r/>
            <w:r>
              <w:t>—</w:t>
            </w:r>
          </w:p>
        </w:tc>
      </w:tr>
      <w:tr>
        <w:trPr>
          <w:cantSplit w:val="true"/>
        </w:trPr>
        <w:tc>
          <w:tcPr>
            <w:tcW w:type="dxa" w:w="567"/>
          </w:tcPr>
          <w:p>
            <w:pPr>
              <w:pStyle w:val="TableText"/>
            </w:pPr>
            <w:r/>
            <w:r>
              <w:t>2†</w:t>
            </w:r>
          </w:p>
        </w:tc>
        <w:tc>
          <w:tcPr>
            <w:tcW w:type="dxa" w:w="1644"/>
          </w:tcPr>
          <w:p>
            <w:pPr>
              <w:pStyle w:val="TableText"/>
            </w:pPr>
            <w:r/>
            <w:r>
              <w:t>GS staff</w:t>
            </w:r>
          </w:p>
        </w:tc>
        <w:tc>
          <w:tcPr>
            <w:tcW w:type="dxa" w:w="4082"/>
          </w:tcPr>
          <w:p>
            <w:pPr>
              <w:pStyle w:val="TableText"/>
            </w:pPr>
            <w:r/>
            <w:r>
              <w:t>Records the MOA and forwards it to the Academic Coordinator.</w:t>
            </w:r>
          </w:p>
        </w:tc>
        <w:tc>
          <w:tcPr>
            <w:tcW w:type="dxa" w:w="1757"/>
          </w:tcPr>
          <w:p>
            <w:pPr>
              <w:pStyle w:val="TableText"/>
            </w:pPr>
            <w:r/>
            <w:r>
              <w:t>Practicum record</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Academic Coordinator</w:t>
            </w:r>
          </w:p>
        </w:tc>
        <w:tc>
          <w:tcPr>
            <w:tcW w:type="dxa" w:w="4082"/>
          </w:tcPr>
          <w:p>
            <w:pPr>
              <w:pStyle w:val="TableText"/>
            </w:pPr>
            <w:r/>
            <w:r>
              <w:t>Reviews the MOA and marks the practicum as in progress.</w:t>
            </w:r>
          </w:p>
        </w:tc>
        <w:tc>
          <w:tcPr>
            <w:tcW w:type="dxa" w:w="1757"/>
          </w:tcPr>
          <w:p>
            <w:pPr>
              <w:pStyle w:val="TableText"/>
            </w:pPr>
            <w:r/>
            <w:r>
              <w:t>MOA review</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Student</w:t>
            </w:r>
          </w:p>
        </w:tc>
        <w:tc>
          <w:tcPr>
            <w:tcW w:type="dxa" w:w="4082"/>
          </w:tcPr>
          <w:p>
            <w:pPr>
              <w:pStyle w:val="TableText"/>
            </w:pPr>
            <w:r/>
            <w:r>
              <w:t>Completes the required practicum hours; prepares the certificate or certificates and submits the practicum documents with the hours completed.</w:t>
            </w:r>
          </w:p>
        </w:tc>
        <w:tc>
          <w:tcPr>
            <w:tcW w:type="dxa" w:w="1757"/>
          </w:tcPr>
          <w:p>
            <w:pPr>
              <w:pStyle w:val="TableText"/>
            </w:pPr>
            <w:r/>
            <w:r>
              <w:t>Certificates (PDF); hours</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GS staff</w:t>
            </w:r>
          </w:p>
        </w:tc>
        <w:tc>
          <w:tcPr>
            <w:tcW w:type="dxa" w:w="4082"/>
          </w:tcPr>
          <w:p>
            <w:pPr>
              <w:pStyle w:val="TableText"/>
            </w:pPr>
            <w:r/>
            <w:r>
              <w:t>Records the submission and forwards the documents to the Academic Coordinator.</w:t>
            </w:r>
          </w:p>
        </w:tc>
        <w:tc>
          <w:tcPr>
            <w:tcW w:type="dxa" w:w="1757"/>
          </w:tcPr>
          <w:p>
            <w:pPr>
              <w:pStyle w:val="TableText"/>
            </w:pPr>
            <w:r/>
            <w:r>
              <w:t>Practicum submission record</w:t>
            </w:r>
          </w:p>
        </w:tc>
        <w:tc>
          <w:tcPr>
            <w:tcW w:type="dxa" w:w="1587"/>
          </w:tcPr>
          <w:p>
            <w:pPr>
              <w:pStyle w:val="TableText"/>
            </w:pPr>
            <w:r/>
            <w:r>
              <w:t>—</w:t>
            </w:r>
          </w:p>
        </w:tc>
      </w:tr>
      <w:tr>
        <w:trPr>
          <w:cantSplit w:val="true"/>
        </w:trPr>
        <w:tc>
          <w:tcPr>
            <w:tcW w:type="dxa" w:w="567"/>
          </w:tcPr>
          <w:p>
            <w:pPr>
              <w:pStyle w:val="TableText"/>
            </w:pPr>
            <w:r/>
            <w:r>
              <w:t>6†</w:t>
            </w:r>
          </w:p>
        </w:tc>
        <w:tc>
          <w:tcPr>
            <w:tcW w:type="dxa" w:w="1644"/>
          </w:tcPr>
          <w:p>
            <w:pPr>
              <w:pStyle w:val="TableText"/>
            </w:pPr>
            <w:r/>
            <w:r>
              <w:t>Academic Coordinator</w:t>
            </w:r>
          </w:p>
        </w:tc>
        <w:tc>
          <w:tcPr>
            <w:tcW w:type="dxa" w:w="4082"/>
          </w:tcPr>
          <w:p>
            <w:pPr>
              <w:pStyle w:val="TableText"/>
            </w:pPr>
            <w:r/>
            <w:r>
              <w:t>Reviews the certificates and checks the hours. If the hours are not complete, returns the case with a reason and requests additional certificates; if complete, records completion and sends a practicum status report to the Dean.</w:t>
            </w:r>
          </w:p>
        </w:tc>
        <w:tc>
          <w:tcPr>
            <w:tcW w:type="dxa" w:w="1757"/>
          </w:tcPr>
          <w:p>
            <w:pPr>
              <w:pStyle w:val="TableText"/>
            </w:pPr>
            <w:r/>
            <w:r>
              <w:t>Completion record; status report</w:t>
            </w:r>
          </w:p>
        </w:tc>
        <w:tc>
          <w:tcPr>
            <w:tcW w:type="dxa" w:w="1587"/>
          </w:tcPr>
          <w:p>
            <w:pPr>
              <w:pStyle w:val="TableText"/>
            </w:pPr>
            <w:r/>
            <w:r>
              <w:t>—</w:t>
            </w:r>
          </w:p>
        </w:tc>
      </w:tr>
      <w:tr>
        <w:trPr>
          <w:cantSplit w:val="true"/>
        </w:trPr>
        <w:tc>
          <w:tcPr>
            <w:tcW w:type="dxa" w:w="567"/>
          </w:tcPr>
          <w:p>
            <w:pPr>
              <w:pStyle w:val="TableText"/>
            </w:pPr>
            <w:r/>
            <w:r>
              <w:t>7†</w:t>
            </w:r>
          </w:p>
        </w:tc>
        <w:tc>
          <w:tcPr>
            <w:tcW w:type="dxa" w:w="1644"/>
          </w:tcPr>
          <w:p>
            <w:pPr>
              <w:pStyle w:val="TableText"/>
            </w:pPr>
            <w:r/>
            <w:r>
              <w:t>Student</w:t>
            </w:r>
          </w:p>
        </w:tc>
        <w:tc>
          <w:tcPr>
            <w:tcW w:type="dxa" w:w="4082"/>
          </w:tcPr>
          <w:p>
            <w:pPr>
              <w:pStyle w:val="TableText"/>
            </w:pPr>
            <w:r/>
            <w:r>
              <w:t>If returned: submits additional certificates or proof; earlier files are kept.</w:t>
            </w:r>
          </w:p>
        </w:tc>
        <w:tc>
          <w:tcPr>
            <w:tcW w:type="dxa" w:w="1757"/>
          </w:tcPr>
          <w:p>
            <w:pPr>
              <w:pStyle w:val="TableText"/>
            </w:pPr>
            <w:r/>
            <w:r>
              <w:t>Additional certificates</w:t>
            </w:r>
          </w:p>
        </w:tc>
        <w:tc>
          <w:tcPr>
            <w:tcW w:type="dxa" w:w="1587"/>
          </w:tcPr>
          <w:p>
            <w:pPr>
              <w:pStyle w:val="TableText"/>
            </w:pPr>
            <w:r/>
            <w:r>
              <w:t>—</w:t>
            </w:r>
          </w:p>
        </w:tc>
      </w:tr>
      <w:tr>
        <w:trPr>
          <w:cantSplit w:val="true"/>
        </w:trPr>
        <w:tc>
          <w:tcPr>
            <w:tcW w:type="dxa" w:w="567"/>
          </w:tcPr>
          <w:p>
            <w:pPr>
              <w:pStyle w:val="TableText"/>
            </w:pPr>
            <w:r/>
            <w:r>
              <w:t>8†</w:t>
            </w:r>
          </w:p>
        </w:tc>
        <w:tc>
          <w:tcPr>
            <w:tcW w:type="dxa" w:w="1644"/>
          </w:tcPr>
          <w:p>
            <w:pPr>
              <w:pStyle w:val="TableText"/>
            </w:pPr>
            <w:r/>
            <w:r>
              <w:t>Graduate School Dean</w:t>
            </w:r>
          </w:p>
        </w:tc>
        <w:tc>
          <w:tcPr>
            <w:tcW w:type="dxa" w:w="4082"/>
          </w:tcPr>
          <w:p>
            <w:pPr>
              <w:pStyle w:val="TableText"/>
            </w:pPr>
            <w:r/>
            <w:r>
              <w:t>Receives and reviews the practicum status report (marks it reviewed).</w:t>
            </w:r>
          </w:p>
        </w:tc>
        <w:tc>
          <w:tcPr>
            <w:tcW w:type="dxa" w:w="1757"/>
          </w:tcPr>
          <w:p>
            <w:pPr>
              <w:pStyle w:val="TableText"/>
            </w:pPr>
            <w:r/>
            <w:r>
              <w:t>Dean review</w:t>
            </w:r>
          </w:p>
        </w:tc>
        <w:tc>
          <w:tcPr>
            <w:tcW w:type="dxa" w:w="1587"/>
          </w:tcPr>
          <w:p>
            <w:pPr>
              <w:pStyle w:val="TableText"/>
            </w:pPr>
            <w:r/>
            <w:r>
              <w:t>—</w:t>
            </w:r>
          </w:p>
        </w:tc>
      </w:tr>
    </w:tbl>
    <w:p>
      <w:pPr>
        <w:spacing w:after="80" w:before="0"/>
      </w:pPr>
    </w:p>
    <w:p>
      <w:r>
        <w:rPr>
          <w:b w:val="0"/>
          <w:i/>
          <w:color w:val="595959"/>
          <w:sz w:val="17"/>
        </w:rPr>
        <w:t>† This step rests on a rule marked Practice or Proposed in section 4.17.5, or on the group's process model; it is not described in the Handbook or the Research Protocol and is to be confirmed by the Graduate School.</w:t>
      </w:r>
    </w:p>
    <w:p>
      <w:pPr>
        <w:pStyle w:val="Heading3"/>
      </w:pPr>
      <w:r>
        <w:t>4.17.5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PRC-01</w:t>
            </w:r>
          </w:p>
        </w:tc>
        <w:tc>
          <w:tcPr>
            <w:tcW w:type="dxa" w:w="4535"/>
          </w:tcPr>
          <w:p>
            <w:pPr>
              <w:pStyle w:val="TableText"/>
            </w:pPr>
            <w:r/>
            <w:r>
              <w:t>Students who have finished all their coursework and are just working on the practicum or internship, after a semester of enrollment for it, may enroll for residence.</w:t>
            </w:r>
          </w:p>
        </w:tc>
        <w:tc>
          <w:tcPr>
            <w:tcW w:type="dxa" w:w="3005"/>
          </w:tcPr>
          <w:p>
            <w:pPr>
              <w:pStyle w:val="TableText"/>
            </w:pPr>
            <w:r/>
            <w:r>
              <w:t>Handbook 2022-2023, p. 48</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PRC-02</w:t>
            </w:r>
          </w:p>
        </w:tc>
        <w:tc>
          <w:tcPr>
            <w:tcW w:type="dxa" w:w="4535"/>
          </w:tcPr>
          <w:p>
            <w:pPr>
              <w:pStyle w:val="TableText"/>
            </w:pPr>
            <w:r/>
            <w:r>
              <w:t>For the non-thesis track in Education, the integrating course (action research or practicum in the major field) must be completed before the student files for the comprehensive examination.</w:t>
            </w:r>
          </w:p>
        </w:tc>
        <w:tc>
          <w:tcPr>
            <w:tcW w:type="dxa" w:w="3005"/>
          </w:tcPr>
          <w:p>
            <w:pPr>
              <w:pStyle w:val="TableText"/>
            </w:pPr>
            <w:r/>
            <w:r>
              <w:t>Handbook 2022-2023, p. 56</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PRC-03</w:t>
            </w:r>
          </w:p>
        </w:tc>
        <w:tc>
          <w:tcPr>
            <w:tcW w:type="dxa" w:w="4535"/>
          </w:tcPr>
          <w:p>
            <w:pPr>
              <w:pStyle w:val="TableText"/>
            </w:pPr>
            <w:r/>
            <w:r>
              <w:t>The curriculum copied in the group's notes for the Doctor of Philosophy in Psychology lists DPSY330 Internship (six units) in the second semester of the second year, before the written comprehensive examination and the dissertation. (The document the curriculum was copied from is not identified in the notes.)</w:t>
            </w:r>
          </w:p>
        </w:tc>
        <w:tc>
          <w:tcPr>
            <w:tcW w:type="dxa" w:w="3005"/>
          </w:tcPr>
          <w:p>
            <w:pPr>
              <w:pStyle w:val="TableText"/>
            </w:pPr>
            <w:r/>
            <w:r>
              <w:t>Group working notes, 'Course stuff' section, program curriculum tables</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PRC-04</w:t>
            </w:r>
          </w:p>
        </w:tc>
        <w:tc>
          <w:tcPr>
            <w:tcW w:type="dxa" w:w="4535"/>
          </w:tcPr>
          <w:p>
            <w:pPr>
              <w:pStyle w:val="TableText"/>
            </w:pPr>
            <w:r/>
            <w:r>
              <w:t>The practicum workflow applies only to students in Psychology programs and in the Master of Science in Guidance and Counseling (MSGC); students of other programs are excluded.</w:t>
            </w:r>
          </w:p>
        </w:tc>
        <w:tc>
          <w:tcPr>
            <w:tcW w:type="dxa" w:w="3005"/>
          </w:tcPr>
          <w:p>
            <w:pPr>
              <w:pStyle w:val="TableText"/>
            </w:pPr>
            <w:r/>
            <w:r>
              <w:t>Group working notes, Proposal and scenario notes, practicum program restriction; Platform (current build)</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PRC-05</w:t>
            </w:r>
          </w:p>
        </w:tc>
        <w:tc>
          <w:tcPr>
            <w:tcW w:type="dxa" w:w="4535"/>
          </w:tcPr>
          <w:p>
            <w:pPr>
              <w:pStyle w:val="TableText"/>
            </w:pPr>
            <w:r/>
            <w:r>
              <w:t>A student may begin the practicum only after the platform's check of curriculum completion and research progress is satisfied; if source data are missing the check shows Needs verification, not Pass.</w:t>
            </w:r>
          </w:p>
        </w:tc>
        <w:tc>
          <w:tcPr>
            <w:tcW w:type="dxa" w:w="3005"/>
          </w:tcPr>
          <w:p>
            <w:pPr>
              <w:pStyle w:val="TableText"/>
            </w:pPr>
            <w:r/>
            <w:r>
              <w:t>Group working notes, Platform (current build): practicum eligibility</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PRC-06</w:t>
            </w:r>
          </w:p>
        </w:tc>
        <w:tc>
          <w:tcPr>
            <w:tcW w:type="dxa" w:w="4535"/>
          </w:tcPr>
          <w:p>
            <w:pPr>
              <w:pStyle w:val="TableText"/>
            </w:pPr>
            <w:r/>
            <w:r>
              <w:t>The student submits a signed MOA, the practicum site and the supervisor's name; GS staff record and forward it; the Academic Coordinator reviews it and marks the practicum as in progress.</w:t>
            </w:r>
          </w:p>
        </w:tc>
        <w:tc>
          <w:tcPr>
            <w:tcW w:type="dxa" w:w="3005"/>
          </w:tcPr>
          <w:p>
            <w:pPr>
              <w:pStyle w:val="TableText"/>
            </w:pPr>
            <w:r/>
            <w:r>
              <w:t>Group working notes, BPM accurate flow, section 11</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PRC-07</w:t>
            </w:r>
          </w:p>
        </w:tc>
        <w:tc>
          <w:tcPr>
            <w:tcW w:type="dxa" w:w="4535"/>
          </w:tcPr>
          <w:p>
            <w:pPr>
              <w:pStyle w:val="TableText"/>
            </w:pPr>
            <w:r/>
            <w:r>
              <w:t>The required practicum hours default to 200; the practicum cannot be marked completed below the required hours; completion evidence is one or more certificate PDFs, and several certificates are allowed when the hours come from different companies.</w:t>
            </w:r>
          </w:p>
        </w:tc>
        <w:tc>
          <w:tcPr>
            <w:tcW w:type="dxa" w:w="3005"/>
          </w:tcPr>
          <w:p>
            <w:pPr>
              <w:pStyle w:val="TableText"/>
            </w:pPr>
            <w:r/>
            <w:r>
              <w:t>Group working notes, Platform (current build); proposal notes</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PRC-08</w:t>
            </w:r>
          </w:p>
        </w:tc>
        <w:tc>
          <w:tcPr>
            <w:tcW w:type="dxa" w:w="4535"/>
          </w:tcPr>
          <w:p>
            <w:pPr>
              <w:pStyle w:val="TableText"/>
            </w:pPr>
            <w:r/>
            <w:r>
              <w:t>If the hours are short, the Academic Coordinator returns the case with a reason; the student submits additional evidence; the earlier files stay in the history and are not overwritten.</w:t>
            </w:r>
          </w:p>
        </w:tc>
        <w:tc>
          <w:tcPr>
            <w:tcW w:type="dxa" w:w="3005"/>
          </w:tcPr>
          <w:p>
            <w:pPr>
              <w:pStyle w:val="TableText"/>
            </w:pPr>
            <w:r/>
            <w:r>
              <w:t>Group working notes, Scenario notes, practicum unusual case</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PRC-09</w:t>
            </w:r>
          </w:p>
        </w:tc>
        <w:tc>
          <w:tcPr>
            <w:tcW w:type="dxa" w:w="4535"/>
          </w:tcPr>
          <w:p>
            <w:pPr>
              <w:pStyle w:val="TableText"/>
            </w:pPr>
            <w:r/>
            <w:r>
              <w:t>The Academic Coordinator verifies hours and documents and sends a completed status report to the Dean; the Dean reviews the report and marks it reviewed. The Dean does not approve or deny the practicum.</w:t>
            </w:r>
          </w:p>
        </w:tc>
        <w:tc>
          <w:tcPr>
            <w:tcW w:type="dxa" w:w="3005"/>
          </w:tcPr>
          <w:p>
            <w:pPr>
              <w:pStyle w:val="TableText"/>
            </w:pPr>
            <w:r/>
            <w:r>
              <w:t>Group working notes, BPM accurate flow, section 11</w:t>
            </w:r>
          </w:p>
        </w:tc>
        <w:tc>
          <w:tcPr>
            <w:tcW w:type="dxa" w:w="1191"/>
            <w:shd w:val="clear" w:color="auto" w:fill="DDEBF7"/>
          </w:tcPr>
          <w:p>
            <w:pPr>
              <w:pStyle w:val="TableText"/>
            </w:pPr>
            <w:r>
              <w:rPr>
                <w:b/>
              </w:rPr>
            </w:r>
            <w:r>
              <w:rPr>
                <w:b/>
              </w:rPr>
              <w:t>Proposed</w:t>
            </w:r>
          </w:p>
        </w:tc>
      </w:tr>
    </w:tbl>
    <w:p>
      <w:pPr>
        <w:spacing w:after="80" w:before="0"/>
      </w:pPr>
    </w:p>
    <w:p>
      <w:pPr>
        <w:pStyle w:val="Heading3"/>
      </w:pPr>
      <w:r>
        <w:t>4.17.6 Exceptions and unusual cases</w:t>
      </w:r>
    </w:p>
    <w:p>
      <w:pPr>
        <w:pStyle w:val="ListBullet"/>
        <w:spacing w:after="40"/>
      </w:pPr>
      <w:r>
        <w:t>Hours short of the requirement: the case is returned and additional certificates are requested (PRC-08).</w:t>
      </w:r>
    </w:p>
    <w:p>
      <w:pPr>
        <w:pStyle w:val="ListBullet"/>
        <w:spacing w:after="40"/>
      </w:pPr>
      <w:r>
        <w:t>Hours across several organizations: several certificates are kept for the same case (PRC-07).</w:t>
      </w:r>
    </w:p>
    <w:p>
      <w:pPr>
        <w:pStyle w:val="ListBullet"/>
        <w:spacing w:after="40"/>
      </w:pPr>
      <w:r>
        <w:t>A student of a program with no practicum: excluded from the workflow (PRC-04).</w:t>
      </w:r>
    </w:p>
    <w:p>
      <w:pPr>
        <w:pStyle w:val="ListBullet"/>
        <w:spacing w:after="40"/>
      </w:pPr>
      <w:r>
        <w:t>The platform does not record the practicum's start and end dates or a schedule by organization; this is a missing feature (OQ-29).</w:t>
      </w:r>
    </w:p>
    <w:p>
      <w:pPr>
        <w:pStyle w:val="Heading3"/>
      </w:pPr>
      <w:r>
        <w:t>4.17.7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MOA, site and supervisor</w:t>
            </w:r>
          </w:p>
        </w:tc>
        <w:tc>
          <w:tcPr>
            <w:tcW w:type="dxa" w:w="5102"/>
          </w:tcPr>
          <w:p>
            <w:pPr>
              <w:pStyle w:val="TableText"/>
            </w:pPr>
            <w:r/>
            <w:r>
              <w:t>GS staff; Academic Coordinator</w:t>
            </w:r>
          </w:p>
        </w:tc>
      </w:tr>
      <w:tr>
        <w:trPr>
          <w:cantSplit w:val="true"/>
        </w:trPr>
        <w:tc>
          <w:tcPr>
            <w:tcW w:type="dxa" w:w="4535"/>
          </w:tcPr>
          <w:p>
            <w:pPr>
              <w:pStyle w:val="TableText"/>
            </w:pPr>
            <w:r/>
            <w:r>
              <w:t>Hours and certificates (all versions)</w:t>
            </w:r>
          </w:p>
        </w:tc>
        <w:tc>
          <w:tcPr>
            <w:tcW w:type="dxa" w:w="5102"/>
          </w:tcPr>
          <w:p>
            <w:pPr>
              <w:pStyle w:val="TableText"/>
            </w:pPr>
            <w:r/>
            <w:r>
              <w:t>GS staff; Academic Coordinator</w:t>
            </w:r>
          </w:p>
        </w:tc>
      </w:tr>
      <w:tr>
        <w:trPr>
          <w:cantSplit w:val="true"/>
        </w:trPr>
        <w:tc>
          <w:tcPr>
            <w:tcW w:type="dxa" w:w="4535"/>
          </w:tcPr>
          <w:p>
            <w:pPr>
              <w:pStyle w:val="TableText"/>
            </w:pPr>
            <w:r/>
            <w:r>
              <w:t>Practicum status report and the Dean's review</w:t>
            </w:r>
          </w:p>
        </w:tc>
        <w:tc>
          <w:tcPr>
            <w:tcW w:type="dxa" w:w="5102"/>
          </w:tcPr>
          <w:p>
            <w:pPr>
              <w:pStyle w:val="TableText"/>
            </w:pPr>
            <w:r/>
            <w:r>
              <w:t>Dean; Graduate School record</w:t>
            </w:r>
          </w:p>
        </w:tc>
      </w:tr>
    </w:tbl>
    <w:p>
      <w:pPr>
        <w:spacing w:after="80" w:before="0"/>
      </w:pPr>
    </w:p>
    <w:p>
      <w:pPr>
        <w:pStyle w:val="Heading3"/>
      </w:pPr>
      <w:r>
        <w:t>4.17.8 How the platform supports this process</w:t>
      </w:r>
    </w:p>
    <w:p>
      <w:r>
        <w:rPr>
          <w:b w:val="0"/>
          <w:i w:val="0"/>
        </w:rPr>
        <w:t>Only students of the Psychology programs and of the Master of Science in Guidance and Counseling can use the practicum workflow. The student's first submission of the memorandum of agreement (MOA) is refused unless the eligibility check says Eligible: the program is in scope, the completed units are at least Basic 6, Major 9, Cognate 6 and 21 in total, the title, proposal, ethics and final research stages have been reached, and the standing is Active. When source data are missing the check shows Needs verification and blocks. The MOA needs a PDF and a site. The case then runs in order. GS staff forward the MOA to the Academic Coordinator. The Academic Coordinator marks the practicum In Progress, or records Not Accepted - New Organization Required with a reason, after which the student arranges another organization and sends an updated MOA. The student submits certificate PDFs and the hours completed, and GS staff forward them. The Academic Coordinator requests more or records completion, which the platform refuses while the hours completed are below the required hours (200 by default). The Academic Coordinator then sends the status report to the Dean, who marks it reviewed. Staff can see the cases as a board or table.</w:t>
      </w:r>
    </w:p>
    <w:p>
      <w:r>
        <w:rPr>
          <w:b/>
          <w:i w:val="0"/>
        </w:rPr>
        <w:t xml:space="preserve">Difference between the platform and the rule. </w:t>
      </w:r>
      <w:r>
        <w:t>None of the practicum rules (programs, hours, unit prerequisites, documents) comes from the Handbook or the Research Protocol. The program scope, the required hours and the unit prerequisites are prototype values held in the register with the status Needs review (PRC-03 to PRC-05, PRC-07; OQ-29). The platform counts certificate files, not the validity of each certificate; the hours are typed by the student; the supervisor's name is optional; and it does not record start and end dates or a schedule by organization. All of it is the group's proposal and is listed for validation.</w:t>
      </w:r>
    </w:p>
    <w:p>
      <w:pPr>
        <w:pStyle w:val="Heading2"/>
        <w:spacing w:before="360"/>
      </w:pPr>
      <w:r>
        <w:t>4.18 Graduation application and endorsement</w:t>
      </w:r>
    </w:p>
    <w:p>
      <w:pPr>
        <w:pStyle w:val="Heading3"/>
      </w:pPr>
      <w:r>
        <w:t>4.18.1 Purpose</w:t>
      </w:r>
    </w:p>
    <w:p>
      <w:r>
        <w:rPr>
          <w:b w:val="0"/>
          <w:i w:val="0"/>
        </w:rPr>
        <w:t>To confirm that a student has met every graduation requirement and to hand the endorsed list of candidates to the Registrar, who certifies eligibility.</w:t>
      </w:r>
    </w:p>
    <w:p>
      <w:pPr>
        <w:pStyle w:val="Heading3"/>
      </w:pPr>
      <w:r>
        <w:t>4.18.2 Who is involved</w:t>
      </w:r>
    </w:p>
    <w:p>
      <w:r>
        <w:rPr>
          <w:b w:val="0"/>
          <w:i w:val="0"/>
        </w:rPr>
        <w:t>Student; GS staff; Academic Coordinator; Research Coordinator; Graduate School Dean; University Registrar (external).</w:t>
      </w:r>
    </w:p>
    <w:p>
      <w:pPr>
        <w:pStyle w:val="Heading3"/>
      </w:pPr>
      <w:r>
        <w:t>4.18.3 Trigger and preconditions</w:t>
      </w:r>
    </w:p>
    <w:p>
      <w:r>
        <w:rPr>
          <w:b/>
          <w:i w:val="0"/>
        </w:rPr>
        <w:t xml:space="preserve">Trigger. </w:t>
      </w:r>
      <w:r>
        <w:t>The student applies for graduation in the semester in which all requirements are to be complete.</w:t>
      </w:r>
    </w:p>
    <w:p>
      <w:r>
        <w:rPr>
          <w:b/>
          <w:i w:val="0"/>
        </w:rPr>
        <w:t>Preconditions.</w:t>
      </w:r>
    </w:p>
    <w:p>
      <w:pPr>
        <w:pStyle w:val="ListBullet"/>
        <w:spacing w:after="40"/>
      </w:pPr>
      <w:r>
        <w:t>The student is officially enrolled during the semester of application for graduation.</w:t>
      </w:r>
    </w:p>
    <w:p>
      <w:pPr>
        <w:pStyle w:val="ListBullet"/>
        <w:spacing w:after="40"/>
      </w:pPr>
      <w:r>
        <w:t>Coursework, comprehensive examination, final defense and revisions are complete.</w:t>
      </w:r>
    </w:p>
    <w:p>
      <w:pPr>
        <w:pStyle w:val="Heading3"/>
      </w:pPr>
      <w:r>
        <w:t>4.18.4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Student</w:t>
            </w:r>
          </w:p>
        </w:tc>
        <w:tc>
          <w:tcPr>
            <w:tcW w:type="dxa" w:w="4082"/>
          </w:tcPr>
          <w:p>
            <w:pPr>
              <w:pStyle w:val="TableText"/>
            </w:pPr>
            <w:r/>
            <w:r>
              <w:t>Applies for graduation; in the platform, submits a signed graduation application (PDF).</w:t>
            </w:r>
          </w:p>
        </w:tc>
        <w:tc>
          <w:tcPr>
            <w:tcW w:type="dxa" w:w="1757"/>
          </w:tcPr>
          <w:p>
            <w:pPr>
              <w:pStyle w:val="TableText"/>
            </w:pPr>
            <w:r/>
            <w:r>
              <w:t>Graduation application</w:t>
            </w:r>
          </w:p>
        </w:tc>
        <w:tc>
          <w:tcPr>
            <w:tcW w:type="dxa" w:w="1587"/>
          </w:tcPr>
          <w:p>
            <w:pPr>
              <w:pStyle w:val="TableText"/>
            </w:pPr>
            <w:r/>
            <w:r>
              <w:t>In the graduation review window (dates not stated; OQ-30)</w:t>
            </w:r>
          </w:p>
        </w:tc>
      </w:tr>
      <w:tr>
        <w:trPr>
          <w:cantSplit w:val="true"/>
        </w:trPr>
        <w:tc>
          <w:tcPr>
            <w:tcW w:type="dxa" w:w="567"/>
          </w:tcPr>
          <w:p>
            <w:pPr>
              <w:pStyle w:val="TableText"/>
            </w:pPr>
            <w:r/>
            <w:r>
              <w:t>2†</w:t>
            </w:r>
          </w:p>
        </w:tc>
        <w:tc>
          <w:tcPr>
            <w:tcW w:type="dxa" w:w="1644"/>
          </w:tcPr>
          <w:p>
            <w:pPr>
              <w:pStyle w:val="TableText"/>
            </w:pPr>
            <w:r/>
            <w:r>
              <w:t>GS staff</w:t>
            </w:r>
          </w:p>
        </w:tc>
        <w:tc>
          <w:tcPr>
            <w:tcW w:type="dxa" w:w="4082"/>
          </w:tcPr>
          <w:p>
            <w:pPr>
              <w:pStyle w:val="TableText"/>
            </w:pPr>
            <w:r/>
            <w:r>
              <w:t>Compiles the graduation candidate list and sends it to the Academic Coordinator.</w:t>
            </w:r>
          </w:p>
        </w:tc>
        <w:tc>
          <w:tcPr>
            <w:tcW w:type="dxa" w:w="1757"/>
          </w:tcPr>
          <w:p>
            <w:pPr>
              <w:pStyle w:val="TableText"/>
            </w:pPr>
            <w:r/>
            <w:r>
              <w:t>Candidate list</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Academic Coordinator</w:t>
            </w:r>
          </w:p>
        </w:tc>
        <w:tc>
          <w:tcPr>
            <w:tcW w:type="dxa" w:w="4082"/>
          </w:tcPr>
          <w:p>
            <w:pPr>
              <w:pStyle w:val="TableText"/>
            </w:pPr>
            <w:r/>
            <w:r>
              <w:t>Checks coursework completion; if incomplete, returns the list with the missing coursework.</w:t>
            </w:r>
          </w:p>
        </w:tc>
        <w:tc>
          <w:tcPr>
            <w:tcW w:type="dxa" w:w="1757"/>
          </w:tcPr>
          <w:p>
            <w:pPr>
              <w:pStyle w:val="TableText"/>
            </w:pPr>
            <w:r/>
            <w:r>
              <w:t>Coursework check</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Research Coordinator</w:t>
            </w:r>
          </w:p>
        </w:tc>
        <w:tc>
          <w:tcPr>
            <w:tcW w:type="dxa" w:w="4082"/>
          </w:tcPr>
          <w:p>
            <w:pPr>
              <w:pStyle w:val="TableText"/>
            </w:pPr>
            <w:r/>
            <w:r>
              <w:t>Validates the research completion documents (Forms 9 and 10, Turnitin, editor certificate and the other completion documents); if incomplete, returns the list with the missing items.</w:t>
            </w:r>
          </w:p>
        </w:tc>
        <w:tc>
          <w:tcPr>
            <w:tcW w:type="dxa" w:w="1757"/>
          </w:tcPr>
          <w:p>
            <w:pPr>
              <w:pStyle w:val="TableText"/>
            </w:pPr>
            <w:r/>
            <w:r>
              <w:t>Research validation</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GS staff</w:t>
            </w:r>
          </w:p>
        </w:tc>
        <w:tc>
          <w:tcPr>
            <w:tcW w:type="dxa" w:w="4082"/>
          </w:tcPr>
          <w:p>
            <w:pPr>
              <w:pStyle w:val="TableText"/>
            </w:pPr>
            <w:r/>
            <w:r>
              <w:t>Lists missing requirements and marks a student not eligible, or prepares the endorsement list and sends it to the Dean.</w:t>
            </w:r>
          </w:p>
        </w:tc>
        <w:tc>
          <w:tcPr>
            <w:tcW w:type="dxa" w:w="1757"/>
          </w:tcPr>
          <w:p>
            <w:pPr>
              <w:pStyle w:val="TableText"/>
            </w:pPr>
            <w:r/>
            <w:r>
              <w:t>Endorsement list</w:t>
            </w:r>
          </w:p>
        </w:tc>
        <w:tc>
          <w:tcPr>
            <w:tcW w:type="dxa" w:w="1587"/>
          </w:tcPr>
          <w:p>
            <w:pPr>
              <w:pStyle w:val="TableText"/>
            </w:pPr>
            <w:r/>
            <w:r>
              <w:t>—</w:t>
            </w:r>
          </w:p>
        </w:tc>
      </w:tr>
      <w:tr>
        <w:trPr>
          <w:cantSplit w:val="true"/>
        </w:trPr>
        <w:tc>
          <w:tcPr>
            <w:tcW w:type="dxa" w:w="567"/>
          </w:tcPr>
          <w:p>
            <w:pPr>
              <w:pStyle w:val="TableText"/>
            </w:pPr>
            <w:r/>
            <w:r>
              <w:t>6†</w:t>
            </w:r>
          </w:p>
        </w:tc>
        <w:tc>
          <w:tcPr>
            <w:tcW w:type="dxa" w:w="1644"/>
          </w:tcPr>
          <w:p>
            <w:pPr>
              <w:pStyle w:val="TableText"/>
            </w:pPr>
            <w:r/>
            <w:r>
              <w:t>Graduate School Dean</w:t>
            </w:r>
          </w:p>
        </w:tc>
        <w:tc>
          <w:tcPr>
            <w:tcW w:type="dxa" w:w="4082"/>
          </w:tcPr>
          <w:p>
            <w:pPr>
              <w:pStyle w:val="TableText"/>
            </w:pPr>
            <w:r/>
            <w:r>
              <w:t>Reviews the list; if not approved, returns it for revision; if approved, sends the endorsed list to the Registrar.</w:t>
            </w:r>
          </w:p>
        </w:tc>
        <w:tc>
          <w:tcPr>
            <w:tcW w:type="dxa" w:w="1757"/>
          </w:tcPr>
          <w:p>
            <w:pPr>
              <w:pStyle w:val="TableText"/>
            </w:pPr>
            <w:r/>
            <w:r>
              <w:t>Dean's approval</w:t>
            </w:r>
          </w:p>
        </w:tc>
        <w:tc>
          <w:tcPr>
            <w:tcW w:type="dxa" w:w="1587"/>
          </w:tcPr>
          <w:p>
            <w:pPr>
              <w:pStyle w:val="TableText"/>
            </w:pPr>
            <w:r/>
            <w:r>
              <w:t>—</w:t>
            </w:r>
          </w:p>
        </w:tc>
      </w:tr>
      <w:tr>
        <w:trPr>
          <w:cantSplit w:val="true"/>
        </w:trPr>
        <w:tc>
          <w:tcPr>
            <w:tcW w:type="dxa" w:w="567"/>
          </w:tcPr>
          <w:p>
            <w:pPr>
              <w:pStyle w:val="TableText"/>
            </w:pPr>
            <w:r/>
            <w:r>
              <w:t>7</w:t>
            </w:r>
          </w:p>
        </w:tc>
        <w:tc>
          <w:tcPr>
            <w:tcW w:type="dxa" w:w="1644"/>
          </w:tcPr>
          <w:p>
            <w:pPr>
              <w:pStyle w:val="TableText"/>
            </w:pPr>
            <w:r/>
            <w:r>
              <w:t>University Registrar</w:t>
            </w:r>
          </w:p>
        </w:tc>
        <w:tc>
          <w:tcPr>
            <w:tcW w:type="dxa" w:w="4082"/>
          </w:tcPr>
          <w:p>
            <w:pPr>
              <w:pStyle w:val="TableText"/>
            </w:pPr>
            <w:r/>
            <w:r>
              <w:t>Receives the endorsed list, certifies the eligibility of candidates for graduation and honors, and confirms receipt.</w:t>
            </w:r>
          </w:p>
        </w:tc>
        <w:tc>
          <w:tcPr>
            <w:tcW w:type="dxa" w:w="1757"/>
          </w:tcPr>
          <w:p>
            <w:pPr>
              <w:pStyle w:val="TableText"/>
            </w:pPr>
            <w:r/>
            <w:r>
              <w:t>Registrar certification</w:t>
            </w:r>
          </w:p>
        </w:tc>
        <w:tc>
          <w:tcPr>
            <w:tcW w:type="dxa" w:w="1587"/>
          </w:tcPr>
          <w:p>
            <w:pPr>
              <w:pStyle w:val="TableText"/>
            </w:pPr>
            <w:r/>
            <w:r>
              <w:t>—</w:t>
            </w:r>
          </w:p>
        </w:tc>
      </w:tr>
      <w:tr>
        <w:trPr>
          <w:cantSplit w:val="true"/>
        </w:trPr>
        <w:tc>
          <w:tcPr>
            <w:tcW w:type="dxa" w:w="567"/>
          </w:tcPr>
          <w:p>
            <w:pPr>
              <w:pStyle w:val="TableText"/>
            </w:pPr>
            <w:r/>
            <w:r>
              <w:t>8</w:t>
            </w:r>
          </w:p>
        </w:tc>
        <w:tc>
          <w:tcPr>
            <w:tcW w:type="dxa" w:w="1644"/>
          </w:tcPr>
          <w:p>
            <w:pPr>
              <w:pStyle w:val="TableText"/>
            </w:pPr>
            <w:r/>
            <w:r>
              <w:t>Student</w:t>
            </w:r>
          </w:p>
        </w:tc>
        <w:tc>
          <w:tcPr>
            <w:tcW w:type="dxa" w:w="4082"/>
          </w:tcPr>
          <w:p>
            <w:pPr>
              <w:pStyle w:val="TableText"/>
            </w:pPr>
            <w:r/>
            <w:r>
              <w:t>Attends the alumni seminar; completes the bound copy and the presentation and publication requirements; is not allowed to go up the stage if any requirement is unmet.</w:t>
            </w:r>
          </w:p>
        </w:tc>
        <w:tc>
          <w:tcPr>
            <w:tcW w:type="dxa" w:w="1757"/>
          </w:tcPr>
          <w:p>
            <w:pPr>
              <w:pStyle w:val="TableText"/>
            </w:pPr>
            <w:r/>
            <w:r>
              <w:t>Alumni seminar</w:t>
            </w:r>
          </w:p>
        </w:tc>
        <w:tc>
          <w:tcPr>
            <w:tcW w:type="dxa" w:w="1587"/>
          </w:tcPr>
          <w:p>
            <w:pPr>
              <w:pStyle w:val="TableText"/>
            </w:pPr>
            <w:r/>
            <w:r>
              <w:t>Before graduation</w:t>
            </w:r>
          </w:p>
        </w:tc>
      </w:tr>
    </w:tbl>
    <w:p>
      <w:pPr>
        <w:spacing w:after="80" w:before="0"/>
      </w:pPr>
    </w:p>
    <w:p>
      <w:r>
        <w:rPr>
          <w:b w:val="0"/>
          <w:i/>
          <w:color w:val="595959"/>
          <w:sz w:val="17"/>
        </w:rPr>
        <w:t>† This step rests on a rule marked Practice or Proposed in section 4.18.5, or on the group's process model; it is not described in the Handbook or the Research Protocol and is to be confirmed by the Graduate School.</w:t>
      </w:r>
    </w:p>
    <w:p>
      <w:pPr>
        <w:pStyle w:val="Heading3"/>
      </w:pPr>
      <w:r>
        <w:t>4.18.5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GRD-01</w:t>
            </w:r>
          </w:p>
        </w:tc>
        <w:tc>
          <w:tcPr>
            <w:tcW w:type="dxa" w:w="4535"/>
          </w:tcPr>
          <w:p>
            <w:pPr>
              <w:pStyle w:val="TableText"/>
            </w:pPr>
            <w:r/>
            <w:r>
              <w:t>A student will only be considered a graduate of the University after completing all the requirements listed below; a student will not be allowed to go up the stage if requirements are not met.</w:t>
            </w:r>
          </w:p>
        </w:tc>
        <w:tc>
          <w:tcPr>
            <w:tcW w:type="dxa" w:w="3005"/>
          </w:tcPr>
          <w:p>
            <w:pPr>
              <w:pStyle w:val="TableText"/>
            </w:pPr>
            <w:r/>
            <w:r>
              <w:t>Handbook 2022-2023, p. 77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GRD-02</w:t>
            </w:r>
          </w:p>
        </w:tc>
        <w:tc>
          <w:tcPr>
            <w:tcW w:type="dxa" w:w="4535"/>
          </w:tcPr>
          <w:p>
            <w:pPr>
              <w:pStyle w:val="TableText"/>
            </w:pPr>
            <w:r/>
            <w:r>
              <w:t>The student must be officially enrolled during the semester of application for graduation.</w:t>
            </w:r>
          </w:p>
        </w:tc>
        <w:tc>
          <w:tcPr>
            <w:tcW w:type="dxa" w:w="3005"/>
          </w:tcPr>
          <w:p>
            <w:pPr>
              <w:pStyle w:val="TableText"/>
            </w:pPr>
            <w:r/>
            <w:r>
              <w:t>Handbook 2022-2023, p. 77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GRD-03</w:t>
            </w:r>
          </w:p>
        </w:tc>
        <w:tc>
          <w:tcPr>
            <w:tcW w:type="dxa" w:w="4535"/>
          </w:tcPr>
          <w:p>
            <w:pPr>
              <w:pStyle w:val="TableText"/>
            </w:pPr>
            <w:r/>
            <w:r>
              <w:t>The student must have completed all the prescribed subjects for the degree.</w:t>
            </w:r>
          </w:p>
        </w:tc>
        <w:tc>
          <w:tcPr>
            <w:tcW w:type="dxa" w:w="3005"/>
          </w:tcPr>
          <w:p>
            <w:pPr>
              <w:pStyle w:val="TableText"/>
            </w:pPr>
            <w:r/>
            <w:r>
              <w:t>Handbook 2022-2023, p. 77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GRD-04</w:t>
            </w:r>
          </w:p>
        </w:tc>
        <w:tc>
          <w:tcPr>
            <w:tcW w:type="dxa" w:w="4535"/>
          </w:tcPr>
          <w:p>
            <w:pPr>
              <w:pStyle w:val="TableText"/>
            </w:pPr>
            <w:r/>
            <w:r>
              <w:t>The student must have passed the comprehensive examination.</w:t>
            </w:r>
          </w:p>
        </w:tc>
        <w:tc>
          <w:tcPr>
            <w:tcW w:type="dxa" w:w="3005"/>
          </w:tcPr>
          <w:p>
            <w:pPr>
              <w:pStyle w:val="TableText"/>
            </w:pPr>
            <w:r/>
            <w:r>
              <w:t>Handbook 2022-2023, p. 77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GRD-05</w:t>
            </w:r>
          </w:p>
        </w:tc>
        <w:tc>
          <w:tcPr>
            <w:tcW w:type="dxa" w:w="4535"/>
          </w:tcPr>
          <w:p>
            <w:pPr>
              <w:pStyle w:val="TableText"/>
            </w:pPr>
            <w:r/>
            <w:r>
              <w:t>The student must have completed a successful final oral defense of the project paper, thesis or dissertation, and complied with the required revisions.</w:t>
            </w:r>
          </w:p>
        </w:tc>
        <w:tc>
          <w:tcPr>
            <w:tcW w:type="dxa" w:w="3005"/>
          </w:tcPr>
          <w:p>
            <w:pPr>
              <w:pStyle w:val="TableText"/>
            </w:pPr>
            <w:r/>
            <w:r>
              <w:t>Handbook 2022-2023, p. 77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GRD-06</w:t>
            </w:r>
          </w:p>
        </w:tc>
        <w:tc>
          <w:tcPr>
            <w:tcW w:type="dxa" w:w="4535"/>
          </w:tcPr>
          <w:p>
            <w:pPr>
              <w:pStyle w:val="TableText"/>
            </w:pPr>
            <w:r/>
            <w:r>
              <w:t>The student must submit one bound approved copy of the project paper, thesis or dissertation and one CD. The bound copy conforms to the standard format of the University and contains the official approval by the members of the defense panel and the official acceptance by the Dean.</w:t>
            </w:r>
          </w:p>
        </w:tc>
        <w:tc>
          <w:tcPr>
            <w:tcW w:type="dxa" w:w="3005"/>
          </w:tcPr>
          <w:p>
            <w:pPr>
              <w:pStyle w:val="TableText"/>
            </w:pPr>
            <w:r/>
            <w:r>
              <w:t>Handbook 2022-2023, p. 77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GRD-07</w:t>
            </w:r>
          </w:p>
        </w:tc>
        <w:tc>
          <w:tcPr>
            <w:tcW w:type="dxa" w:w="4535"/>
          </w:tcPr>
          <w:p>
            <w:pPr>
              <w:pStyle w:val="TableText"/>
            </w:pPr>
            <w:r/>
            <w:r>
              <w:t>The student must have paid all financial obligations to the University; the Graduate School may withhold reports of grades, transcripts of records and diplomas of students who have not fully paid.</w:t>
            </w:r>
          </w:p>
        </w:tc>
        <w:tc>
          <w:tcPr>
            <w:tcW w:type="dxa" w:w="3005"/>
          </w:tcPr>
          <w:p>
            <w:pPr>
              <w:pStyle w:val="TableText"/>
            </w:pPr>
            <w:r/>
            <w:r>
              <w:t>Handbook 2022-2023, p. 77; Handbook 2022-2023, p. 51</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GRD-08</w:t>
            </w:r>
          </w:p>
        </w:tc>
        <w:tc>
          <w:tcPr>
            <w:tcW w:type="dxa" w:w="4535"/>
          </w:tcPr>
          <w:p>
            <w:pPr>
              <w:pStyle w:val="TableText"/>
            </w:pPr>
            <w:r/>
            <w:r>
              <w:t>The student must have presented the thesis or dissertation in a public seminar series.</w:t>
            </w:r>
          </w:p>
        </w:tc>
        <w:tc>
          <w:tcPr>
            <w:tcW w:type="dxa" w:w="3005"/>
          </w:tcPr>
          <w:p>
            <w:pPr>
              <w:pStyle w:val="TableText"/>
            </w:pPr>
            <w:r/>
            <w:r>
              <w:t>Handbook 2022-2023, p. 77</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GRD-09</w:t>
            </w:r>
          </w:p>
        </w:tc>
        <w:tc>
          <w:tcPr>
            <w:tcW w:type="dxa" w:w="4535"/>
          </w:tcPr>
          <w:p>
            <w:pPr>
              <w:pStyle w:val="TableText"/>
            </w:pPr>
            <w:r/>
            <w:r>
              <w:t>The student must have published at least one research paper while enrolled in the program in a Scopus-indexed, Web of Science and ISI journal, for those enrolled from AY 2022-2023 onwards.</w:t>
            </w:r>
          </w:p>
        </w:tc>
        <w:tc>
          <w:tcPr>
            <w:tcW w:type="dxa" w:w="3005"/>
          </w:tcPr>
          <w:p>
            <w:pPr>
              <w:pStyle w:val="TableText"/>
            </w:pPr>
            <w:r/>
            <w:r>
              <w:t>Handbook 2022-2023, p. 77; Handbook 2022-2023, p. 75</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GRD-10</w:t>
            </w:r>
          </w:p>
        </w:tc>
        <w:tc>
          <w:tcPr>
            <w:tcW w:type="dxa" w:w="4535"/>
          </w:tcPr>
          <w:p>
            <w:pPr>
              <w:pStyle w:val="TableText"/>
            </w:pPr>
            <w:r/>
            <w:r>
              <w:t>Graduating students are required to attend the Alumni seminar given by the Alumni Director.</w:t>
            </w:r>
          </w:p>
        </w:tc>
        <w:tc>
          <w:tcPr>
            <w:tcW w:type="dxa" w:w="3005"/>
          </w:tcPr>
          <w:p>
            <w:pPr>
              <w:pStyle w:val="TableText"/>
            </w:pPr>
            <w:r/>
            <w:r>
              <w:t>Handbook 2022-2023, p. 80</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GRD-11</w:t>
            </w:r>
          </w:p>
        </w:tc>
        <w:tc>
          <w:tcPr>
            <w:tcW w:type="dxa" w:w="4535"/>
          </w:tcPr>
          <w:p>
            <w:pPr>
              <w:pStyle w:val="TableText"/>
            </w:pPr>
            <w:r/>
            <w:r>
              <w:t>The Office of the Registrar certifies the eligibility of candidates for graduation and honors.</w:t>
            </w:r>
          </w:p>
        </w:tc>
        <w:tc>
          <w:tcPr>
            <w:tcW w:type="dxa" w:w="3005"/>
          </w:tcPr>
          <w:p>
            <w:pPr>
              <w:pStyle w:val="TableText"/>
            </w:pPr>
            <w:r/>
            <w:r>
              <w:t>Handbook 2022-2023, p. 32</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GRD-12</w:t>
            </w:r>
          </w:p>
        </w:tc>
        <w:tc>
          <w:tcPr>
            <w:tcW w:type="dxa" w:w="4535"/>
          </w:tcPr>
          <w:p>
            <w:pPr>
              <w:pStyle w:val="TableText"/>
            </w:pPr>
            <w:r/>
            <w:r>
              <w:t>Academic honors: Highest Academic Honor needs a GPA of 1.1 or better and no grade lower than 1.25; High Academic Honor needs a GPA of 1.25 or better and no grade lower than 1.25 (doctoral) or 1.5 (master's). Both need moral and academic integrity, no repeated subject, no INC, D or W grade, and passing the comprehensive examination with no re-take.</w:t>
            </w:r>
          </w:p>
        </w:tc>
        <w:tc>
          <w:tcPr>
            <w:tcW w:type="dxa" w:w="3005"/>
          </w:tcPr>
          <w:p>
            <w:pPr>
              <w:pStyle w:val="TableText"/>
            </w:pPr>
            <w:r/>
            <w:r>
              <w:t>Handbook 2022-2023, pp. 55-56</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GRD-13</w:t>
            </w:r>
          </w:p>
        </w:tc>
        <w:tc>
          <w:tcPr>
            <w:tcW w:type="dxa" w:w="4535"/>
          </w:tcPr>
          <w:p>
            <w:pPr>
              <w:pStyle w:val="TableText"/>
            </w:pPr>
            <w:r/>
            <w:r>
              <w:t>GS staff compile the candidate list; the Academic Coordinator checks coursework; the Research Coordinator validates the research completion documents; GS staff prepare the endorsement list; the Dean approves it and sends it to the Registrar.</w:t>
            </w:r>
          </w:p>
        </w:tc>
        <w:tc>
          <w:tcPr>
            <w:tcW w:type="dxa" w:w="3005"/>
          </w:tcPr>
          <w:p>
            <w:pPr>
              <w:pStyle w:val="TableText"/>
            </w:pPr>
            <w:r/>
            <w:r>
              <w:t>Group working notes, BPM accurate flow, section 12</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GRD-14</w:t>
            </w:r>
          </w:p>
        </w:tc>
        <w:tc>
          <w:tcPr>
            <w:tcW w:type="dxa" w:w="4535"/>
          </w:tcPr>
          <w:p>
            <w:pPr>
              <w:pStyle w:val="TableText"/>
            </w:pPr>
            <w:r/>
            <w:r>
              <w:t>A student is eligible for selection into a graduation batch only after coursework, research and practicum (where applicable) are complete and the student has submitted a signed graduation application; an application with incorrect information is returned and replaced by a completely new corrected document, the original being kept.</w:t>
            </w:r>
          </w:p>
        </w:tc>
        <w:tc>
          <w:tcPr>
            <w:tcW w:type="dxa" w:w="3005"/>
          </w:tcPr>
          <w:p>
            <w:pPr>
              <w:pStyle w:val="TableText"/>
            </w:pPr>
            <w:r/>
            <w:r>
              <w:t>Group working notes, Scenario notes, graduation standard and unusual cases; Platform (current build)</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GRD-15</w:t>
            </w:r>
          </w:p>
        </w:tc>
        <w:tc>
          <w:tcPr>
            <w:tcW w:type="dxa" w:w="4535"/>
          </w:tcPr>
          <w:p>
            <w:pPr>
              <w:pStyle w:val="TableText"/>
            </w:pPr>
            <w:r/>
            <w:r>
              <w:t>Candidates are reviewed within a graduation review window for a school year opened and closed by the Graduate School; the dates, the treatment of late applicants and the treatment of eligible students who miss the window are to be set by the Graduate School.</w:t>
            </w:r>
          </w:p>
        </w:tc>
        <w:tc>
          <w:tcPr>
            <w:tcW w:type="dxa" w:w="3005"/>
          </w:tcPr>
          <w:p>
            <w:pPr>
              <w:pStyle w:val="TableText"/>
            </w:pPr>
            <w:r/>
            <w:r>
              <w:t>Group working notes, Scenario notes; Platform (current build)</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GRD-16</w:t>
            </w:r>
          </w:p>
        </w:tc>
        <w:tc>
          <w:tcPr>
            <w:tcW w:type="dxa" w:w="4535"/>
          </w:tcPr>
          <w:p>
            <w:pPr>
              <w:pStyle w:val="TableText"/>
            </w:pPr>
            <w:r/>
            <w:r>
              <w:t>After the Dean approves a batch, the endorsed list is exported as a file and the Dean sends it to the Registrar by the official email; the platform records the export and the status Exported — Ready to Send, and does not record that an email was sent or that the Registrar acknowledged it.</w:t>
            </w:r>
          </w:p>
        </w:tc>
        <w:tc>
          <w:tcPr>
            <w:tcW w:type="dxa" w:w="3005"/>
          </w:tcPr>
          <w:p>
            <w:pPr>
              <w:pStyle w:val="TableText"/>
            </w:pPr>
            <w:r/>
            <w:r>
              <w:t>Group working notes, Scenario notes; Platform (current build)</w:t>
            </w:r>
          </w:p>
        </w:tc>
        <w:tc>
          <w:tcPr>
            <w:tcW w:type="dxa" w:w="1191"/>
            <w:shd w:val="clear" w:color="auto" w:fill="DDEBF7"/>
          </w:tcPr>
          <w:p>
            <w:pPr>
              <w:pStyle w:val="TableText"/>
            </w:pPr>
            <w:r>
              <w:rPr>
                <w:b/>
              </w:rPr>
            </w:r>
            <w:r>
              <w:rPr>
                <w:b/>
              </w:rPr>
              <w:t>Proposed</w:t>
            </w:r>
          </w:p>
        </w:tc>
      </w:tr>
    </w:tbl>
    <w:p>
      <w:pPr>
        <w:spacing w:after="80" w:before="0"/>
      </w:pPr>
    </w:p>
    <w:p>
      <w:pPr>
        <w:pStyle w:val="Heading3"/>
      </w:pPr>
      <w:r>
        <w:t>4.18.6 Exceptions and unusual cases</w:t>
      </w:r>
    </w:p>
    <w:p>
      <w:pPr>
        <w:pStyle w:val="ListBullet"/>
        <w:spacing w:after="40"/>
      </w:pPr>
      <w:r>
        <w:t>Coursework or research incomplete: the student is marked not eligible with the exact missing requirement (GRD-13).</w:t>
      </w:r>
    </w:p>
    <w:p>
      <w:pPr>
        <w:pStyle w:val="ListBullet"/>
        <w:spacing w:after="40"/>
      </w:pPr>
      <w:r>
        <w:t>Application contains wrong information: returned and replaced (GRD-14).</w:t>
      </w:r>
    </w:p>
    <w:p>
      <w:pPr>
        <w:pStyle w:val="ListBullet"/>
        <w:spacing w:after="40"/>
      </w:pPr>
      <w:r>
        <w:t>Publication evidence missing: the student cannot be declared a graduate or join the ceremony (CMP-10).</w:t>
      </w:r>
    </w:p>
    <w:p>
      <w:pPr>
        <w:pStyle w:val="ListBullet"/>
        <w:spacing w:after="40"/>
      </w:pPr>
      <w:r>
        <w:t>Enrolled before AY 2022-2023: the publication requirement as written in GRD-09 applies only to those enrolled from AY 2022-2023 onwards; the earlier requirement is a conference presentation (CMP-08; OQ-25).</w:t>
      </w:r>
    </w:p>
    <w:p>
      <w:pPr>
        <w:pStyle w:val="Heading3"/>
      </w:pPr>
      <w:r>
        <w:t>4.18.7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Signed graduation application</w:t>
            </w:r>
          </w:p>
        </w:tc>
        <w:tc>
          <w:tcPr>
            <w:tcW w:type="dxa" w:w="5102"/>
          </w:tcPr>
          <w:p>
            <w:pPr>
              <w:pStyle w:val="TableText"/>
            </w:pPr>
            <w:r/>
            <w:r>
              <w:t>GS staff; platform</w:t>
            </w:r>
          </w:p>
        </w:tc>
      </w:tr>
      <w:tr>
        <w:trPr>
          <w:cantSplit w:val="true"/>
        </w:trPr>
        <w:tc>
          <w:tcPr>
            <w:tcW w:type="dxa" w:w="4535"/>
          </w:tcPr>
          <w:p>
            <w:pPr>
              <w:pStyle w:val="TableText"/>
            </w:pPr>
            <w:r/>
            <w:r>
              <w:t>Candidate list, endorsement list and batch</w:t>
            </w:r>
          </w:p>
        </w:tc>
        <w:tc>
          <w:tcPr>
            <w:tcW w:type="dxa" w:w="5102"/>
          </w:tcPr>
          <w:p>
            <w:pPr>
              <w:pStyle w:val="TableText"/>
            </w:pPr>
            <w:r/>
            <w:r>
              <w:t>GS staff; Dean</w:t>
            </w:r>
          </w:p>
        </w:tc>
      </w:tr>
      <w:tr>
        <w:trPr>
          <w:cantSplit w:val="true"/>
        </w:trPr>
        <w:tc>
          <w:tcPr>
            <w:tcW w:type="dxa" w:w="4535"/>
          </w:tcPr>
          <w:p>
            <w:pPr>
              <w:pStyle w:val="TableText"/>
            </w:pPr>
            <w:r/>
            <w:r>
              <w:t>Endorsed list sent to the Registrar</w:t>
            </w:r>
          </w:p>
        </w:tc>
        <w:tc>
          <w:tcPr>
            <w:tcW w:type="dxa" w:w="5102"/>
          </w:tcPr>
          <w:p>
            <w:pPr>
              <w:pStyle w:val="TableText"/>
            </w:pPr>
            <w:r/>
            <w:r>
              <w:t>University Registrar</w:t>
            </w:r>
          </w:p>
        </w:tc>
      </w:tr>
    </w:tbl>
    <w:p>
      <w:pPr>
        <w:spacing w:after="80" w:before="0"/>
      </w:pPr>
    </w:p>
    <w:p>
      <w:pPr>
        <w:pStyle w:val="Heading3"/>
      </w:pPr>
      <w:r>
        <w:t>4.18.8 How the platform supports this process</w:t>
      </w:r>
    </w:p>
    <w:p>
      <w:r>
        <w:rPr>
          <w:b w:val="0"/>
          <w:i w:val="0"/>
        </w:rPr>
        <w:t>The platform works out whether a student is academically eligible: coursework complete, each research stage complete (requirements, panel, schedule and a passing verdict), the practicum complete where it applies, and the five completion documents verified. A student can upload the signed graduation application (PDF) only when eligible. GS staff group eligible students into a named batch; the Academic Coordinator checks coursework; the Research Coordinator validates research and practicum; GS staff mark a student not eligible or prepare the endorsement and send it to the Dean; the Dean approves it or returns it. After approval the Dean exports the endorsed list as a CSV file (batch, student number, name, program, coursework, research and endorsement status, approval date, remarks and export status) and sends it to the Registrar by the official channel. Eligibility is checked again at export, and the status becomes Exported - Ready to Send.</w:t>
      </w:r>
    </w:p>
    <w:p>
      <w:r>
        <w:rPr>
          <w:b/>
          <w:i w:val="0"/>
        </w:rPr>
        <w:t xml:space="preserve">Difference between the platform and the rule. </w:t>
      </w:r>
      <w:r>
        <w:t>The platform does not check the Handbook's requirements for enrollment in the graduation semester, payment, the alumni seminar, the public seminar series, publication, or the bound copy and CD (GRD-02, GRD-06 to GRD-10), and it does not work out academic honors (GRD-12). The review window is limited to the active school year and has no opening or closing dates (OQ-30). The graduation document checklist beyond Forms 9 and 10 is to be confirmed (OQ-31).</w:t>
      </w:r>
    </w:p>
    <w:p>
      <w:pPr>
        <w:pStyle w:val="Heading2"/>
        <w:spacing w:before="360"/>
      </w:pPr>
      <w:r>
        <w:t>4.19 Records handoff to the Registrar</w:t>
      </w:r>
    </w:p>
    <w:p>
      <w:pPr>
        <w:pStyle w:val="Heading3"/>
      </w:pPr>
      <w:r>
        <w:t>4.19.1 Purpose</w:t>
      </w:r>
    </w:p>
    <w:p>
      <w:r>
        <w:rPr>
          <w:b w:val="0"/>
          <w:i w:val="0"/>
        </w:rPr>
        <w:t>To list what the Graduate School sends to the University Registrar and the Business Office, how it is sent, and how the office knows the Registrar has acted. The Graduate School decides; the Registrar records officially.</w:t>
      </w:r>
    </w:p>
    <w:p>
      <w:pPr>
        <w:pStyle w:val="Heading3"/>
      </w:pPr>
      <w:r>
        <w:t>4.19.2 Who is involved</w:t>
      </w:r>
    </w:p>
    <w:p>
      <w:r>
        <w:rPr>
          <w:b w:val="0"/>
          <w:i w:val="0"/>
        </w:rPr>
        <w:t>GS staff; Graduate School Dean; University Registrar (external); Business Office and Accounting Office (external).</w:t>
      </w:r>
    </w:p>
    <w:p>
      <w:pPr>
        <w:pStyle w:val="Heading3"/>
      </w:pPr>
      <w:r>
        <w:t>4.19.3 Trigger and preconditions</w:t>
      </w:r>
    </w:p>
    <w:p>
      <w:r>
        <w:rPr>
          <w:b/>
          <w:i w:val="0"/>
        </w:rPr>
        <w:t xml:space="preserve">Trigger. </w:t>
      </w:r>
      <w:r>
        <w:t>The Dean approves a leave, a withdrawal, a readmission, a cross-enrollment or a graduation endorsement, or a change of grade is approved.</w:t>
      </w:r>
    </w:p>
    <w:p>
      <w:r>
        <w:rPr>
          <w:b/>
          <w:i w:val="0"/>
        </w:rPr>
        <w:t>Preconditions.</w:t>
      </w:r>
    </w:p>
    <w:p>
      <w:pPr>
        <w:pStyle w:val="ListBullet"/>
        <w:spacing w:after="40"/>
      </w:pPr>
      <w:r>
        <w:t>The Dean's decision is recorded.</w:t>
      </w:r>
    </w:p>
    <w:p>
      <w:pPr>
        <w:pStyle w:val="Heading3"/>
      </w:pPr>
      <w:r>
        <w:t>4.19.4 Procedure</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567"/>
        <w:gridCol w:w="1644"/>
        <w:gridCol w:w="4082"/>
        <w:gridCol w:w="1757"/>
        <w:gridCol w:w="1587"/>
      </w:tblGrid>
      <w:tr>
        <w:trPr>
          <w:tblHeader w:val="true"/>
          <w:cantSplit w:val="true"/>
        </w:trPr>
        <w:tc>
          <w:tcPr>
            <w:tcW w:type="dxa" w:w="567"/>
            <w:shd w:val="clear" w:color="auto" w:fill="1F4E3D"/>
          </w:tcPr>
          <w:p>
            <w:pPr>
              <w:pStyle w:val="TableHead"/>
            </w:pPr>
            <w:r/>
            <w:r>
              <w:t>Step</w:t>
            </w:r>
          </w:p>
        </w:tc>
        <w:tc>
          <w:tcPr>
            <w:tcW w:type="dxa" w:w="1644"/>
            <w:shd w:val="clear" w:color="auto" w:fill="1F4E3D"/>
          </w:tcPr>
          <w:p>
            <w:pPr>
              <w:pStyle w:val="TableHead"/>
            </w:pPr>
            <w:r/>
            <w:r>
              <w:t>Who</w:t>
            </w:r>
          </w:p>
        </w:tc>
        <w:tc>
          <w:tcPr>
            <w:tcW w:type="dxa" w:w="4082"/>
            <w:shd w:val="clear" w:color="auto" w:fill="1F4E3D"/>
          </w:tcPr>
          <w:p>
            <w:pPr>
              <w:pStyle w:val="TableHead"/>
            </w:pPr>
            <w:r/>
            <w:r>
              <w:t>What they do</w:t>
            </w:r>
          </w:p>
        </w:tc>
        <w:tc>
          <w:tcPr>
            <w:tcW w:type="dxa" w:w="1757"/>
            <w:shd w:val="clear" w:color="auto" w:fill="1F4E3D"/>
          </w:tcPr>
          <w:p>
            <w:pPr>
              <w:pStyle w:val="TableHead"/>
            </w:pPr>
            <w:r/>
            <w:r>
              <w:t>Form / record</w:t>
            </w:r>
          </w:p>
        </w:tc>
        <w:tc>
          <w:tcPr>
            <w:tcW w:type="dxa" w:w="1587"/>
            <w:shd w:val="clear" w:color="auto" w:fill="1F4E3D"/>
          </w:tcPr>
          <w:p>
            <w:pPr>
              <w:pStyle w:val="TableHead"/>
            </w:pPr>
            <w:r/>
            <w:r>
              <w:t>Time limit</w:t>
            </w:r>
          </w:p>
        </w:tc>
      </w:tr>
      <w:tr>
        <w:trPr>
          <w:cantSplit w:val="true"/>
        </w:trPr>
        <w:tc>
          <w:tcPr>
            <w:tcW w:type="dxa" w:w="567"/>
          </w:tcPr>
          <w:p>
            <w:pPr>
              <w:pStyle w:val="TableText"/>
            </w:pPr>
            <w:r/>
            <w:r>
              <w:t>1</w:t>
            </w:r>
          </w:p>
        </w:tc>
        <w:tc>
          <w:tcPr>
            <w:tcW w:type="dxa" w:w="1644"/>
          </w:tcPr>
          <w:p>
            <w:pPr>
              <w:pStyle w:val="TableText"/>
            </w:pPr>
            <w:r/>
            <w:r>
              <w:t>GS staff</w:t>
            </w:r>
          </w:p>
        </w:tc>
        <w:tc>
          <w:tcPr>
            <w:tcW w:type="dxa" w:w="4082"/>
          </w:tcPr>
          <w:p>
            <w:pPr>
              <w:pStyle w:val="TableText"/>
            </w:pPr>
            <w:r/>
            <w:r>
              <w:t>Prepares the handoff: copy of the Withdrawal Form, notice of leave with reasons and refund, return intention endorsement, cross-enrollment approval, or the endorsed list.</w:t>
            </w:r>
          </w:p>
        </w:tc>
        <w:tc>
          <w:tcPr>
            <w:tcW w:type="dxa" w:w="1757"/>
          </w:tcPr>
          <w:p>
            <w:pPr>
              <w:pStyle w:val="TableText"/>
            </w:pPr>
            <w:r/>
            <w:r>
              <w:t>Handoff file or email</w:t>
            </w:r>
          </w:p>
        </w:tc>
        <w:tc>
          <w:tcPr>
            <w:tcW w:type="dxa" w:w="1587"/>
          </w:tcPr>
          <w:p>
            <w:pPr>
              <w:pStyle w:val="TableText"/>
            </w:pPr>
            <w:r/>
            <w:r>
              <w:t>After the Dean's decision</w:t>
            </w:r>
          </w:p>
        </w:tc>
      </w:tr>
      <w:tr>
        <w:trPr>
          <w:cantSplit w:val="true"/>
        </w:trPr>
        <w:tc>
          <w:tcPr>
            <w:tcW w:type="dxa" w:w="567"/>
          </w:tcPr>
          <w:p>
            <w:pPr>
              <w:pStyle w:val="TableText"/>
            </w:pPr>
            <w:r/>
            <w:r>
              <w:t>2</w:t>
            </w:r>
          </w:p>
        </w:tc>
        <w:tc>
          <w:tcPr>
            <w:tcW w:type="dxa" w:w="1644"/>
          </w:tcPr>
          <w:p>
            <w:pPr>
              <w:pStyle w:val="TableText"/>
            </w:pPr>
            <w:r/>
            <w:r>
              <w:t>Dean / Associate Dean</w:t>
            </w:r>
          </w:p>
        </w:tc>
        <w:tc>
          <w:tcPr>
            <w:tcW w:type="dxa" w:w="4082"/>
          </w:tcPr>
          <w:p>
            <w:pPr>
              <w:pStyle w:val="TableText"/>
            </w:pPr>
            <w:r/>
            <w:r>
              <w:t>Informs the University Registrar of a leave (reasons and refund) or endorses a returning student's written intent; sends the endorsed graduation list.</w:t>
            </w:r>
          </w:p>
        </w:tc>
        <w:tc>
          <w:tcPr>
            <w:tcW w:type="dxa" w:w="1757"/>
          </w:tcPr>
          <w:p>
            <w:pPr>
              <w:pStyle w:val="TableText"/>
            </w:pPr>
            <w:r/>
            <w:r>
              <w:t>Notice / endorsement</w:t>
            </w:r>
          </w:p>
        </w:tc>
        <w:tc>
          <w:tcPr>
            <w:tcW w:type="dxa" w:w="1587"/>
          </w:tcPr>
          <w:p>
            <w:pPr>
              <w:pStyle w:val="TableText"/>
            </w:pPr>
            <w:r/>
            <w:r>
              <w:t>—</w:t>
            </w:r>
          </w:p>
        </w:tc>
      </w:tr>
      <w:tr>
        <w:trPr>
          <w:cantSplit w:val="true"/>
        </w:trPr>
        <w:tc>
          <w:tcPr>
            <w:tcW w:type="dxa" w:w="567"/>
          </w:tcPr>
          <w:p>
            <w:pPr>
              <w:pStyle w:val="TableText"/>
            </w:pPr>
            <w:r/>
            <w:r>
              <w:t>3†</w:t>
            </w:r>
          </w:p>
        </w:tc>
        <w:tc>
          <w:tcPr>
            <w:tcW w:type="dxa" w:w="1644"/>
          </w:tcPr>
          <w:p>
            <w:pPr>
              <w:pStyle w:val="TableText"/>
            </w:pPr>
            <w:r/>
            <w:r>
              <w:t>GS staff</w:t>
            </w:r>
          </w:p>
        </w:tc>
        <w:tc>
          <w:tcPr>
            <w:tcW w:type="dxa" w:w="4082"/>
          </w:tcPr>
          <w:p>
            <w:pPr>
              <w:pStyle w:val="TableText"/>
            </w:pPr>
            <w:r/>
            <w:r>
              <w:t>Sends the file or email to the Registrar. There is no system integration: the exchange is by file or email.</w:t>
            </w:r>
          </w:p>
        </w:tc>
        <w:tc>
          <w:tcPr>
            <w:tcW w:type="dxa" w:w="1757"/>
          </w:tcPr>
          <w:p>
            <w:pPr>
              <w:pStyle w:val="TableText"/>
            </w:pPr>
            <w:r/>
            <w:r>
              <w:t>Email to Registrar</w:t>
            </w:r>
          </w:p>
        </w:tc>
        <w:tc>
          <w:tcPr>
            <w:tcW w:type="dxa" w:w="1587"/>
          </w:tcPr>
          <w:p>
            <w:pPr>
              <w:pStyle w:val="TableText"/>
            </w:pPr>
            <w:r/>
            <w:r>
              <w:t>—</w:t>
            </w:r>
          </w:p>
        </w:tc>
      </w:tr>
      <w:tr>
        <w:trPr>
          <w:cantSplit w:val="true"/>
        </w:trPr>
        <w:tc>
          <w:tcPr>
            <w:tcW w:type="dxa" w:w="567"/>
          </w:tcPr>
          <w:p>
            <w:pPr>
              <w:pStyle w:val="TableText"/>
            </w:pPr>
            <w:r/>
            <w:r>
              <w:t>4†</w:t>
            </w:r>
          </w:p>
        </w:tc>
        <w:tc>
          <w:tcPr>
            <w:tcW w:type="dxa" w:w="1644"/>
          </w:tcPr>
          <w:p>
            <w:pPr>
              <w:pStyle w:val="TableText"/>
            </w:pPr>
            <w:r/>
            <w:r>
              <w:t>Registrar</w:t>
            </w:r>
          </w:p>
        </w:tc>
        <w:tc>
          <w:tcPr>
            <w:tcW w:type="dxa" w:w="4082"/>
          </w:tcPr>
          <w:p>
            <w:pPr>
              <w:pStyle w:val="TableText"/>
            </w:pPr>
            <w:r/>
            <w:r>
              <w:t>Processes the change in the official record and, for a withdrawal, the Business Office then arranges the tuition adjustment.</w:t>
            </w:r>
          </w:p>
        </w:tc>
        <w:tc>
          <w:tcPr>
            <w:tcW w:type="dxa" w:w="1757"/>
          </w:tcPr>
          <w:p>
            <w:pPr>
              <w:pStyle w:val="TableText"/>
            </w:pPr>
            <w:r/>
            <w:r>
              <w:t>Registrar record</w:t>
            </w:r>
          </w:p>
        </w:tc>
        <w:tc>
          <w:tcPr>
            <w:tcW w:type="dxa" w:w="1587"/>
          </w:tcPr>
          <w:p>
            <w:pPr>
              <w:pStyle w:val="TableText"/>
            </w:pPr>
            <w:r/>
            <w:r>
              <w:t>—</w:t>
            </w:r>
          </w:p>
        </w:tc>
      </w:tr>
      <w:tr>
        <w:trPr>
          <w:cantSplit w:val="true"/>
        </w:trPr>
        <w:tc>
          <w:tcPr>
            <w:tcW w:type="dxa" w:w="567"/>
          </w:tcPr>
          <w:p>
            <w:pPr>
              <w:pStyle w:val="TableText"/>
            </w:pPr>
            <w:r/>
            <w:r>
              <w:t>5†</w:t>
            </w:r>
          </w:p>
        </w:tc>
        <w:tc>
          <w:tcPr>
            <w:tcW w:type="dxa" w:w="1644"/>
          </w:tcPr>
          <w:p>
            <w:pPr>
              <w:pStyle w:val="TableText"/>
            </w:pPr>
            <w:r/>
            <w:r>
              <w:t>GS staff</w:t>
            </w:r>
          </w:p>
        </w:tc>
        <w:tc>
          <w:tcPr>
            <w:tcW w:type="dxa" w:w="4082"/>
          </w:tcPr>
          <w:p>
            <w:pPr>
              <w:pStyle w:val="TableText"/>
            </w:pPr>
            <w:r/>
            <w:r>
              <w:t>Records in the Graduate School record that the handoff was sent, when and by whom, and the Registrar's confirmation when received (proposed).</w:t>
            </w:r>
          </w:p>
        </w:tc>
        <w:tc>
          <w:tcPr>
            <w:tcW w:type="dxa" w:w="1757"/>
          </w:tcPr>
          <w:p>
            <w:pPr>
              <w:pStyle w:val="TableText"/>
            </w:pPr>
            <w:r/>
            <w:r>
              <w:t>Handoff log</w:t>
            </w:r>
          </w:p>
        </w:tc>
        <w:tc>
          <w:tcPr>
            <w:tcW w:type="dxa" w:w="1587"/>
          </w:tcPr>
          <w:p>
            <w:pPr>
              <w:pStyle w:val="TableText"/>
            </w:pPr>
            <w:r/>
            <w:r>
              <w:t>—</w:t>
            </w:r>
          </w:p>
        </w:tc>
      </w:tr>
    </w:tbl>
    <w:p>
      <w:pPr>
        <w:spacing w:after="80" w:before="0"/>
      </w:pPr>
    </w:p>
    <w:p>
      <w:r>
        <w:rPr>
          <w:b w:val="0"/>
          <w:i/>
          <w:color w:val="595959"/>
          <w:sz w:val="17"/>
        </w:rPr>
        <w:t>† This step rests on a rule marked Practice or Proposed in section 4.19.5, or on the group's process model; it is not described in the Handbook or the Research Protocol and is to be confirmed by the Graduate School.</w:t>
      </w:r>
    </w:p>
    <w:p>
      <w:pPr>
        <w:pStyle w:val="Heading3"/>
      </w:pPr>
      <w:r>
        <w:t>4.19.5 Business rules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4536"/>
        <w:gridCol w:w="3005"/>
        <w:gridCol w:w="1190"/>
      </w:tblGrid>
      <w:tr>
        <w:trPr>
          <w:tblHeader w:val="true"/>
          <w:cantSplit w:val="true"/>
        </w:trPr>
        <w:tc>
          <w:tcPr>
            <w:tcW w:type="dxa" w:w="907"/>
            <w:shd w:val="clear" w:color="auto" w:fill="1F4E3D"/>
          </w:tcPr>
          <w:p>
            <w:pPr>
              <w:pStyle w:val="TableHead"/>
            </w:pPr>
            <w:r/>
            <w:r>
              <w:t>Rule</w:t>
            </w:r>
          </w:p>
        </w:tc>
        <w:tc>
          <w:tcPr>
            <w:tcW w:type="dxa" w:w="4535"/>
            <w:shd w:val="clear" w:color="auto" w:fill="1F4E3D"/>
          </w:tcPr>
          <w:p>
            <w:pPr>
              <w:pStyle w:val="TableHead"/>
            </w:pPr>
            <w:r/>
            <w:r>
              <w:t>Rule statement</w:t>
            </w:r>
          </w:p>
        </w:tc>
        <w:tc>
          <w:tcPr>
            <w:tcW w:type="dxa" w:w="3005"/>
            <w:shd w:val="clear" w:color="auto" w:fill="1F4E3D"/>
          </w:tcPr>
          <w:p>
            <w:pPr>
              <w:pStyle w:val="TableHead"/>
            </w:pPr>
            <w:r/>
            <w:r>
              <w:t>Source</w:t>
            </w:r>
          </w:p>
        </w:tc>
        <w:tc>
          <w:tcPr>
            <w:tcW w:type="dxa" w:w="1191"/>
            <w:shd w:val="clear" w:color="auto" w:fill="1F4E3D"/>
          </w:tcPr>
          <w:p>
            <w:pPr>
              <w:pStyle w:val="TableHead"/>
            </w:pPr>
            <w:r/>
            <w:r>
              <w:t>Status</w:t>
            </w:r>
          </w:p>
        </w:tc>
      </w:tr>
      <w:tr>
        <w:trPr>
          <w:cantSplit w:val="true"/>
        </w:trPr>
        <w:tc>
          <w:tcPr>
            <w:tcW w:type="dxa" w:w="907"/>
          </w:tcPr>
          <w:p>
            <w:pPr>
              <w:pStyle w:val="TableText"/>
            </w:pPr>
            <w:r/>
            <w:r>
              <w:rPr>
                <w:b/>
              </w:rPr>
              <w:t>HND-01</w:t>
            </w:r>
          </w:p>
        </w:tc>
        <w:tc>
          <w:tcPr>
            <w:tcW w:type="dxa" w:w="4535"/>
          </w:tcPr>
          <w:p>
            <w:pPr>
              <w:pStyle w:val="TableText"/>
            </w:pPr>
            <w:r/>
            <w:r>
              <w:t>The accomplished Withdrawal Form is provided to the Registrar, the Accounting Office, and the student.</w:t>
            </w:r>
          </w:p>
        </w:tc>
        <w:tc>
          <w:tcPr>
            <w:tcW w:type="dxa" w:w="3005"/>
          </w:tcPr>
          <w:p>
            <w:pPr>
              <w:pStyle w:val="TableText"/>
            </w:pPr>
            <w:r/>
            <w:r>
              <w:t>Handbook 2022-2023, p. 49</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HND-02</w:t>
            </w:r>
          </w:p>
        </w:tc>
        <w:tc>
          <w:tcPr>
            <w:tcW w:type="dxa" w:w="4535"/>
          </w:tcPr>
          <w:p>
            <w:pPr>
              <w:pStyle w:val="TableText"/>
            </w:pPr>
            <w:r/>
            <w:r>
              <w:t>The Dean, Associate Dean or authorized representative informs the University Registrar of a leave of absence, indicating the reasons and the amount of money refunded to the student, if any.</w:t>
            </w:r>
          </w:p>
        </w:tc>
        <w:tc>
          <w:tcPr>
            <w:tcW w:type="dxa" w:w="3005"/>
          </w:tcPr>
          <w:p>
            <w:pPr>
              <w:pStyle w:val="TableText"/>
            </w:pPr>
            <w:r/>
            <w:r>
              <w:t>Handbook 2022-2023, p. 53</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HND-03</w:t>
            </w:r>
          </w:p>
        </w:tc>
        <w:tc>
          <w:tcPr>
            <w:tcW w:type="dxa" w:w="4535"/>
          </w:tcPr>
          <w:p>
            <w:pPr>
              <w:pStyle w:val="TableText"/>
            </w:pPr>
            <w:r/>
            <w:r>
              <w:t>The Graduate School Dean endorses a returning student's written intention to enroll to the University Registrar.</w:t>
            </w:r>
          </w:p>
        </w:tc>
        <w:tc>
          <w:tcPr>
            <w:tcW w:type="dxa" w:w="3005"/>
          </w:tcPr>
          <w:p>
            <w:pPr>
              <w:pStyle w:val="TableText"/>
            </w:pPr>
            <w:r/>
            <w:r>
              <w:t>Handbook 2022-2023, p. 53</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HND-04</w:t>
            </w:r>
          </w:p>
        </w:tc>
        <w:tc>
          <w:tcPr>
            <w:tcW w:type="dxa" w:w="4535"/>
          </w:tcPr>
          <w:p>
            <w:pPr>
              <w:pStyle w:val="TableText"/>
            </w:pPr>
            <w:r/>
            <w:r>
              <w:t>Cross-enrollment: the Dean's written permission is presented to the Registrar, who issues the cross-enrollment permit; after the course the student submits the grade to the Registrar for inclusion in the academic record.</w:t>
            </w:r>
          </w:p>
        </w:tc>
        <w:tc>
          <w:tcPr>
            <w:tcW w:type="dxa" w:w="3005"/>
          </w:tcPr>
          <w:p>
            <w:pPr>
              <w:pStyle w:val="TableText"/>
            </w:pPr>
            <w:r/>
            <w:r>
              <w:t>Handbook 2022-2023, p. 50</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HND-05</w:t>
            </w:r>
          </w:p>
        </w:tc>
        <w:tc>
          <w:tcPr>
            <w:tcW w:type="dxa" w:w="4535"/>
          </w:tcPr>
          <w:p>
            <w:pPr>
              <w:pStyle w:val="TableText"/>
            </w:pPr>
            <w:r/>
            <w:r>
              <w:t>A professor submits his or her grades within one year after the course was enrolled; an error in grades is corrected after the professor explains in writing to the Dean and secures approval, before the Registrar submits grades to CHED.</w:t>
            </w:r>
          </w:p>
        </w:tc>
        <w:tc>
          <w:tcPr>
            <w:tcW w:type="dxa" w:w="3005"/>
          </w:tcPr>
          <w:p>
            <w:pPr>
              <w:pStyle w:val="TableText"/>
            </w:pPr>
            <w:r/>
            <w:r>
              <w:t>Handbook 2022-2023, p. 49</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HND-06</w:t>
            </w:r>
          </w:p>
        </w:tc>
        <w:tc>
          <w:tcPr>
            <w:tcW w:type="dxa" w:w="4535"/>
          </w:tcPr>
          <w:p>
            <w:pPr>
              <w:pStyle w:val="TableText"/>
            </w:pPr>
            <w:r/>
            <w:r>
              <w:t>The Registrar is the repository of the records of academic performance and certifies the eligibility of candidates for graduation and honors.</w:t>
            </w:r>
          </w:p>
        </w:tc>
        <w:tc>
          <w:tcPr>
            <w:tcW w:type="dxa" w:w="3005"/>
          </w:tcPr>
          <w:p>
            <w:pPr>
              <w:pStyle w:val="TableText"/>
            </w:pPr>
            <w:r/>
            <w:r>
              <w:t>Handbook 2022-2023, p. 32</w:t>
            </w:r>
          </w:p>
        </w:tc>
        <w:tc>
          <w:tcPr>
            <w:tcW w:type="dxa" w:w="1191"/>
            <w:shd w:val="clear" w:color="auto" w:fill="E2F0D9"/>
          </w:tcPr>
          <w:p>
            <w:pPr>
              <w:pStyle w:val="TableText"/>
            </w:pPr>
            <w:r>
              <w:rPr>
                <w:b/>
              </w:rPr>
            </w:r>
            <w:r>
              <w:rPr>
                <w:b/>
              </w:rPr>
              <w:t>Official</w:t>
            </w:r>
          </w:p>
        </w:tc>
      </w:tr>
      <w:tr>
        <w:trPr>
          <w:cantSplit w:val="true"/>
        </w:trPr>
        <w:tc>
          <w:tcPr>
            <w:tcW w:type="dxa" w:w="907"/>
          </w:tcPr>
          <w:p>
            <w:pPr>
              <w:pStyle w:val="TableText"/>
            </w:pPr>
            <w:r/>
            <w:r>
              <w:rPr>
                <w:b/>
              </w:rPr>
              <w:t>HND-07</w:t>
            </w:r>
          </w:p>
        </w:tc>
        <w:tc>
          <w:tcPr>
            <w:tcW w:type="dxa" w:w="4535"/>
          </w:tcPr>
          <w:p>
            <w:pPr>
              <w:pStyle w:val="TableText"/>
            </w:pPr>
            <w:r/>
            <w:r>
              <w:t>For a withdrawal, the request is sent to the Registrar, who processes it in the system, and the Business Office then arranges any tuition adjustment; the Graduate School's responsibility ends at sending the request to the Registrar.</w:t>
            </w:r>
          </w:p>
        </w:tc>
        <w:tc>
          <w:tcPr>
            <w:tcW w:type="dxa" w:w="3005"/>
          </w:tcPr>
          <w:p>
            <w:pPr>
              <w:pStyle w:val="TableText"/>
            </w:pPr>
            <w:r/>
            <w:r>
              <w:t>Consultation 21 July 2026</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HND-08</w:t>
            </w:r>
          </w:p>
        </w:tc>
        <w:tc>
          <w:tcPr>
            <w:tcW w:type="dxa" w:w="4535"/>
          </w:tcPr>
          <w:p>
            <w:pPr>
              <w:pStyle w:val="TableText"/>
            </w:pPr>
            <w:r/>
            <w:r>
              <w:t>There is no integration between AIMS and the Graduate School record. The Graduate School cannot pull data from AIMS and may ask the ITS for an Excel export.</w:t>
            </w:r>
          </w:p>
        </w:tc>
        <w:tc>
          <w:tcPr>
            <w:tcW w:type="dxa" w:w="3005"/>
          </w:tcPr>
          <w:p>
            <w:pPr>
              <w:pStyle w:val="TableText"/>
            </w:pPr>
            <w:r/>
            <w:r>
              <w:t>Consultation 21 July 2026</w:t>
            </w:r>
          </w:p>
        </w:tc>
        <w:tc>
          <w:tcPr>
            <w:tcW w:type="dxa" w:w="1191"/>
            <w:shd w:val="clear" w:color="auto" w:fill="FFF2CC"/>
          </w:tcPr>
          <w:p>
            <w:pPr>
              <w:pStyle w:val="TableText"/>
            </w:pPr>
            <w:r>
              <w:rPr>
                <w:b/>
              </w:rPr>
            </w:r>
            <w:r>
              <w:rPr>
                <w:b/>
              </w:rPr>
              <w:t>Practice</w:t>
            </w:r>
          </w:p>
        </w:tc>
      </w:tr>
      <w:tr>
        <w:trPr>
          <w:cantSplit w:val="true"/>
        </w:trPr>
        <w:tc>
          <w:tcPr>
            <w:tcW w:type="dxa" w:w="907"/>
          </w:tcPr>
          <w:p>
            <w:pPr>
              <w:pStyle w:val="TableText"/>
            </w:pPr>
            <w:r/>
            <w:r>
              <w:rPr>
                <w:b/>
              </w:rPr>
              <w:t>HND-09</w:t>
            </w:r>
          </w:p>
        </w:tc>
        <w:tc>
          <w:tcPr>
            <w:tcW w:type="dxa" w:w="4535"/>
          </w:tcPr>
          <w:p>
            <w:pPr>
              <w:pStyle w:val="TableText"/>
            </w:pPr>
            <w:r/>
            <w:r>
              <w:t>The Graduate School keeps a log of each handoff (what, when, by whom, to which office) and of the Registrar's confirmation when one is received; the platform does not claim that the Registrar has acted until a confirmation is recorded.</w:t>
            </w:r>
          </w:p>
        </w:tc>
        <w:tc>
          <w:tcPr>
            <w:tcW w:type="dxa" w:w="3005"/>
          </w:tcPr>
          <w:p>
            <w:pPr>
              <w:pStyle w:val="TableText"/>
            </w:pPr>
            <w:r/>
            <w:r>
              <w:t>Group working notes, July 20 checklist, item 57; Consultation 20 July 2026, adviser's remark that the Registrar must confirm</w:t>
            </w:r>
          </w:p>
        </w:tc>
        <w:tc>
          <w:tcPr>
            <w:tcW w:type="dxa" w:w="1191"/>
            <w:shd w:val="clear" w:color="auto" w:fill="DDEBF7"/>
          </w:tcPr>
          <w:p>
            <w:pPr>
              <w:pStyle w:val="TableText"/>
            </w:pPr>
            <w:r>
              <w:rPr>
                <w:b/>
              </w:rPr>
            </w:r>
            <w:r>
              <w:rPr>
                <w:b/>
              </w:rPr>
              <w:t>Proposed</w:t>
            </w:r>
          </w:p>
        </w:tc>
      </w:tr>
      <w:tr>
        <w:trPr>
          <w:cantSplit w:val="true"/>
        </w:trPr>
        <w:tc>
          <w:tcPr>
            <w:tcW w:type="dxa" w:w="907"/>
          </w:tcPr>
          <w:p>
            <w:pPr>
              <w:pStyle w:val="TableText"/>
            </w:pPr>
            <w:r/>
            <w:r>
              <w:rPr>
                <w:b/>
              </w:rPr>
              <w:t>HND-10</w:t>
            </w:r>
          </w:p>
        </w:tc>
        <w:tc>
          <w:tcPr>
            <w:tcW w:type="dxa" w:w="4535"/>
          </w:tcPr>
          <w:p>
            <w:pPr>
              <w:pStyle w:val="TableText"/>
            </w:pPr>
            <w:r/>
            <w:r>
              <w:t>The export for the Registrar is a file (for withdrawals, an Excel list of approved withdrawals; for graduation, a CSV list of endorsed candidates) sent by the responsible person by email; column layouts are to be confirmed by the Registrar.</w:t>
            </w:r>
          </w:p>
        </w:tc>
        <w:tc>
          <w:tcPr>
            <w:tcW w:type="dxa" w:w="3005"/>
          </w:tcPr>
          <w:p>
            <w:pPr>
              <w:pStyle w:val="TableText"/>
            </w:pPr>
            <w:r/>
            <w:r>
              <w:t>Group working notes, Scenario notes; Platform (current build)</w:t>
            </w:r>
          </w:p>
        </w:tc>
        <w:tc>
          <w:tcPr>
            <w:tcW w:type="dxa" w:w="1191"/>
            <w:shd w:val="clear" w:color="auto" w:fill="DDEBF7"/>
          </w:tcPr>
          <w:p>
            <w:pPr>
              <w:pStyle w:val="TableText"/>
            </w:pPr>
            <w:r>
              <w:rPr>
                <w:b/>
              </w:rPr>
            </w:r>
            <w:r>
              <w:rPr>
                <w:b/>
              </w:rPr>
              <w:t>Proposed</w:t>
            </w:r>
          </w:p>
        </w:tc>
      </w:tr>
    </w:tbl>
    <w:p>
      <w:pPr>
        <w:spacing w:after="80" w:before="0"/>
      </w:pPr>
    </w:p>
    <w:p>
      <w:pPr>
        <w:pStyle w:val="Heading3"/>
      </w:pPr>
      <w:r>
        <w:t>4.19.6 Exceptions and unusual cases</w:t>
      </w:r>
    </w:p>
    <w:p>
      <w:pPr>
        <w:pStyle w:val="ListBullet"/>
        <w:spacing w:after="40"/>
      </w:pPr>
      <w:r>
        <w:t>The Registrar does not confirm: not stated in the sources; the Graduate School follows up (Proposed; OQ-32).</w:t>
      </w:r>
    </w:p>
    <w:p>
      <w:pPr>
        <w:pStyle w:val="ListBullet"/>
        <w:spacing w:after="40"/>
      </w:pPr>
      <w:r>
        <w:t>A handoff was sent for a request later cancelled: the log records the cancellation (Proposed).</w:t>
      </w:r>
    </w:p>
    <w:p>
      <w:pPr>
        <w:pStyle w:val="Heading3"/>
      </w:pPr>
      <w:r>
        <w:t>4.19.7 Records produced and where they go</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4536"/>
        <w:gridCol w:w="5103"/>
      </w:tblGrid>
      <w:tr>
        <w:trPr>
          <w:tblHeader w:val="true"/>
          <w:cantSplit w:val="true"/>
        </w:trPr>
        <w:tc>
          <w:tcPr>
            <w:tcW w:type="dxa" w:w="4535"/>
            <w:shd w:val="clear" w:color="auto" w:fill="1F4E3D"/>
          </w:tcPr>
          <w:p>
            <w:pPr>
              <w:pStyle w:val="TableHead"/>
            </w:pPr>
            <w:r/>
            <w:r>
              <w:t>Record</w:t>
            </w:r>
          </w:p>
        </w:tc>
        <w:tc>
          <w:tcPr>
            <w:tcW w:type="dxa" w:w="5102"/>
            <w:shd w:val="clear" w:color="auto" w:fill="1F4E3D"/>
          </w:tcPr>
          <w:p>
            <w:pPr>
              <w:pStyle w:val="TableHead"/>
            </w:pPr>
            <w:r/>
            <w:r>
              <w:t>Where it goes</w:t>
            </w:r>
          </w:p>
        </w:tc>
      </w:tr>
      <w:tr>
        <w:trPr>
          <w:cantSplit w:val="true"/>
        </w:trPr>
        <w:tc>
          <w:tcPr>
            <w:tcW w:type="dxa" w:w="4535"/>
          </w:tcPr>
          <w:p>
            <w:pPr>
              <w:pStyle w:val="TableText"/>
            </w:pPr>
            <w:r/>
            <w:r>
              <w:t>Handoff log</w:t>
            </w:r>
          </w:p>
        </w:tc>
        <w:tc>
          <w:tcPr>
            <w:tcW w:type="dxa" w:w="5102"/>
          </w:tcPr>
          <w:p>
            <w:pPr>
              <w:pStyle w:val="TableText"/>
            </w:pPr>
            <w:r/>
            <w:r>
              <w:t>GS staff</w:t>
            </w:r>
          </w:p>
        </w:tc>
      </w:tr>
      <w:tr>
        <w:trPr>
          <w:cantSplit w:val="true"/>
        </w:trPr>
        <w:tc>
          <w:tcPr>
            <w:tcW w:type="dxa" w:w="4535"/>
          </w:tcPr>
          <w:p>
            <w:pPr>
              <w:pStyle w:val="TableText"/>
            </w:pPr>
            <w:r/>
            <w:r>
              <w:t>Registrar's confirmation (if any)</w:t>
            </w:r>
          </w:p>
        </w:tc>
        <w:tc>
          <w:tcPr>
            <w:tcW w:type="dxa" w:w="5102"/>
          </w:tcPr>
          <w:p>
            <w:pPr>
              <w:pStyle w:val="TableText"/>
            </w:pPr>
            <w:r/>
            <w:r>
              <w:t>GS staff</w:t>
            </w:r>
          </w:p>
        </w:tc>
      </w:tr>
    </w:tbl>
    <w:p>
      <w:pPr>
        <w:spacing w:after="80" w:before="0"/>
      </w:pPr>
    </w:p>
    <w:p>
      <w:pPr>
        <w:pStyle w:val="Heading3"/>
      </w:pPr>
      <w:r>
        <w:t>4.19.8 How the platform supports this process</w:t>
      </w:r>
    </w:p>
    <w:p>
      <w:r>
        <w:rPr>
          <w:b w:val="0"/>
          <w:i w:val="0"/>
        </w:rPr>
        <w:t>The platform prepares files and never sends them. It prepares the graduation CSV (Dean only), the Excel list of approved subject withdrawals (GS staff; the fee percentages are marked as information only), and one provisional CSV file per student for a leave of absence, a readmission, an AWOL return or a residency enrollment, each labelled as provisional until the Registrar confirms the format. After each download a message says that the portal sent no email and that the responsible person must email the file and wait for the Registrar's acknowledgement. Each export is written to the log for each student (what, who, when). A Daily changes list shows the changes that the Registrar must mirror in AIMS, each with a tick that GS staff set when they have updated AIMS. The platform does not record the Registrar's confirmation: the database has fields for it, but nothing sets them.</w:t>
      </w:r>
    </w:p>
    <w:p>
      <w:r>
        <w:rPr>
          <w:b/>
          <w:i w:val="0"/>
        </w:rPr>
        <w:t xml:space="preserve">Difference between the platform and the rule. </w:t>
      </w:r>
      <w:r>
        <w:t>Whether the Graduate School should record a Registrar acknowledgement, with a reference number and date, or leave acknowledgement outside the platform, is an open decision (OQ-32). HND-09 is therefore met in part: each export is logged, the acknowledgement is not. The export columns and file names are not yet confirmed by the Registrar.</w:t>
      </w:r>
    </w:p>
    <w:p>
      <w:pPr>
        <w:pStyle w:val="Heading1"/>
      </w:pPr>
      <w:r>
        <w:t>5 Consolidated business rules register</w:t>
      </w:r>
    </w:p>
    <w:p>
      <w:r>
        <w:rPr>
          <w:b w:val="0"/>
          <w:i w:val="0"/>
        </w:rPr>
        <w:t>This register lists every business rule in this manual, sorted by process. The platform's rules register will be checked against this list. A machine-readable copy is saved as operations_manual_rules.json. The status column is Official (Handbook or Protocol), Practice (described by staff in consultation) or Proposed (the group's proposal); Practice and Proposed rows must be confirmed by the Graduate School.</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1701"/>
        <w:gridCol w:w="2041"/>
        <w:gridCol w:w="5896"/>
      </w:tblGrid>
      <w:tr>
        <w:trPr>
          <w:tblHeader w:val="true"/>
          <w:cantSplit w:val="true"/>
        </w:trPr>
        <w:tc>
          <w:tcPr>
            <w:tcW w:type="dxa" w:w="1701"/>
            <w:shd w:val="clear" w:color="auto" w:fill="1F4E3D"/>
          </w:tcPr>
          <w:p>
            <w:pPr>
              <w:pStyle w:val="TableHead"/>
            </w:pPr>
            <w:r/>
            <w:r>
              <w:t>Status</w:t>
            </w:r>
          </w:p>
        </w:tc>
        <w:tc>
          <w:tcPr>
            <w:tcW w:type="dxa" w:w="2041"/>
            <w:shd w:val="clear" w:color="auto" w:fill="1F4E3D"/>
          </w:tcPr>
          <w:p>
            <w:pPr>
              <w:pStyle w:val="TableHead"/>
            </w:pPr>
            <w:r/>
            <w:r>
              <w:t>Number of rules</w:t>
            </w:r>
          </w:p>
        </w:tc>
        <w:tc>
          <w:tcPr>
            <w:tcW w:type="dxa" w:w="5896"/>
            <w:shd w:val="clear" w:color="auto" w:fill="1F4E3D"/>
          </w:tcPr>
          <w:p>
            <w:pPr>
              <w:pStyle w:val="TableHead"/>
            </w:pPr>
            <w:r/>
            <w:r>
              <w:t>Meaning</w:t>
            </w:r>
          </w:p>
        </w:tc>
      </w:tr>
      <w:tr>
        <w:trPr>
          <w:cantSplit w:val="true"/>
        </w:trPr>
        <w:tc>
          <w:tcPr>
            <w:tcW w:type="dxa" w:w="1701"/>
            <w:shd w:val="clear" w:color="auto" w:fill="E2F0D9"/>
          </w:tcPr>
          <w:p>
            <w:pPr>
              <w:pStyle w:val="TableText"/>
            </w:pPr>
            <w:r>
              <w:rPr>
                <w:b/>
              </w:rPr>
            </w:r>
            <w:r>
              <w:rPr>
                <w:b/>
              </w:rPr>
              <w:t>Official</w:t>
            </w:r>
          </w:p>
        </w:tc>
        <w:tc>
          <w:tcPr>
            <w:tcW w:type="dxa" w:w="2041"/>
          </w:tcPr>
          <w:p>
            <w:pPr>
              <w:pStyle w:val="TableText"/>
            </w:pPr>
            <w:r/>
            <w:r>
              <w:t>168</w:t>
            </w:r>
          </w:p>
        </w:tc>
        <w:tc>
          <w:tcPr>
            <w:tcW w:type="dxa" w:w="5896"/>
          </w:tcPr>
          <w:p>
            <w:pPr>
              <w:pStyle w:val="TableText"/>
            </w:pPr>
            <w:r/>
            <w:r>
              <w:t>Stated in the Handbook or the Research Protocol</w:t>
            </w:r>
          </w:p>
        </w:tc>
      </w:tr>
      <w:tr>
        <w:trPr>
          <w:cantSplit w:val="true"/>
        </w:trPr>
        <w:tc>
          <w:tcPr>
            <w:tcW w:type="dxa" w:w="1701"/>
            <w:shd w:val="clear" w:color="auto" w:fill="FFF2CC"/>
          </w:tcPr>
          <w:p>
            <w:pPr>
              <w:pStyle w:val="TableText"/>
            </w:pPr>
            <w:r>
              <w:rPr>
                <w:b/>
              </w:rPr>
            </w:r>
            <w:r>
              <w:rPr>
                <w:b/>
              </w:rPr>
              <w:t>Practice</w:t>
            </w:r>
          </w:p>
        </w:tc>
        <w:tc>
          <w:tcPr>
            <w:tcW w:type="dxa" w:w="2041"/>
          </w:tcPr>
          <w:p>
            <w:pPr>
              <w:pStyle w:val="TableText"/>
            </w:pPr>
            <w:r/>
            <w:r>
              <w:t>22</w:t>
            </w:r>
          </w:p>
        </w:tc>
        <w:tc>
          <w:tcPr>
            <w:tcW w:type="dxa" w:w="5896"/>
          </w:tcPr>
          <w:p>
            <w:pPr>
              <w:pStyle w:val="TableText"/>
            </w:pPr>
            <w:r/>
            <w:r>
              <w:t>Described by staff in consultation; to be confirmed</w:t>
            </w:r>
          </w:p>
        </w:tc>
      </w:tr>
      <w:tr>
        <w:trPr>
          <w:cantSplit w:val="true"/>
        </w:trPr>
        <w:tc>
          <w:tcPr>
            <w:tcW w:type="dxa" w:w="1701"/>
            <w:shd w:val="clear" w:color="auto" w:fill="DDEBF7"/>
          </w:tcPr>
          <w:p>
            <w:pPr>
              <w:pStyle w:val="TableText"/>
            </w:pPr>
            <w:r>
              <w:rPr>
                <w:b/>
              </w:rPr>
            </w:r>
            <w:r>
              <w:rPr>
                <w:b/>
              </w:rPr>
              <w:t>Proposed</w:t>
            </w:r>
          </w:p>
        </w:tc>
        <w:tc>
          <w:tcPr>
            <w:tcW w:type="dxa" w:w="2041"/>
          </w:tcPr>
          <w:p>
            <w:pPr>
              <w:pStyle w:val="TableText"/>
            </w:pPr>
            <w:r/>
            <w:r>
              <w:t>40</w:t>
            </w:r>
          </w:p>
        </w:tc>
        <w:tc>
          <w:tcPr>
            <w:tcW w:type="dxa" w:w="5896"/>
          </w:tcPr>
          <w:p>
            <w:pPr>
              <w:pStyle w:val="TableText"/>
            </w:pPr>
            <w:r/>
            <w:r>
              <w:t>The group's proposal; to be confirmed</w:t>
            </w:r>
          </w:p>
        </w:tc>
      </w:tr>
      <w:tr>
        <w:trPr>
          <w:cantSplit w:val="true"/>
        </w:trPr>
        <w:tc>
          <w:tcPr>
            <w:tcW w:type="dxa" w:w="1701"/>
          </w:tcPr>
          <w:p>
            <w:pPr>
              <w:pStyle w:val="TableText"/>
            </w:pPr>
            <w:r/>
            <w:r>
              <w:t>Total</w:t>
            </w:r>
          </w:p>
        </w:tc>
        <w:tc>
          <w:tcPr>
            <w:tcW w:type="dxa" w:w="2041"/>
          </w:tcPr>
          <w:p>
            <w:pPr>
              <w:pStyle w:val="TableText"/>
            </w:pPr>
            <w:r/>
            <w:r>
              <w:t>230</w:t>
            </w:r>
          </w:p>
        </w:tc>
        <w:tc>
          <w:tcPr>
            <w:tcW w:type="dxa" w:w="5896"/>
          </w:tcPr>
          <w:p>
            <w:pPr>
              <w:pStyle w:val="TableText"/>
            </w:pPr>
            <w:r/>
            <w:r/>
          </w:p>
        </w:tc>
      </w:tr>
    </w:tbl>
    <w:p>
      <w:pPr>
        <w:spacing w:after="80" w:before="0"/>
      </w:pP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850"/>
        <w:gridCol w:w="1304"/>
        <w:gridCol w:w="4195"/>
        <w:gridCol w:w="2381"/>
        <w:gridCol w:w="907"/>
      </w:tblGrid>
      <w:tr>
        <w:trPr>
          <w:tblHeader w:val="true"/>
          <w:cantSplit w:val="true"/>
        </w:trPr>
        <w:tc>
          <w:tcPr>
            <w:tcW w:type="dxa" w:w="850"/>
            <w:shd w:val="clear" w:color="auto" w:fill="1F4E3D"/>
          </w:tcPr>
          <w:p>
            <w:pPr>
              <w:pStyle w:val="TableHead"/>
            </w:pPr>
            <w:r/>
            <w:r>
              <w:t>Rule</w:t>
            </w:r>
          </w:p>
        </w:tc>
        <w:tc>
          <w:tcPr>
            <w:tcW w:type="dxa" w:w="1304"/>
            <w:shd w:val="clear" w:color="auto" w:fill="1F4E3D"/>
          </w:tcPr>
          <w:p>
            <w:pPr>
              <w:pStyle w:val="TableHead"/>
            </w:pPr>
            <w:r/>
            <w:r>
              <w:t>Process</w:t>
            </w:r>
          </w:p>
        </w:tc>
        <w:tc>
          <w:tcPr>
            <w:tcW w:type="dxa" w:w="4195"/>
            <w:shd w:val="clear" w:color="auto" w:fill="1F4E3D"/>
          </w:tcPr>
          <w:p>
            <w:pPr>
              <w:pStyle w:val="TableHead"/>
            </w:pPr>
            <w:r/>
            <w:r>
              <w:t>Rule statement</w:t>
            </w:r>
          </w:p>
        </w:tc>
        <w:tc>
          <w:tcPr>
            <w:tcW w:type="dxa" w:w="2381"/>
            <w:shd w:val="clear" w:color="auto" w:fill="1F4E3D"/>
          </w:tcPr>
          <w:p>
            <w:pPr>
              <w:pStyle w:val="TableHead"/>
            </w:pPr>
            <w:r/>
            <w:r>
              <w:t>Source</w:t>
            </w:r>
          </w:p>
        </w:tc>
        <w:tc>
          <w:tcPr>
            <w:tcW w:type="dxa" w:w="907"/>
            <w:shd w:val="clear" w:color="auto" w:fill="1F4E3D"/>
          </w:tcPr>
          <w:p>
            <w:pPr>
              <w:pStyle w:val="TableHead"/>
            </w:pPr>
            <w:r/>
            <w:r>
              <w:t>Status</w:t>
            </w:r>
          </w:p>
        </w:tc>
      </w:tr>
      <w:tr>
        <w:trPr>
          <w:cantSplit w:val="true"/>
        </w:trPr>
        <w:tc>
          <w:tcPr>
            <w:tcW w:type="dxa" w:w="850"/>
          </w:tcPr>
          <w:p>
            <w:pPr>
              <w:pStyle w:val="TableText"/>
            </w:pPr>
            <w:r/>
            <w:r>
              <w:rPr>
                <w:b/>
              </w:rPr>
              <w:t>ADM-01</w:t>
            </w:r>
          </w:p>
        </w:tc>
        <w:tc>
          <w:tcPr>
            <w:tcW w:type="dxa" w:w="1304"/>
          </w:tcPr>
          <w:p>
            <w:pPr>
              <w:pStyle w:val="TableText"/>
            </w:pPr>
            <w:r/>
            <w:r>
              <w:t>4.1 Admission</w:t>
            </w:r>
          </w:p>
        </w:tc>
        <w:tc>
          <w:tcPr>
            <w:tcW w:type="dxa" w:w="4195"/>
          </w:tcPr>
          <w:p>
            <w:pPr>
              <w:pStyle w:val="TableText"/>
            </w:pPr>
            <w:r/>
            <w:r>
              <w:t>A student seeking admission must submit an accomplished admission application form, two letters of recommendation, one 2x2 ID picture, transcript of record, honorable dismissal or transfer credential, pass the entrance examination and interview, comply with program-specific requirements, and sign an undertaking to finish the bridging course in a year.</w:t>
            </w:r>
          </w:p>
        </w:tc>
        <w:tc>
          <w:tcPr>
            <w:tcW w:type="dxa" w:w="2381"/>
          </w:tcPr>
          <w:p>
            <w:pPr>
              <w:pStyle w:val="TableText"/>
            </w:pPr>
            <w:r/>
            <w:r>
              <w:t>Handbook 2022-2023, pp. 42-43</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ADM-02</w:t>
            </w:r>
          </w:p>
        </w:tc>
        <w:tc>
          <w:tcPr>
            <w:tcW w:type="dxa" w:w="1304"/>
          </w:tcPr>
          <w:p>
            <w:pPr>
              <w:pStyle w:val="TableText"/>
            </w:pPr>
            <w:r/>
            <w:r>
              <w:t>4.1 Admission</w:t>
            </w:r>
          </w:p>
        </w:tc>
        <w:tc>
          <w:tcPr>
            <w:tcW w:type="dxa" w:w="4195"/>
          </w:tcPr>
          <w:p>
            <w:pPr>
              <w:pStyle w:val="TableText"/>
            </w:pPr>
            <w:r/>
            <w:r>
              <w:t>The entrance examination fee (Graduate School P400) and the admission fee (P300) are non-refundable.</w:t>
            </w:r>
          </w:p>
        </w:tc>
        <w:tc>
          <w:tcPr>
            <w:tcW w:type="dxa" w:w="2381"/>
          </w:tcPr>
          <w:p>
            <w:pPr>
              <w:pStyle w:val="TableText"/>
            </w:pPr>
            <w:r/>
            <w:r>
              <w:t>Handbook 2022-2023, p. 46</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ADM-03</w:t>
            </w:r>
          </w:p>
        </w:tc>
        <w:tc>
          <w:tcPr>
            <w:tcW w:type="dxa" w:w="1304"/>
          </w:tcPr>
          <w:p>
            <w:pPr>
              <w:pStyle w:val="TableText"/>
            </w:pPr>
            <w:r/>
            <w:r>
              <w:t>4.1 Admission</w:t>
            </w:r>
          </w:p>
        </w:tc>
        <w:tc>
          <w:tcPr>
            <w:tcW w:type="dxa" w:w="4195"/>
          </w:tcPr>
          <w:p>
            <w:pPr>
              <w:pStyle w:val="TableText"/>
            </w:pPr>
            <w:r/>
            <w:r>
              <w:t>An applicant with insufficient background must take prerequisite or bridging courses; an applicant with a non-thesis master's degree enrolls in six units of thesis as a bridging course. The number of units differs by college.</w:t>
            </w:r>
          </w:p>
        </w:tc>
        <w:tc>
          <w:tcPr>
            <w:tcW w:type="dxa" w:w="2381"/>
          </w:tcPr>
          <w:p>
            <w:pPr>
              <w:pStyle w:val="TableText"/>
            </w:pPr>
            <w:r/>
            <w:r>
              <w:t>Handbook 2022-2023, pp. 43-44</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ADM-04</w:t>
            </w:r>
          </w:p>
        </w:tc>
        <w:tc>
          <w:tcPr>
            <w:tcW w:type="dxa" w:w="1304"/>
          </w:tcPr>
          <w:p>
            <w:pPr>
              <w:pStyle w:val="TableText"/>
            </w:pPr>
            <w:r/>
            <w:r>
              <w:t>4.1 Admission</w:t>
            </w:r>
          </w:p>
        </w:tc>
        <w:tc>
          <w:tcPr>
            <w:tcW w:type="dxa" w:w="4195"/>
          </w:tcPr>
          <w:p>
            <w:pPr>
              <w:pStyle w:val="TableText"/>
            </w:pPr>
            <w:r/>
            <w:r>
              <w:t>A transferee may be credited a maximum of 25% of subjects taken during the last five years that are substantially the same in content, not credited to a previous degree, upon recommendation of the Admission Committee and within the residence requirement.</w:t>
            </w:r>
          </w:p>
        </w:tc>
        <w:tc>
          <w:tcPr>
            <w:tcW w:type="dxa" w:w="2381"/>
          </w:tcPr>
          <w:p>
            <w:pPr>
              <w:pStyle w:val="TableText"/>
            </w:pPr>
            <w:r/>
            <w:r>
              <w:t>Handbook 2022-2023, p. 45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ADM-05</w:t>
            </w:r>
          </w:p>
        </w:tc>
        <w:tc>
          <w:tcPr>
            <w:tcW w:type="dxa" w:w="1304"/>
          </w:tcPr>
          <w:p>
            <w:pPr>
              <w:pStyle w:val="TableText"/>
            </w:pPr>
            <w:r/>
            <w:r>
              <w:t>4.1 Admission</w:t>
            </w:r>
          </w:p>
        </w:tc>
        <w:tc>
          <w:tcPr>
            <w:tcW w:type="dxa" w:w="4195"/>
          </w:tcPr>
          <w:p>
            <w:pPr>
              <w:pStyle w:val="TableText"/>
            </w:pPr>
            <w:r/>
            <w:r>
              <w:t>A special student (audit only) needs the permission of the Dean and a signed agreement waiving the right to receive or demand credit.</w:t>
            </w:r>
          </w:p>
        </w:tc>
        <w:tc>
          <w:tcPr>
            <w:tcW w:type="dxa" w:w="2381"/>
          </w:tcPr>
          <w:p>
            <w:pPr>
              <w:pStyle w:val="TableText"/>
            </w:pPr>
            <w:r/>
            <w:r>
              <w:t>Handbook 2022-2023, p. 45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ADM-06</w:t>
            </w:r>
          </w:p>
        </w:tc>
        <w:tc>
          <w:tcPr>
            <w:tcW w:type="dxa" w:w="1304"/>
          </w:tcPr>
          <w:p>
            <w:pPr>
              <w:pStyle w:val="TableText"/>
            </w:pPr>
            <w:r/>
            <w:r>
              <w:t>4.1 Admission</w:t>
            </w:r>
          </w:p>
        </w:tc>
        <w:tc>
          <w:tcPr>
            <w:tcW w:type="dxa" w:w="4195"/>
          </w:tcPr>
          <w:p>
            <w:pPr>
              <w:pStyle w:val="TableText"/>
            </w:pPr>
            <w:r/>
            <w:r>
              <w:t>A foreign student pays an additional annual foreign fee; missionaries and religious, children of Overseas Filipino workers, special exchange students and students on audit are exempt.</w:t>
            </w:r>
          </w:p>
        </w:tc>
        <w:tc>
          <w:tcPr>
            <w:tcW w:type="dxa" w:w="2381"/>
          </w:tcPr>
          <w:p>
            <w:pPr>
              <w:pStyle w:val="TableText"/>
            </w:pPr>
            <w:r/>
            <w:r>
              <w:t>Handbook 2022-2023, p. 45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ADM-07</w:t>
            </w:r>
          </w:p>
        </w:tc>
        <w:tc>
          <w:tcPr>
            <w:tcW w:type="dxa" w:w="1304"/>
          </w:tcPr>
          <w:p>
            <w:pPr>
              <w:pStyle w:val="TableText"/>
            </w:pPr>
            <w:r/>
            <w:r>
              <w:t>4.1 Admission</w:t>
            </w:r>
          </w:p>
        </w:tc>
        <w:tc>
          <w:tcPr>
            <w:tcW w:type="dxa" w:w="4195"/>
          </w:tcPr>
          <w:p>
            <w:pPr>
              <w:pStyle w:val="TableText"/>
            </w:pPr>
            <w:r/>
            <w:r>
              <w:t>Upon admission the Dean gives the student information about the program of study; students who do not meet the admission test cut-off are assigned a volunteer faculty adviser.</w:t>
            </w:r>
          </w:p>
        </w:tc>
        <w:tc>
          <w:tcPr>
            <w:tcW w:type="dxa" w:w="2381"/>
          </w:tcPr>
          <w:p>
            <w:pPr>
              <w:pStyle w:val="TableText"/>
            </w:pPr>
            <w:r/>
            <w:r>
              <w:t>Handbook 2022-2023, p. 42</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ADM-08</w:t>
            </w:r>
          </w:p>
        </w:tc>
        <w:tc>
          <w:tcPr>
            <w:tcW w:type="dxa" w:w="1304"/>
          </w:tcPr>
          <w:p>
            <w:pPr>
              <w:pStyle w:val="TableText"/>
            </w:pPr>
            <w:r/>
            <w:r>
              <w:t>4.1 Admission</w:t>
            </w:r>
          </w:p>
        </w:tc>
        <w:tc>
          <w:tcPr>
            <w:tcW w:type="dxa" w:w="4195"/>
          </w:tcPr>
          <w:p>
            <w:pPr>
              <w:pStyle w:val="TableText"/>
            </w:pPr>
            <w:r/>
            <w:r>
              <w:t>The applicant sends a letter of intent with the transcript of records and waits for notification within 3-5 working days before taking the entrance examination.</w:t>
            </w:r>
          </w:p>
        </w:tc>
        <w:tc>
          <w:tcPr>
            <w:tcW w:type="dxa" w:w="2381"/>
          </w:tcPr>
          <w:p>
            <w:pPr>
              <w:pStyle w:val="TableText"/>
            </w:pPr>
            <w:r/>
            <w:r>
              <w:t>Handbook 2022-2023, p. 45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ADM-09</w:t>
            </w:r>
          </w:p>
        </w:tc>
        <w:tc>
          <w:tcPr>
            <w:tcW w:type="dxa" w:w="1304"/>
          </w:tcPr>
          <w:p>
            <w:pPr>
              <w:pStyle w:val="TableText"/>
            </w:pPr>
            <w:r/>
            <w:r>
              <w:t>4.1 Admission</w:t>
            </w:r>
          </w:p>
        </w:tc>
        <w:tc>
          <w:tcPr>
            <w:tcW w:type="dxa" w:w="4195"/>
          </w:tcPr>
          <w:p>
            <w:pPr>
              <w:pStyle w:val="TableText"/>
            </w:pPr>
            <w:r/>
            <w:r>
              <w:t>The student number and the institutional email are created by the Registrar; the Graduate School does not generate or manually assign them.</w:t>
            </w:r>
          </w:p>
        </w:tc>
        <w:tc>
          <w:tcPr>
            <w:tcW w:type="dxa" w:w="2381"/>
          </w:tcPr>
          <w:p>
            <w:pPr>
              <w:pStyle w:val="TableText"/>
            </w:pPr>
            <w:r/>
            <w:r>
              <w:t>Consultation 15 July 2026, student number created by the Registrar; Group working notes, July 20 checklist, items 3 and 4</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ADM-10</w:t>
            </w:r>
          </w:p>
        </w:tc>
        <w:tc>
          <w:tcPr>
            <w:tcW w:type="dxa" w:w="1304"/>
          </w:tcPr>
          <w:p>
            <w:pPr>
              <w:pStyle w:val="TableText"/>
            </w:pPr>
            <w:r/>
            <w:r>
              <w:t>4.1 Admission</w:t>
            </w:r>
          </w:p>
        </w:tc>
        <w:tc>
          <w:tcPr>
            <w:tcW w:type="dxa" w:w="4195"/>
          </w:tcPr>
          <w:p>
            <w:pPr>
              <w:pStyle w:val="TableText"/>
            </w:pPr>
            <w:r/>
            <w:r>
              <w:t>The admission checklist follows the official USLS admission process. The Graduate School does not repeat it; it records that admission was completed.</w:t>
            </w:r>
          </w:p>
        </w:tc>
        <w:tc>
          <w:tcPr>
            <w:tcW w:type="dxa" w:w="2381"/>
          </w:tcPr>
          <w:p>
            <w:pPr>
              <w:pStyle w:val="TableText"/>
            </w:pPr>
            <w:r/>
            <w:r>
              <w:t>Group working notes, July 20 checklist, item 4 (stakeholder-confirmed answer)</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ADM-11</w:t>
            </w:r>
          </w:p>
        </w:tc>
        <w:tc>
          <w:tcPr>
            <w:tcW w:type="dxa" w:w="1304"/>
          </w:tcPr>
          <w:p>
            <w:pPr>
              <w:pStyle w:val="TableText"/>
            </w:pPr>
            <w:r/>
            <w:r>
              <w:t>4.1 Admission</w:t>
            </w:r>
          </w:p>
        </w:tc>
        <w:tc>
          <w:tcPr>
            <w:tcW w:type="dxa" w:w="4195"/>
          </w:tcPr>
          <w:p>
            <w:pPr>
              <w:pStyle w:val="TableText"/>
            </w:pPr>
            <w:r/>
            <w:r>
              <w:t>Student records enter the Graduate School's record through the monitoring workbook prepared from the official records (AIMS); GS staff do not create student records manually, and a missing student is checked against the official source.</w:t>
            </w:r>
          </w:p>
        </w:tc>
        <w:tc>
          <w:tcPr>
            <w:tcW w:type="dxa" w:w="2381"/>
          </w:tcPr>
          <w:p>
            <w:pPr>
              <w:pStyle w:val="TableText"/>
            </w:pPr>
            <w:r/>
            <w:r>
              <w:t>Group working notes, July 20 checklist, items 2 and 6 (stakeholder-confirmed answer); Consultation 21 July 2026, no AIMS integration</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ADM-12</w:t>
            </w:r>
          </w:p>
        </w:tc>
        <w:tc>
          <w:tcPr>
            <w:tcW w:type="dxa" w:w="1304"/>
          </w:tcPr>
          <w:p>
            <w:pPr>
              <w:pStyle w:val="TableText"/>
            </w:pPr>
            <w:r/>
            <w:r>
              <w:t>4.1 Admission</w:t>
            </w:r>
          </w:p>
        </w:tc>
        <w:tc>
          <w:tcPr>
            <w:tcW w:type="dxa" w:w="4195"/>
          </w:tcPr>
          <w:p>
            <w:pPr>
              <w:pStyle w:val="TableText"/>
            </w:pPr>
            <w:r/>
            <w:r>
              <w:t>GS staff record the source and the date of each handoff; the Academic Coordinator confirms the program assignment; the Dean acknowledges completed onboarding.</w:t>
            </w:r>
          </w:p>
        </w:tc>
        <w:tc>
          <w:tcPr>
            <w:tcW w:type="dxa" w:w="2381"/>
          </w:tcPr>
          <w:p>
            <w:pPr>
              <w:pStyle w:val="TableText"/>
            </w:pPr>
            <w:r/>
            <w:r>
              <w:t>Group working notes, BPM accurate flow, section 1</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ADM-13</w:t>
            </w:r>
          </w:p>
        </w:tc>
        <w:tc>
          <w:tcPr>
            <w:tcW w:type="dxa" w:w="1304"/>
          </w:tcPr>
          <w:p>
            <w:pPr>
              <w:pStyle w:val="TableText"/>
            </w:pPr>
            <w:r/>
            <w:r>
              <w:t>4.1 Admission</w:t>
            </w:r>
          </w:p>
        </w:tc>
        <w:tc>
          <w:tcPr>
            <w:tcW w:type="dxa" w:w="4195"/>
          </w:tcPr>
          <w:p>
            <w:pPr>
              <w:pStyle w:val="TableText"/>
            </w:pPr>
            <w:r/>
            <w:r>
              <w:t>A possible duplicate student is identified by the student number, never by name alone; staff compare the records and confirm or merge them only when verified.</w:t>
            </w:r>
          </w:p>
        </w:tc>
        <w:tc>
          <w:tcPr>
            <w:tcW w:type="dxa" w:w="2381"/>
          </w:tcPr>
          <w:p>
            <w:pPr>
              <w:pStyle w:val="TableText"/>
            </w:pPr>
            <w:r/>
            <w:r>
              <w:t>Group working notes, July 20 checklist, items 13 and 14</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ENR-01</w:t>
            </w:r>
          </w:p>
        </w:tc>
        <w:tc>
          <w:tcPr>
            <w:tcW w:type="dxa" w:w="1304"/>
          </w:tcPr>
          <w:p>
            <w:pPr>
              <w:pStyle w:val="TableText"/>
            </w:pPr>
            <w:r/>
            <w:r>
              <w:t>4.2 Enrollment</w:t>
            </w:r>
          </w:p>
        </w:tc>
        <w:tc>
          <w:tcPr>
            <w:tcW w:type="dxa" w:w="4195"/>
          </w:tcPr>
          <w:p>
            <w:pPr>
              <w:pStyle w:val="TableText"/>
            </w:pPr>
            <w:r/>
            <w:r>
              <w:t>The enrolment procedures are: (1) academic evaluation and electronic advising with the Academic Coordinator, (2) payment at the Cashiers in the Business Office, (3) validation in the student's AIMS account, (4) ID issuance or renewal.</w:t>
            </w:r>
          </w:p>
        </w:tc>
        <w:tc>
          <w:tcPr>
            <w:tcW w:type="dxa" w:w="2381"/>
          </w:tcPr>
          <w:p>
            <w:pPr>
              <w:pStyle w:val="TableText"/>
            </w:pPr>
            <w:r/>
            <w:r>
              <w:t>Handbook 2022-2023, p. 47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ENR-02</w:t>
            </w:r>
          </w:p>
        </w:tc>
        <w:tc>
          <w:tcPr>
            <w:tcW w:type="dxa" w:w="1304"/>
          </w:tcPr>
          <w:p>
            <w:pPr>
              <w:pStyle w:val="TableText"/>
            </w:pPr>
            <w:r/>
            <w:r>
              <w:t>4.2 Enrollment</w:t>
            </w:r>
          </w:p>
        </w:tc>
        <w:tc>
          <w:tcPr>
            <w:tcW w:type="dxa" w:w="4195"/>
          </w:tcPr>
          <w:p>
            <w:pPr>
              <w:pStyle w:val="TableText"/>
            </w:pPr>
            <w:r/>
            <w:r>
              <w:t>The normal load of a part-time graduate student is six (6) to nine (9) units per semester, and twelve (12) units for a full-time student.</w:t>
            </w:r>
          </w:p>
        </w:tc>
        <w:tc>
          <w:tcPr>
            <w:tcW w:type="dxa" w:w="2381"/>
          </w:tcPr>
          <w:p>
            <w:pPr>
              <w:pStyle w:val="TableText"/>
            </w:pPr>
            <w:r/>
            <w:r>
              <w:t>Handbook 2022-2023, p. 48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ENR-03</w:t>
            </w:r>
          </w:p>
        </w:tc>
        <w:tc>
          <w:tcPr>
            <w:tcW w:type="dxa" w:w="1304"/>
          </w:tcPr>
          <w:p>
            <w:pPr>
              <w:pStyle w:val="TableText"/>
            </w:pPr>
            <w:r/>
            <w:r>
              <w:t>4.2 Enrollment</w:t>
            </w:r>
          </w:p>
        </w:tc>
        <w:tc>
          <w:tcPr>
            <w:tcW w:type="dxa" w:w="4195"/>
          </w:tcPr>
          <w:p>
            <w:pPr>
              <w:pStyle w:val="TableText"/>
            </w:pPr>
            <w:r/>
            <w:r>
              <w:t>Attendance is counted from the first regular class meeting regardless of the time of registration.</w:t>
            </w:r>
          </w:p>
        </w:tc>
        <w:tc>
          <w:tcPr>
            <w:tcW w:type="dxa" w:w="2381"/>
          </w:tcPr>
          <w:p>
            <w:pPr>
              <w:pStyle w:val="TableText"/>
            </w:pPr>
            <w:r/>
            <w:r>
              <w:t>Handbook 2022-2023, p. 52</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ENR-04</w:t>
            </w:r>
          </w:p>
        </w:tc>
        <w:tc>
          <w:tcPr>
            <w:tcW w:type="dxa" w:w="1304"/>
          </w:tcPr>
          <w:p>
            <w:pPr>
              <w:pStyle w:val="TableText"/>
            </w:pPr>
            <w:r/>
            <w:r>
              <w:t>4.2 Enrollment</w:t>
            </w:r>
          </w:p>
        </w:tc>
        <w:tc>
          <w:tcPr>
            <w:tcW w:type="dxa" w:w="4195"/>
          </w:tcPr>
          <w:p>
            <w:pPr>
              <w:pStyle w:val="TableText"/>
            </w:pPr>
            <w:r/>
            <w:r>
              <w:t>Students with financial delinquencies at the close of the semester are not permitted to register in the succeeding semester unless previous accounts are settled.</w:t>
            </w:r>
          </w:p>
        </w:tc>
        <w:tc>
          <w:tcPr>
            <w:tcW w:type="dxa" w:w="2381"/>
          </w:tcPr>
          <w:p>
            <w:pPr>
              <w:pStyle w:val="TableText"/>
            </w:pPr>
            <w:r/>
            <w:r>
              <w:t>Handbook 2022-2023, p. 51</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ENR-05</w:t>
            </w:r>
          </w:p>
        </w:tc>
        <w:tc>
          <w:tcPr>
            <w:tcW w:type="dxa" w:w="1304"/>
          </w:tcPr>
          <w:p>
            <w:pPr>
              <w:pStyle w:val="TableText"/>
            </w:pPr>
            <w:r/>
            <w:r>
              <w:t>4.2 Enrollment</w:t>
            </w:r>
          </w:p>
        </w:tc>
        <w:tc>
          <w:tcPr>
            <w:tcW w:type="dxa" w:w="4195"/>
          </w:tcPr>
          <w:p>
            <w:pPr>
              <w:pStyle w:val="TableText"/>
            </w:pPr>
            <w:r/>
            <w:r>
              <w:t>A master's student may transfer to another master's option with the approval of the Dean, upon the recommendation of the Academic Coordinator and endorsed by the Associate Dean.</w:t>
            </w:r>
          </w:p>
        </w:tc>
        <w:tc>
          <w:tcPr>
            <w:tcW w:type="dxa" w:w="2381"/>
          </w:tcPr>
          <w:p>
            <w:pPr>
              <w:pStyle w:val="TableText"/>
            </w:pPr>
            <w:r/>
            <w:r>
              <w:t>Handbook 2022-2023, p. 48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ENR-06</w:t>
            </w:r>
          </w:p>
        </w:tc>
        <w:tc>
          <w:tcPr>
            <w:tcW w:type="dxa" w:w="1304"/>
          </w:tcPr>
          <w:p>
            <w:pPr>
              <w:pStyle w:val="TableText"/>
            </w:pPr>
            <w:r/>
            <w:r>
              <w:t>4.2 Enrollment</w:t>
            </w:r>
          </w:p>
        </w:tc>
        <w:tc>
          <w:tcPr>
            <w:tcW w:type="dxa" w:w="4195"/>
          </w:tcPr>
          <w:p>
            <w:pPr>
              <w:pStyle w:val="TableText"/>
            </w:pPr>
            <w:r/>
            <w:r>
              <w:t>Coursework at another institution is credited only if the student secured the Dean's written permission in advance; the Registrar then issues a cross-enrollment permit. Cross-enrollment is normally allowed only to a graduating student for a course not offered in the graduating semester, and never for major elective or major professional courses.</w:t>
            </w:r>
          </w:p>
        </w:tc>
        <w:tc>
          <w:tcPr>
            <w:tcW w:type="dxa" w:w="2381"/>
          </w:tcPr>
          <w:p>
            <w:pPr>
              <w:pStyle w:val="TableText"/>
            </w:pPr>
            <w:r/>
            <w:r>
              <w:t>Handbook 2022-2023, p. 50</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ENR-07</w:t>
            </w:r>
          </w:p>
        </w:tc>
        <w:tc>
          <w:tcPr>
            <w:tcW w:type="dxa" w:w="1304"/>
          </w:tcPr>
          <w:p>
            <w:pPr>
              <w:pStyle w:val="TableText"/>
            </w:pPr>
            <w:r/>
            <w:r>
              <w:t>4.2 Enrollment</w:t>
            </w:r>
          </w:p>
        </w:tc>
        <w:tc>
          <w:tcPr>
            <w:tcW w:type="dxa" w:w="4195"/>
          </w:tcPr>
          <w:p>
            <w:pPr>
              <w:pStyle w:val="TableText"/>
            </w:pPr>
            <w:r/>
            <w:r>
              <w:t>A special class may be requested by the Academic Coordinator through the Dean, addressed to the Vice Chancellor for Academic Affairs. An undersized class is treated as a special class.</w:t>
            </w:r>
          </w:p>
        </w:tc>
        <w:tc>
          <w:tcPr>
            <w:tcW w:type="dxa" w:w="2381"/>
          </w:tcPr>
          <w:p>
            <w:pPr>
              <w:pStyle w:val="TableText"/>
            </w:pPr>
            <w:r/>
            <w:r>
              <w:t>Handbook 2022-2023, p. 48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ENR-08</w:t>
            </w:r>
          </w:p>
        </w:tc>
        <w:tc>
          <w:tcPr>
            <w:tcW w:type="dxa" w:w="1304"/>
          </w:tcPr>
          <w:p>
            <w:pPr>
              <w:pStyle w:val="TableText"/>
            </w:pPr>
            <w:r/>
            <w:r>
              <w:t>4.2 Enrollment</w:t>
            </w:r>
          </w:p>
        </w:tc>
        <w:tc>
          <w:tcPr>
            <w:tcW w:type="dxa" w:w="4195"/>
          </w:tcPr>
          <w:p>
            <w:pPr>
              <w:pStyle w:val="TableText"/>
            </w:pPr>
            <w:r/>
            <w:r>
              <w:t>Enrollment takes place in AIMS. The Academic Coordinator advises the subjects and tags the student as enrolled in the Graduate School's record; the Graduate School record is a monitoring record.</w:t>
            </w:r>
          </w:p>
        </w:tc>
        <w:tc>
          <w:tcPr>
            <w:tcW w:type="dxa" w:w="2381"/>
          </w:tcPr>
          <w:p>
            <w:pPr>
              <w:pStyle w:val="TableText"/>
            </w:pPr>
            <w:r/>
            <w:r>
              <w:t>Consultation 21 July 2026</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ENR-09</w:t>
            </w:r>
          </w:p>
        </w:tc>
        <w:tc>
          <w:tcPr>
            <w:tcW w:type="dxa" w:w="1304"/>
          </w:tcPr>
          <w:p>
            <w:pPr>
              <w:pStyle w:val="TableText"/>
            </w:pPr>
            <w:r/>
            <w:r>
              <w:t>4.2 Enrollment</w:t>
            </w:r>
          </w:p>
        </w:tc>
        <w:tc>
          <w:tcPr>
            <w:tcW w:type="dxa" w:w="4195"/>
          </w:tcPr>
          <w:p>
            <w:pPr>
              <w:pStyle w:val="TableText"/>
            </w:pPr>
            <w:r/>
            <w:r>
              <w:t>There are no ordinary course-to-course prerequisites in the Graduate School; eligibility rules apply mainly to the comprehensive examination and to the thesis or dissertation stage.</w:t>
            </w:r>
          </w:p>
        </w:tc>
        <w:tc>
          <w:tcPr>
            <w:tcW w:type="dxa" w:w="2381"/>
          </w:tcPr>
          <w:p>
            <w:pPr>
              <w:pStyle w:val="TableText"/>
            </w:pPr>
            <w:r/>
            <w:r>
              <w:t>Group working notes, July 20 checklist, items 16 and 75 (stakeholder-confirmed answer)</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ENR-10</w:t>
            </w:r>
          </w:p>
        </w:tc>
        <w:tc>
          <w:tcPr>
            <w:tcW w:type="dxa" w:w="1304"/>
          </w:tcPr>
          <w:p>
            <w:pPr>
              <w:pStyle w:val="TableText"/>
            </w:pPr>
            <w:r/>
            <w:r>
              <w:t>4.2 Enrollment</w:t>
            </w:r>
          </w:p>
        </w:tc>
        <w:tc>
          <w:tcPr>
            <w:tcW w:type="dxa" w:w="4195"/>
          </w:tcPr>
          <w:p>
            <w:pPr>
              <w:pStyle w:val="TableText"/>
            </w:pPr>
            <w:r/>
            <w:r>
              <w:t>Enrollment normally occurs in June to July. Dates are kept as configurable academic periods, not fixed dates.</w:t>
            </w:r>
          </w:p>
        </w:tc>
        <w:tc>
          <w:tcPr>
            <w:tcW w:type="dxa" w:w="2381"/>
          </w:tcPr>
          <w:p>
            <w:pPr>
              <w:pStyle w:val="TableText"/>
            </w:pPr>
            <w:r/>
            <w:r>
              <w:t>Group working notes, July 20 checklist, items 10 and 76 (stakeholder-confirmed answer)</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ENR-11</w:t>
            </w:r>
          </w:p>
        </w:tc>
        <w:tc>
          <w:tcPr>
            <w:tcW w:type="dxa" w:w="1304"/>
          </w:tcPr>
          <w:p>
            <w:pPr>
              <w:pStyle w:val="TableText"/>
            </w:pPr>
            <w:r/>
            <w:r>
              <w:t>4.2 Enrollment</w:t>
            </w:r>
          </w:p>
        </w:tc>
        <w:tc>
          <w:tcPr>
            <w:tcW w:type="dxa" w:w="4195"/>
          </w:tcPr>
          <w:p>
            <w:pPr>
              <w:pStyle w:val="TableText"/>
            </w:pPr>
            <w:r/>
            <w:r>
              <w:t>Each student-subject pair has one status: not taken, enrolled, taken, dropped, withdrawn; and, as reported by faculty, incomplete or failed.</w:t>
            </w:r>
          </w:p>
        </w:tc>
        <w:tc>
          <w:tcPr>
            <w:tcW w:type="dxa" w:w="2381"/>
          </w:tcPr>
          <w:p>
            <w:pPr>
              <w:pStyle w:val="TableText"/>
            </w:pPr>
            <w:r/>
            <w:r>
              <w:t>Consultation 21 July 2026</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ENR-12</w:t>
            </w:r>
          </w:p>
        </w:tc>
        <w:tc>
          <w:tcPr>
            <w:tcW w:type="dxa" w:w="1304"/>
          </w:tcPr>
          <w:p>
            <w:pPr>
              <w:pStyle w:val="TableText"/>
            </w:pPr>
            <w:r/>
            <w:r>
              <w:t>4.2 Enrollment</w:t>
            </w:r>
          </w:p>
        </w:tc>
        <w:tc>
          <w:tcPr>
            <w:tcW w:type="dxa" w:w="4195"/>
          </w:tcPr>
          <w:p>
            <w:pPr>
              <w:pStyle w:val="TableText"/>
            </w:pPr>
            <w:r/>
            <w:r>
              <w:t>Faculty do not enter grades in the Graduate School record. A professor who fails a student or gives an incomplete reports it to the Academic Coordinator, who tags the status.</w:t>
            </w:r>
          </w:p>
        </w:tc>
        <w:tc>
          <w:tcPr>
            <w:tcW w:type="dxa" w:w="2381"/>
          </w:tcPr>
          <w:p>
            <w:pPr>
              <w:pStyle w:val="TableText"/>
            </w:pPr>
            <w:r/>
            <w:r>
              <w:t>Consultation 21 July 2026</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ENR-13</w:t>
            </w:r>
          </w:p>
        </w:tc>
        <w:tc>
          <w:tcPr>
            <w:tcW w:type="dxa" w:w="1304"/>
          </w:tcPr>
          <w:p>
            <w:pPr>
              <w:pStyle w:val="TableText"/>
            </w:pPr>
            <w:r/>
            <w:r>
              <w:t>4.2 Enrollment</w:t>
            </w:r>
          </w:p>
        </w:tc>
        <w:tc>
          <w:tcPr>
            <w:tcW w:type="dxa" w:w="4195"/>
          </w:tcPr>
          <w:p>
            <w:pPr>
              <w:pStyle w:val="TableText"/>
            </w:pPr>
            <w:r/>
            <w:r>
              <w:t>The platform shows the Academic Coordinator the load tagged for a student (below six units, six to nine units part-time, above nine to twelve units full-time). A load above twelve units is flagged and can be saved only with a documented exception; a load below twelve units is information and does not block the tag.</w:t>
            </w:r>
          </w:p>
        </w:tc>
        <w:tc>
          <w:tcPr>
            <w:tcW w:type="dxa" w:w="2381"/>
          </w:tcPr>
          <w:p>
            <w:pPr>
              <w:pStyle w:val="TableText"/>
            </w:pPr>
            <w:r/>
            <w:r>
              <w:t>Handbook 2022-2023, p. 48</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CRS-01</w:t>
            </w:r>
          </w:p>
        </w:tc>
        <w:tc>
          <w:tcPr>
            <w:tcW w:type="dxa" w:w="1304"/>
          </w:tcPr>
          <w:p>
            <w:pPr>
              <w:pStyle w:val="TableText"/>
            </w:pPr>
            <w:r/>
            <w:r>
              <w:t>4.3 Course offering</w:t>
            </w:r>
          </w:p>
        </w:tc>
        <w:tc>
          <w:tcPr>
            <w:tcW w:type="dxa" w:w="4195"/>
          </w:tcPr>
          <w:p>
            <w:pPr>
              <w:pStyle w:val="TableText"/>
            </w:pPr>
            <w:r/>
            <w:r>
              <w:t>Changing one subject for another is allowed during the first week of classes if the original subject is dissolved, if the student has a schedule conflict, or if the student fails the prerequisite subject.</w:t>
            </w:r>
          </w:p>
        </w:tc>
        <w:tc>
          <w:tcPr>
            <w:tcW w:type="dxa" w:w="2381"/>
          </w:tcPr>
          <w:p>
            <w:pPr>
              <w:pStyle w:val="TableText"/>
            </w:pPr>
            <w:r/>
            <w:r>
              <w:t>Handbook 2022-2023, pp. 48-49</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CRS-02</w:t>
            </w:r>
          </w:p>
        </w:tc>
        <w:tc>
          <w:tcPr>
            <w:tcW w:type="dxa" w:w="1304"/>
          </w:tcPr>
          <w:p>
            <w:pPr>
              <w:pStyle w:val="TableText"/>
            </w:pPr>
            <w:r/>
            <w:r>
              <w:t>4.3 Course offering</w:t>
            </w:r>
          </w:p>
        </w:tc>
        <w:tc>
          <w:tcPr>
            <w:tcW w:type="dxa" w:w="4195"/>
          </w:tcPr>
          <w:p>
            <w:pPr>
              <w:pStyle w:val="TableText"/>
            </w:pPr>
            <w:r/>
            <w:r>
              <w:t>Adding subjects is allowed during the first week of classes upon the written approval of the Associate Dean.</w:t>
            </w:r>
          </w:p>
        </w:tc>
        <w:tc>
          <w:tcPr>
            <w:tcW w:type="dxa" w:w="2381"/>
          </w:tcPr>
          <w:p>
            <w:pPr>
              <w:pStyle w:val="TableText"/>
            </w:pPr>
            <w:r/>
            <w:r>
              <w:t>Handbook 2022-2023, p. 49</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CRS-03</w:t>
            </w:r>
          </w:p>
        </w:tc>
        <w:tc>
          <w:tcPr>
            <w:tcW w:type="dxa" w:w="1304"/>
          </w:tcPr>
          <w:p>
            <w:pPr>
              <w:pStyle w:val="TableText"/>
            </w:pPr>
            <w:r/>
            <w:r>
              <w:t>4.3 Course offering</w:t>
            </w:r>
          </w:p>
        </w:tc>
        <w:tc>
          <w:tcPr>
            <w:tcW w:type="dxa" w:w="4195"/>
          </w:tcPr>
          <w:p>
            <w:pPr>
              <w:pStyle w:val="TableText"/>
            </w:pPr>
            <w:r/>
            <w:r>
              <w:t>To add a subject: (1) un-tag the enrolment form in the Business Office, (2) secure an Advice Slip from the Graduate School Office, (3) go through the enrolment procedure.</w:t>
            </w:r>
          </w:p>
        </w:tc>
        <w:tc>
          <w:tcPr>
            <w:tcW w:type="dxa" w:w="2381"/>
          </w:tcPr>
          <w:p>
            <w:pPr>
              <w:pStyle w:val="TableText"/>
            </w:pPr>
            <w:r/>
            <w:r>
              <w:t>Handbook 2022-2023, p. 49</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CRS-04</w:t>
            </w:r>
          </w:p>
        </w:tc>
        <w:tc>
          <w:tcPr>
            <w:tcW w:type="dxa" w:w="1304"/>
          </w:tcPr>
          <w:p>
            <w:pPr>
              <w:pStyle w:val="TableText"/>
            </w:pPr>
            <w:r/>
            <w:r>
              <w:t>4.3 Course offering</w:t>
            </w:r>
          </w:p>
        </w:tc>
        <w:tc>
          <w:tcPr>
            <w:tcW w:type="dxa" w:w="4195"/>
          </w:tcPr>
          <w:p>
            <w:pPr>
              <w:pStyle w:val="TableText"/>
            </w:pPr>
            <w:r/>
            <w:r>
              <w:t>An undersized class is treated as a special class; the Graduate School Dean ensures that each new batch reaches the minimum number of enrollees to allow for attrition.</w:t>
            </w:r>
          </w:p>
        </w:tc>
        <w:tc>
          <w:tcPr>
            <w:tcW w:type="dxa" w:w="2381"/>
          </w:tcPr>
          <w:p>
            <w:pPr>
              <w:pStyle w:val="TableText"/>
            </w:pPr>
            <w:r/>
            <w:r>
              <w:t>Handbook 2022-2023, p. 48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CRS-05</w:t>
            </w:r>
          </w:p>
        </w:tc>
        <w:tc>
          <w:tcPr>
            <w:tcW w:type="dxa" w:w="1304"/>
          </w:tcPr>
          <w:p>
            <w:pPr>
              <w:pStyle w:val="TableText"/>
            </w:pPr>
            <w:r/>
            <w:r>
              <w:t>4.3 Course offering</w:t>
            </w:r>
          </w:p>
        </w:tc>
        <w:tc>
          <w:tcPr>
            <w:tcW w:type="dxa" w:w="4195"/>
          </w:tcPr>
          <w:p>
            <w:pPr>
              <w:pStyle w:val="TableText"/>
            </w:pPr>
            <w:r/>
            <w:r>
              <w:t>A full refund is made to students for any courses discontinued by the school.</w:t>
            </w:r>
          </w:p>
        </w:tc>
        <w:tc>
          <w:tcPr>
            <w:tcW w:type="dxa" w:w="2381"/>
          </w:tcPr>
          <w:p>
            <w:pPr>
              <w:pStyle w:val="TableText"/>
            </w:pPr>
            <w:r/>
            <w:r>
              <w:t>Handbook 2022-2023, p. 51</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CRS-06</w:t>
            </w:r>
          </w:p>
        </w:tc>
        <w:tc>
          <w:tcPr>
            <w:tcW w:type="dxa" w:w="1304"/>
          </w:tcPr>
          <w:p>
            <w:pPr>
              <w:pStyle w:val="TableText"/>
            </w:pPr>
            <w:r/>
            <w:r>
              <w:t>4.3 Course offering</w:t>
            </w:r>
          </w:p>
        </w:tc>
        <w:tc>
          <w:tcPr>
            <w:tcW w:type="dxa" w:w="4195"/>
          </w:tcPr>
          <w:p>
            <w:pPr>
              <w:pStyle w:val="TableText"/>
            </w:pPr>
            <w:r/>
            <w:r>
              <w:t>Course adjustments (change and add) may continue until the first week of classes.</w:t>
            </w:r>
          </w:p>
        </w:tc>
        <w:tc>
          <w:tcPr>
            <w:tcW w:type="dxa" w:w="2381"/>
          </w:tcPr>
          <w:p>
            <w:pPr>
              <w:pStyle w:val="TableText"/>
            </w:pPr>
            <w:r/>
            <w:r>
              <w:t>Group working notes, July 20 checklist, items 10, 34 and 77 (stakeholder-confirmed answer)</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CRS-07</w:t>
            </w:r>
          </w:p>
        </w:tc>
        <w:tc>
          <w:tcPr>
            <w:tcW w:type="dxa" w:w="1304"/>
          </w:tcPr>
          <w:p>
            <w:pPr>
              <w:pStyle w:val="TableText"/>
            </w:pPr>
            <w:r/>
            <w:r>
              <w:t>4.3 Course offering</w:t>
            </w:r>
          </w:p>
        </w:tc>
        <w:tc>
          <w:tcPr>
            <w:tcW w:type="dxa" w:w="4195"/>
          </w:tcPr>
          <w:p>
            <w:pPr>
              <w:pStyle w:val="TableText"/>
            </w:pPr>
            <w:r/>
            <w:r>
              <w:t>The Academic Coordinator chooses the subjects to offer by studying which subjects students have and have not taken; each offering states the subject, the schedule and the professor; the Academic Coordinator decides who teaches it.</w:t>
            </w:r>
          </w:p>
        </w:tc>
        <w:tc>
          <w:tcPr>
            <w:tcW w:type="dxa" w:w="2381"/>
          </w:tcPr>
          <w:p>
            <w:pPr>
              <w:pStyle w:val="TableText"/>
            </w:pPr>
            <w:r/>
            <w:r>
              <w:t>Consultation 21 July 2026</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CRS-08</w:t>
            </w:r>
          </w:p>
        </w:tc>
        <w:tc>
          <w:tcPr>
            <w:tcW w:type="dxa" w:w="1304"/>
          </w:tcPr>
          <w:p>
            <w:pPr>
              <w:pStyle w:val="TableText"/>
            </w:pPr>
            <w:r/>
            <w:r>
              <w:t>4.3 Course offering</w:t>
            </w:r>
          </w:p>
        </w:tc>
        <w:tc>
          <w:tcPr>
            <w:tcW w:type="dxa" w:w="4195"/>
          </w:tcPr>
          <w:p>
            <w:pPr>
              <w:pStyle w:val="TableText"/>
            </w:pPr>
            <w:r/>
            <w:r>
              <w:t>A subject counts as needed when at least one student needs it. A need is not an offering: subject need, proposed offering, approved offering and scheduled class are kept separate.</w:t>
            </w:r>
          </w:p>
        </w:tc>
        <w:tc>
          <w:tcPr>
            <w:tcW w:type="dxa" w:w="2381"/>
          </w:tcPr>
          <w:p>
            <w:pPr>
              <w:pStyle w:val="TableText"/>
            </w:pPr>
            <w:r/>
            <w:r>
              <w:t>Group working notes, July 20 checklist, items 31 and 85 (answer attributed to the Associate Dean); Consultation 29 July 2026, the group reports the demand cutoff of one as the Associate Dean's answer</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CRS-09</w:t>
            </w:r>
          </w:p>
        </w:tc>
        <w:tc>
          <w:tcPr>
            <w:tcW w:type="dxa" w:w="1304"/>
          </w:tcPr>
          <w:p>
            <w:pPr>
              <w:pStyle w:val="TableText"/>
            </w:pPr>
            <w:r/>
            <w:r>
              <w:t>4.3 Course offering</w:t>
            </w:r>
          </w:p>
        </w:tc>
        <w:tc>
          <w:tcPr>
            <w:tcW w:type="dxa" w:w="4195"/>
          </w:tcPr>
          <w:p>
            <w:pPr>
              <w:pStyle w:val="TableText"/>
            </w:pPr>
            <w:r/>
            <w:r>
              <w:t>Offerings are planned during the term break, after the previous semester ends and before enrollment.</w:t>
            </w:r>
          </w:p>
        </w:tc>
        <w:tc>
          <w:tcPr>
            <w:tcW w:type="dxa" w:w="2381"/>
          </w:tcPr>
          <w:p>
            <w:pPr>
              <w:pStyle w:val="TableText"/>
            </w:pPr>
            <w:r/>
            <w:r>
              <w:t>Group working notes, July 20 checklist, item 34; Consultation 29 July 2026 rehearsal</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CRS-10</w:t>
            </w:r>
          </w:p>
        </w:tc>
        <w:tc>
          <w:tcPr>
            <w:tcW w:type="dxa" w:w="1304"/>
          </w:tcPr>
          <w:p>
            <w:pPr>
              <w:pStyle w:val="TableText"/>
            </w:pPr>
            <w:r/>
            <w:r>
              <w:t>4.3 Course offering</w:t>
            </w:r>
          </w:p>
        </w:tc>
        <w:tc>
          <w:tcPr>
            <w:tcW w:type="dxa" w:w="4195"/>
          </w:tcPr>
          <w:p>
            <w:pPr>
              <w:pStyle w:val="TableText"/>
            </w:pPr>
            <w:r/>
            <w:r>
              <w:t>The Dean approves the offering plan before it is published.</w:t>
            </w:r>
          </w:p>
        </w:tc>
        <w:tc>
          <w:tcPr>
            <w:tcW w:type="dxa" w:w="2381"/>
          </w:tcPr>
          <w:p>
            <w:pPr>
              <w:pStyle w:val="TableText"/>
            </w:pPr>
            <w:r/>
            <w:r>
              <w:t>Group working notes, BPM accurate flow, section 3</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CRS-11</w:t>
            </w:r>
          </w:p>
        </w:tc>
        <w:tc>
          <w:tcPr>
            <w:tcW w:type="dxa" w:w="1304"/>
          </w:tcPr>
          <w:p>
            <w:pPr>
              <w:pStyle w:val="TableText"/>
            </w:pPr>
            <w:r/>
            <w:r>
              <w:t>4.3 Course offering</w:t>
            </w:r>
          </w:p>
        </w:tc>
        <w:tc>
          <w:tcPr>
            <w:tcW w:type="dxa" w:w="4195"/>
          </w:tcPr>
          <w:p>
            <w:pPr>
              <w:pStyle w:val="TableText"/>
            </w:pPr>
            <w:r/>
            <w:r>
              <w:t>When the Academic Coordinator decides not to offer a subject, the platform shows which students would be delayed, so that the decision can be made with that information; the decision stays with the Academic Coordinator.</w:t>
            </w:r>
          </w:p>
        </w:tc>
        <w:tc>
          <w:tcPr>
            <w:tcW w:type="dxa" w:w="2381"/>
          </w:tcPr>
          <w:p>
            <w:pPr>
              <w:pStyle w:val="TableText"/>
            </w:pPr>
            <w:r/>
            <w:r>
              <w:t>Group working notes, July 20 checklist, items 32, 33 and 86</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CRS-12</w:t>
            </w:r>
          </w:p>
        </w:tc>
        <w:tc>
          <w:tcPr>
            <w:tcW w:type="dxa" w:w="1304"/>
          </w:tcPr>
          <w:p>
            <w:pPr>
              <w:pStyle w:val="TableText"/>
            </w:pPr>
            <w:r/>
            <w:r>
              <w:t>4.3 Course offering</w:t>
            </w:r>
          </w:p>
        </w:tc>
        <w:tc>
          <w:tcPr>
            <w:tcW w:type="dxa" w:w="4195"/>
          </w:tcPr>
          <w:p>
            <w:pPr>
              <w:pStyle w:val="TableText"/>
            </w:pPr>
            <w:r/>
            <w:r>
              <w:t>When assigning a professor the Academic Coordinator considers the professor's preferred subjects, availability, qualifications, current load and schedule conflicts; the platform only suggests.</w:t>
            </w:r>
          </w:p>
        </w:tc>
        <w:tc>
          <w:tcPr>
            <w:tcW w:type="dxa" w:w="2381"/>
          </w:tcPr>
          <w:p>
            <w:pPr>
              <w:pStyle w:val="TableText"/>
            </w:pPr>
            <w:r/>
            <w:r>
              <w:t>Group working notes, July 20 checklist, items 36-40, 88-90</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WD-01</w:t>
            </w:r>
          </w:p>
        </w:tc>
        <w:tc>
          <w:tcPr>
            <w:tcW w:type="dxa" w:w="1304"/>
          </w:tcPr>
          <w:p>
            <w:pPr>
              <w:pStyle w:val="TableText"/>
            </w:pPr>
            <w:r/>
            <w:r>
              <w:t>4.4 Withdrawal</w:t>
            </w:r>
          </w:p>
        </w:tc>
        <w:tc>
          <w:tcPr>
            <w:tcW w:type="dxa" w:w="4195"/>
          </w:tcPr>
          <w:p>
            <w:pPr>
              <w:pStyle w:val="TableText"/>
            </w:pPr>
            <w:r/>
            <w:r>
              <w:t>The student may withdraw subjects until the second week from the start of classes regardless of whether or not classes have been attended.</w:t>
            </w:r>
          </w:p>
        </w:tc>
        <w:tc>
          <w:tcPr>
            <w:tcW w:type="dxa" w:w="2381"/>
          </w:tcPr>
          <w:p>
            <w:pPr>
              <w:pStyle w:val="TableText"/>
            </w:pPr>
            <w:r/>
            <w:r>
              <w:t>Handbook 2022-2023, p. 49</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WD-02</w:t>
            </w:r>
          </w:p>
        </w:tc>
        <w:tc>
          <w:tcPr>
            <w:tcW w:type="dxa" w:w="1304"/>
          </w:tcPr>
          <w:p>
            <w:pPr>
              <w:pStyle w:val="TableText"/>
            </w:pPr>
            <w:r/>
            <w:r>
              <w:t>4.4 Withdrawal</w:t>
            </w:r>
          </w:p>
        </w:tc>
        <w:tc>
          <w:tcPr>
            <w:tcW w:type="dxa" w:w="4195"/>
          </w:tcPr>
          <w:p>
            <w:pPr>
              <w:pStyle w:val="TableText"/>
            </w:pPr>
            <w:r/>
            <w:r>
              <w:t>Ten percent (10%) of the total amount due for the term is charged if the withdrawal is within the first week of classes, and twenty percent (20%) if within the second week, regardless of whether or not classes have been attended.</w:t>
            </w:r>
          </w:p>
        </w:tc>
        <w:tc>
          <w:tcPr>
            <w:tcW w:type="dxa" w:w="2381"/>
          </w:tcPr>
          <w:p>
            <w:pPr>
              <w:pStyle w:val="TableText"/>
            </w:pPr>
            <w:r/>
            <w:r>
              <w:t>Handbook 2022-2023, p. 49; Handbook 2022-2023, p. 51</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WD-03</w:t>
            </w:r>
          </w:p>
        </w:tc>
        <w:tc>
          <w:tcPr>
            <w:tcW w:type="dxa" w:w="1304"/>
          </w:tcPr>
          <w:p>
            <w:pPr>
              <w:pStyle w:val="TableText"/>
            </w:pPr>
            <w:r/>
            <w:r>
              <w:t>4.4 Withdrawal</w:t>
            </w:r>
          </w:p>
        </w:tc>
        <w:tc>
          <w:tcPr>
            <w:tcW w:type="dxa" w:w="4195"/>
          </w:tcPr>
          <w:p>
            <w:pPr>
              <w:pStyle w:val="TableText"/>
            </w:pPr>
            <w:r/>
            <w:r>
              <w:t>The student retains the right to withdraw all subjects at any time of the semester after the second week but pays the full enrolment fees for the semester.</w:t>
            </w:r>
          </w:p>
        </w:tc>
        <w:tc>
          <w:tcPr>
            <w:tcW w:type="dxa" w:w="2381"/>
          </w:tcPr>
          <w:p>
            <w:pPr>
              <w:pStyle w:val="TableText"/>
            </w:pPr>
            <w:r/>
            <w:r>
              <w:t>Handbook 2022-2023, p. 49</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WD-04</w:t>
            </w:r>
          </w:p>
        </w:tc>
        <w:tc>
          <w:tcPr>
            <w:tcW w:type="dxa" w:w="1304"/>
          </w:tcPr>
          <w:p>
            <w:pPr>
              <w:pStyle w:val="TableText"/>
            </w:pPr>
            <w:r/>
            <w:r>
              <w:t>4.4 Withdrawal</w:t>
            </w:r>
          </w:p>
        </w:tc>
        <w:tc>
          <w:tcPr>
            <w:tcW w:type="dxa" w:w="4195"/>
          </w:tcPr>
          <w:p>
            <w:pPr>
              <w:pStyle w:val="TableText"/>
            </w:pPr>
            <w:r/>
            <w:r>
              <w:t>The student may be charged all school fees in full if withdrawal is made at any time after the second week of classes. If the withdrawal is due to a justifiable reason, the student is charged pertinent fees only up to and including the last month of attendance.</w:t>
            </w:r>
          </w:p>
        </w:tc>
        <w:tc>
          <w:tcPr>
            <w:tcW w:type="dxa" w:w="2381"/>
          </w:tcPr>
          <w:p>
            <w:pPr>
              <w:pStyle w:val="TableText"/>
            </w:pPr>
            <w:r/>
            <w:r>
              <w:t>Handbook 2022-2023, p. 51</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WD-05</w:t>
            </w:r>
          </w:p>
        </w:tc>
        <w:tc>
          <w:tcPr>
            <w:tcW w:type="dxa" w:w="1304"/>
          </w:tcPr>
          <w:p>
            <w:pPr>
              <w:pStyle w:val="TableText"/>
            </w:pPr>
            <w:r/>
            <w:r>
              <w:t>4.4 Withdrawal</w:t>
            </w:r>
          </w:p>
        </w:tc>
        <w:tc>
          <w:tcPr>
            <w:tcW w:type="dxa" w:w="4195"/>
          </w:tcPr>
          <w:p>
            <w:pPr>
              <w:pStyle w:val="TableText"/>
            </w:pPr>
            <w:r/>
            <w:r>
              <w:t>A student may seek a refund if he or she withdraws during the first two weeks of classes when tuition and other fees have been paid in full, or for any length longer than one month.</w:t>
            </w:r>
          </w:p>
        </w:tc>
        <w:tc>
          <w:tcPr>
            <w:tcW w:type="dxa" w:w="2381"/>
          </w:tcPr>
          <w:p>
            <w:pPr>
              <w:pStyle w:val="TableText"/>
            </w:pPr>
            <w:r/>
            <w:r>
              <w:t>Handbook 2022-2023, pp. 50-51</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WD-06</w:t>
            </w:r>
          </w:p>
        </w:tc>
        <w:tc>
          <w:tcPr>
            <w:tcW w:type="dxa" w:w="1304"/>
          </w:tcPr>
          <w:p>
            <w:pPr>
              <w:pStyle w:val="TableText"/>
            </w:pPr>
            <w:r/>
            <w:r>
              <w:t>4.4 Withdrawal</w:t>
            </w:r>
          </w:p>
        </w:tc>
        <w:tc>
          <w:tcPr>
            <w:tcW w:type="dxa" w:w="4195"/>
          </w:tcPr>
          <w:p>
            <w:pPr>
              <w:pStyle w:val="TableText"/>
            </w:pPr>
            <w:r/>
            <w:r>
              <w:t>To file a withdrawal of subject, the student writes a letter and seeks approval from the Dean.</w:t>
            </w:r>
          </w:p>
        </w:tc>
        <w:tc>
          <w:tcPr>
            <w:tcW w:type="dxa" w:w="2381"/>
          </w:tcPr>
          <w:p>
            <w:pPr>
              <w:pStyle w:val="TableText"/>
            </w:pPr>
            <w:r/>
            <w:r>
              <w:t>Handbook 2022-2023, p. 49</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WD-07</w:t>
            </w:r>
          </w:p>
        </w:tc>
        <w:tc>
          <w:tcPr>
            <w:tcW w:type="dxa" w:w="1304"/>
          </w:tcPr>
          <w:p>
            <w:pPr>
              <w:pStyle w:val="TableText"/>
            </w:pPr>
            <w:r/>
            <w:r>
              <w:t>4.4 Withdrawal</w:t>
            </w:r>
          </w:p>
        </w:tc>
        <w:tc>
          <w:tcPr>
            <w:tcW w:type="dxa" w:w="4195"/>
          </w:tcPr>
          <w:p>
            <w:pPr>
              <w:pStyle w:val="TableText"/>
            </w:pPr>
            <w:r/>
            <w:r>
              <w:t>Once approved, the student accomplishes the Withdrawal Form and settles all financial obligations.</w:t>
            </w:r>
          </w:p>
        </w:tc>
        <w:tc>
          <w:tcPr>
            <w:tcW w:type="dxa" w:w="2381"/>
          </w:tcPr>
          <w:p>
            <w:pPr>
              <w:pStyle w:val="TableText"/>
            </w:pPr>
            <w:r/>
            <w:r>
              <w:t>Handbook 2022-2023, p. 49</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WD-08</w:t>
            </w:r>
          </w:p>
        </w:tc>
        <w:tc>
          <w:tcPr>
            <w:tcW w:type="dxa" w:w="1304"/>
          </w:tcPr>
          <w:p>
            <w:pPr>
              <w:pStyle w:val="TableText"/>
            </w:pPr>
            <w:r/>
            <w:r>
              <w:t>4.4 Withdrawal</w:t>
            </w:r>
          </w:p>
        </w:tc>
        <w:tc>
          <w:tcPr>
            <w:tcW w:type="dxa" w:w="4195"/>
          </w:tcPr>
          <w:p>
            <w:pPr>
              <w:pStyle w:val="TableText"/>
            </w:pPr>
            <w:r/>
            <w:r>
              <w:t>The accomplished Withdrawal Form is provided to the Registrar, the Accounting Office, and the student.</w:t>
            </w:r>
          </w:p>
        </w:tc>
        <w:tc>
          <w:tcPr>
            <w:tcW w:type="dxa" w:w="2381"/>
          </w:tcPr>
          <w:p>
            <w:pPr>
              <w:pStyle w:val="TableText"/>
            </w:pPr>
            <w:r/>
            <w:r>
              <w:t>Handbook 2022-2023, p. 49</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WD-09</w:t>
            </w:r>
          </w:p>
        </w:tc>
        <w:tc>
          <w:tcPr>
            <w:tcW w:type="dxa" w:w="1304"/>
          </w:tcPr>
          <w:p>
            <w:pPr>
              <w:pStyle w:val="TableText"/>
            </w:pPr>
            <w:r/>
            <w:r>
              <w:t>4.4 Withdrawal</w:t>
            </w:r>
          </w:p>
        </w:tc>
        <w:tc>
          <w:tcPr>
            <w:tcW w:type="dxa" w:w="4195"/>
          </w:tcPr>
          <w:p>
            <w:pPr>
              <w:pStyle w:val="TableText"/>
            </w:pPr>
            <w:r/>
            <w:r>
              <w:t>The grade symbol W means Withdrawn.</w:t>
            </w:r>
          </w:p>
        </w:tc>
        <w:tc>
          <w:tcPr>
            <w:tcW w:type="dxa" w:w="2381"/>
          </w:tcPr>
          <w:p>
            <w:pPr>
              <w:pStyle w:val="TableText"/>
            </w:pPr>
            <w:r/>
            <w:r>
              <w:t>Handbook 2022-2023, p. 53</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WD-10</w:t>
            </w:r>
          </w:p>
        </w:tc>
        <w:tc>
          <w:tcPr>
            <w:tcW w:type="dxa" w:w="1304"/>
          </w:tcPr>
          <w:p>
            <w:pPr>
              <w:pStyle w:val="TableText"/>
            </w:pPr>
            <w:r/>
            <w:r>
              <w:t>4.4 Withdrawal</w:t>
            </w:r>
          </w:p>
        </w:tc>
        <w:tc>
          <w:tcPr>
            <w:tcW w:type="dxa" w:w="4195"/>
          </w:tcPr>
          <w:p>
            <w:pPr>
              <w:pStyle w:val="TableText"/>
            </w:pPr>
            <w:r/>
            <w:r>
              <w:t>A subject withdrawal (from one subject, not from the Graduate School) before or in the first week of classes does not count against the student; dropping is the act of leaving a subject in the middle of the semester.</w:t>
            </w:r>
          </w:p>
        </w:tc>
        <w:tc>
          <w:tcPr>
            <w:tcW w:type="dxa" w:w="2381"/>
          </w:tcPr>
          <w:p>
            <w:pPr>
              <w:pStyle w:val="TableText"/>
            </w:pPr>
            <w:r/>
            <w:r>
              <w:t>Consultation 21 July 2026</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WD-11</w:t>
            </w:r>
          </w:p>
        </w:tc>
        <w:tc>
          <w:tcPr>
            <w:tcW w:type="dxa" w:w="1304"/>
          </w:tcPr>
          <w:p>
            <w:pPr>
              <w:pStyle w:val="TableText"/>
            </w:pPr>
            <w:r/>
            <w:r>
              <w:t>4.4 Withdrawal</w:t>
            </w:r>
          </w:p>
        </w:tc>
        <w:tc>
          <w:tcPr>
            <w:tcW w:type="dxa" w:w="4195"/>
          </w:tcPr>
          <w:p>
            <w:pPr>
              <w:pStyle w:val="TableText"/>
            </w:pPr>
            <w:r/>
            <w:r>
              <w:t>An approved withdrawal is sent to the Registrar, which processes it in the registration system, and then to the Business Office for any fee arrangement. The Graduate School's responsibility ends at sending the request to the Registrar.</w:t>
            </w:r>
          </w:p>
        </w:tc>
        <w:tc>
          <w:tcPr>
            <w:tcW w:type="dxa" w:w="2381"/>
          </w:tcPr>
          <w:p>
            <w:pPr>
              <w:pStyle w:val="TableText"/>
            </w:pPr>
            <w:r/>
            <w:r>
              <w:t>Consultation 21 July 2026</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WD-12</w:t>
            </w:r>
          </w:p>
        </w:tc>
        <w:tc>
          <w:tcPr>
            <w:tcW w:type="dxa" w:w="1304"/>
          </w:tcPr>
          <w:p>
            <w:pPr>
              <w:pStyle w:val="TableText"/>
            </w:pPr>
            <w:r/>
            <w:r>
              <w:t>4.4 Withdrawal</w:t>
            </w:r>
          </w:p>
        </w:tc>
        <w:tc>
          <w:tcPr>
            <w:tcW w:type="dxa" w:w="4195"/>
          </w:tcPr>
          <w:p>
            <w:pPr>
              <w:pStyle w:val="TableText"/>
            </w:pPr>
            <w:r/>
            <w:r>
              <w:t>After the Registrar has been sent the request, the Graduate School tags the subject as withdrawn (a manual tag is enough), with the date applied, the date granted and a text area for the result.</w:t>
            </w:r>
          </w:p>
        </w:tc>
        <w:tc>
          <w:tcPr>
            <w:tcW w:type="dxa" w:w="2381"/>
          </w:tcPr>
          <w:p>
            <w:pPr>
              <w:pStyle w:val="TableText"/>
            </w:pPr>
            <w:r/>
            <w:r>
              <w:t>Consultation 21 July 2026</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WD-13</w:t>
            </w:r>
          </w:p>
        </w:tc>
        <w:tc>
          <w:tcPr>
            <w:tcW w:type="dxa" w:w="1304"/>
          </w:tcPr>
          <w:p>
            <w:pPr>
              <w:pStyle w:val="TableText"/>
            </w:pPr>
            <w:r/>
            <w:r>
              <w:t>4.4 Withdrawal</w:t>
            </w:r>
          </w:p>
        </w:tc>
        <w:tc>
          <w:tcPr>
            <w:tcW w:type="dxa" w:w="4195"/>
          </w:tcPr>
          <w:p>
            <w:pPr>
              <w:pStyle w:val="TableText"/>
            </w:pPr>
            <w:r/>
            <w:r>
              <w:t>According to the Associate Dean, a student may withdraw before classes begin or in the first week of classes; the Dean decides with discretion, and a request submitted after the deadline or with an insufficient or inconsistent justification is normally denied. (This is a second-hand account recorded by the group and conflicts with the Handbook's second week; see OQ-01.)</w:t>
            </w:r>
          </w:p>
        </w:tc>
        <w:tc>
          <w:tcPr>
            <w:tcW w:type="dxa" w:w="2381"/>
          </w:tcPr>
          <w:p>
            <w:pPr>
              <w:pStyle w:val="TableText"/>
            </w:pPr>
            <w:r/>
            <w:r>
              <w:t>Consultation 29 July 2026, account of the Associate Dean's answer</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WD-14</w:t>
            </w:r>
          </w:p>
        </w:tc>
        <w:tc>
          <w:tcPr>
            <w:tcW w:type="dxa" w:w="1304"/>
          </w:tcPr>
          <w:p>
            <w:pPr>
              <w:pStyle w:val="TableText"/>
            </w:pPr>
            <w:r/>
            <w:r>
              <w:t>4.4 Withdrawal</w:t>
            </w:r>
          </w:p>
        </w:tc>
        <w:tc>
          <w:tcPr>
            <w:tcW w:type="dxa" w:w="4195"/>
          </w:tcPr>
          <w:p>
            <w:pPr>
              <w:pStyle w:val="TableText"/>
            </w:pPr>
            <w:r/>
            <w:r>
              <w:t>The platform shows the student and the staff the Handbook's fee bracket for the date of the request (10% in the first week, 20% in the second week, full fees after the window) as information only; the Business Office computes the fee.</w:t>
            </w:r>
          </w:p>
        </w:tc>
        <w:tc>
          <w:tcPr>
            <w:tcW w:type="dxa" w:w="2381"/>
          </w:tcPr>
          <w:p>
            <w:pPr>
              <w:pStyle w:val="TableText"/>
            </w:pPr>
            <w:r/>
            <w:r>
              <w:t>Handbook 2022-2023, pp. 49, 51</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DRP-01</w:t>
            </w:r>
          </w:p>
        </w:tc>
        <w:tc>
          <w:tcPr>
            <w:tcW w:type="dxa" w:w="1304"/>
          </w:tcPr>
          <w:p>
            <w:pPr>
              <w:pStyle w:val="TableText"/>
            </w:pPr>
            <w:r/>
            <w:r>
              <w:t>4.5 Dropping</w:t>
            </w:r>
          </w:p>
        </w:tc>
        <w:tc>
          <w:tcPr>
            <w:tcW w:type="dxa" w:w="4195"/>
          </w:tcPr>
          <w:p>
            <w:pPr>
              <w:pStyle w:val="TableText"/>
            </w:pPr>
            <w:r/>
            <w:r>
              <w:t>Students are expected to attend classes regularly; the maximum number of absences allowed a student is 20% of the total number of class hours for the whole semester.</w:t>
            </w:r>
          </w:p>
        </w:tc>
        <w:tc>
          <w:tcPr>
            <w:tcW w:type="dxa" w:w="2381"/>
          </w:tcPr>
          <w:p>
            <w:pPr>
              <w:pStyle w:val="TableText"/>
            </w:pPr>
            <w:r/>
            <w:r>
              <w:t>Handbook 2022-2023, p. 52</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DRP-02</w:t>
            </w:r>
          </w:p>
        </w:tc>
        <w:tc>
          <w:tcPr>
            <w:tcW w:type="dxa" w:w="1304"/>
          </w:tcPr>
          <w:p>
            <w:pPr>
              <w:pStyle w:val="TableText"/>
            </w:pPr>
            <w:r/>
            <w:r>
              <w:t>4.5 Dropping</w:t>
            </w:r>
          </w:p>
        </w:tc>
        <w:tc>
          <w:tcPr>
            <w:tcW w:type="dxa" w:w="4195"/>
          </w:tcPr>
          <w:p>
            <w:pPr>
              <w:pStyle w:val="TableText"/>
            </w:pPr>
            <w:r/>
            <w:r>
              <w:t>A student may be excused for a death in the family, illness (with a medical certificate from the USLS clinic or a personal doctor), or a graduate program activity endorsed by the Dean. Excuses are for time missed only, and all work missed must be made up to the satisfaction of the professor within a reasonable time.</w:t>
            </w:r>
          </w:p>
        </w:tc>
        <w:tc>
          <w:tcPr>
            <w:tcW w:type="dxa" w:w="2381"/>
          </w:tcPr>
          <w:p>
            <w:pPr>
              <w:pStyle w:val="TableText"/>
            </w:pPr>
            <w:r/>
            <w:r>
              <w:t>Handbook 2022-2023, p. 52</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DRP-03</w:t>
            </w:r>
          </w:p>
        </w:tc>
        <w:tc>
          <w:tcPr>
            <w:tcW w:type="dxa" w:w="1304"/>
          </w:tcPr>
          <w:p>
            <w:pPr>
              <w:pStyle w:val="TableText"/>
            </w:pPr>
            <w:r/>
            <w:r>
              <w:t>4.5 Dropping</w:t>
            </w:r>
          </w:p>
        </w:tc>
        <w:tc>
          <w:tcPr>
            <w:tcW w:type="dxa" w:w="4195"/>
          </w:tcPr>
          <w:p>
            <w:pPr>
              <w:pStyle w:val="TableText"/>
            </w:pPr>
            <w:r/>
            <w:r>
              <w:t>When unexcused absence reaches more than 20% of the stipulated hours in one course, the student is automatically dropped from the course by the professor and is given a grade of DRP with a 5.0 grade.</w:t>
            </w:r>
          </w:p>
        </w:tc>
        <w:tc>
          <w:tcPr>
            <w:tcW w:type="dxa" w:w="2381"/>
          </w:tcPr>
          <w:p>
            <w:pPr>
              <w:pStyle w:val="TableText"/>
            </w:pPr>
            <w:r/>
            <w:r>
              <w:t>Handbook 2022-2023, p. 52</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DRP-04</w:t>
            </w:r>
          </w:p>
        </w:tc>
        <w:tc>
          <w:tcPr>
            <w:tcW w:type="dxa" w:w="1304"/>
          </w:tcPr>
          <w:p>
            <w:pPr>
              <w:pStyle w:val="TableText"/>
            </w:pPr>
            <w:r/>
            <w:r>
              <w:t>4.5 Dropping</w:t>
            </w:r>
          </w:p>
        </w:tc>
        <w:tc>
          <w:tcPr>
            <w:tcW w:type="dxa" w:w="4195"/>
          </w:tcPr>
          <w:p>
            <w:pPr>
              <w:pStyle w:val="TableText"/>
            </w:pPr>
            <w:r/>
            <w:r>
              <w:t>A student who takes part in a school-sponsored activity or represents the University in an official capacity is granted an Approved Absence on the Dean's approval; it is not counted against the allowed absences.</w:t>
            </w:r>
          </w:p>
        </w:tc>
        <w:tc>
          <w:tcPr>
            <w:tcW w:type="dxa" w:w="2381"/>
          </w:tcPr>
          <w:p>
            <w:pPr>
              <w:pStyle w:val="TableText"/>
            </w:pPr>
            <w:r/>
            <w:r>
              <w:t>Handbook 2022-2023, p. 52</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DRP-05</w:t>
            </w:r>
          </w:p>
        </w:tc>
        <w:tc>
          <w:tcPr>
            <w:tcW w:type="dxa" w:w="1304"/>
          </w:tcPr>
          <w:p>
            <w:pPr>
              <w:pStyle w:val="TableText"/>
            </w:pPr>
            <w:r/>
            <w:r>
              <w:t>4.5 Dropping</w:t>
            </w:r>
          </w:p>
        </w:tc>
        <w:tc>
          <w:tcPr>
            <w:tcW w:type="dxa" w:w="4195"/>
          </w:tcPr>
          <w:p>
            <w:pPr>
              <w:pStyle w:val="TableText"/>
            </w:pPr>
            <w:r/>
            <w:r>
              <w:t>The grade symbols D (Dropped) and W (Withdrawn) appear in the grading system; students with grades INC, D or W, or who repeated a subject, are not eligible for the special academic honors.</w:t>
            </w:r>
          </w:p>
        </w:tc>
        <w:tc>
          <w:tcPr>
            <w:tcW w:type="dxa" w:w="2381"/>
          </w:tcPr>
          <w:p>
            <w:pPr>
              <w:pStyle w:val="TableText"/>
            </w:pPr>
            <w:r/>
            <w:r>
              <w:t>Handbook 2022-2023, pp. 53, 55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DRP-06</w:t>
            </w:r>
          </w:p>
        </w:tc>
        <w:tc>
          <w:tcPr>
            <w:tcW w:type="dxa" w:w="1304"/>
          </w:tcPr>
          <w:p>
            <w:pPr>
              <w:pStyle w:val="TableText"/>
            </w:pPr>
            <w:r/>
            <w:r>
              <w:t>4.5 Dropping</w:t>
            </w:r>
          </w:p>
        </w:tc>
        <w:tc>
          <w:tcPr>
            <w:tcW w:type="dxa" w:w="4195"/>
          </w:tcPr>
          <w:p>
            <w:pPr>
              <w:pStyle w:val="TableText"/>
            </w:pPr>
            <w:r/>
            <w:r>
              <w:t>If a student gets a 5.0 he or she is automatically dropped from the program; failure in any subject means no re-admission to the program.</w:t>
            </w:r>
          </w:p>
        </w:tc>
        <w:tc>
          <w:tcPr>
            <w:tcW w:type="dxa" w:w="2381"/>
          </w:tcPr>
          <w:p>
            <w:pPr>
              <w:pStyle w:val="TableText"/>
            </w:pPr>
            <w:r/>
            <w:r>
              <w:t>Handbook 2022-2023, p. 54</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DRP-07</w:t>
            </w:r>
          </w:p>
        </w:tc>
        <w:tc>
          <w:tcPr>
            <w:tcW w:type="dxa" w:w="1304"/>
          </w:tcPr>
          <w:p>
            <w:pPr>
              <w:pStyle w:val="TableText"/>
            </w:pPr>
            <w:r/>
            <w:r>
              <w:t>4.5 Dropping</w:t>
            </w:r>
          </w:p>
        </w:tc>
        <w:tc>
          <w:tcPr>
            <w:tcW w:type="dxa" w:w="4195"/>
          </w:tcPr>
          <w:p>
            <w:pPr>
              <w:pStyle w:val="TableText"/>
            </w:pPr>
            <w:r/>
            <w:r>
              <w:t>A student drops a subject during the semester by talking or writing to the Academic Coordinator. Once agreed, the Academic Coordinator or GS staff tag the subject as dropped with a date and notes. No student-facing drop request is needed in the Graduate School's record.</w:t>
            </w:r>
          </w:p>
        </w:tc>
        <w:tc>
          <w:tcPr>
            <w:tcW w:type="dxa" w:w="2381"/>
          </w:tcPr>
          <w:p>
            <w:pPr>
              <w:pStyle w:val="TableText"/>
            </w:pPr>
            <w:r/>
            <w:r>
              <w:t>Consultation 21 July 2026</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DRP-08</w:t>
            </w:r>
          </w:p>
        </w:tc>
        <w:tc>
          <w:tcPr>
            <w:tcW w:type="dxa" w:w="1304"/>
          </w:tcPr>
          <w:p>
            <w:pPr>
              <w:pStyle w:val="TableText"/>
            </w:pPr>
            <w:r/>
            <w:r>
              <w:t>4.5 Dropping</w:t>
            </w:r>
          </w:p>
        </w:tc>
        <w:tc>
          <w:tcPr>
            <w:tcW w:type="dxa" w:w="4195"/>
          </w:tcPr>
          <w:p>
            <w:pPr>
              <w:pStyle w:val="TableText"/>
            </w:pPr>
            <w:r/>
            <w:r>
              <w:t>The Graduate School drops the subject in AIMS as well as in its own record.</w:t>
            </w:r>
          </w:p>
        </w:tc>
        <w:tc>
          <w:tcPr>
            <w:tcW w:type="dxa" w:w="2381"/>
          </w:tcPr>
          <w:p>
            <w:pPr>
              <w:pStyle w:val="TableText"/>
            </w:pPr>
            <w:r/>
            <w:r>
              <w:t>Consultation 21 July 2026</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DRP-09</w:t>
            </w:r>
          </w:p>
        </w:tc>
        <w:tc>
          <w:tcPr>
            <w:tcW w:type="dxa" w:w="1304"/>
          </w:tcPr>
          <w:p>
            <w:pPr>
              <w:pStyle w:val="TableText"/>
            </w:pPr>
            <w:r/>
            <w:r>
              <w:t>4.5 Dropping</w:t>
            </w:r>
          </w:p>
        </w:tc>
        <w:tc>
          <w:tcPr>
            <w:tcW w:type="dxa" w:w="4195"/>
          </w:tcPr>
          <w:p>
            <w:pPr>
              <w:pStyle w:val="TableText"/>
            </w:pPr>
            <w:r/>
            <w:r>
              <w:t>A drop agreed between the student and the Academic Coordinator is recorded by the Academic Coordinator without a separate Graduate School approval step (there is no Deny); the record stays marked as awaiting confirmation until the Graduate School has seen the change in AIMS. (The platform has no student drop request; see DRP-03 for the absence limit it enforces.)</w:t>
            </w:r>
          </w:p>
        </w:tc>
        <w:tc>
          <w:tcPr>
            <w:tcW w:type="dxa" w:w="2381"/>
          </w:tcPr>
          <w:p>
            <w:pPr>
              <w:pStyle w:val="TableText"/>
            </w:pPr>
            <w:r/>
            <w:r>
              <w:t>Group working notes, July 20 checklist, items 18, 19 and 79 (revision adopted after the 15 July adviser session)</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DRP-10</w:t>
            </w:r>
          </w:p>
        </w:tc>
        <w:tc>
          <w:tcPr>
            <w:tcW w:type="dxa" w:w="1304"/>
          </w:tcPr>
          <w:p>
            <w:pPr>
              <w:pStyle w:val="TableText"/>
            </w:pPr>
            <w:r/>
            <w:r>
              <w:t>4.5 Dropping</w:t>
            </w:r>
          </w:p>
        </w:tc>
        <w:tc>
          <w:tcPr>
            <w:tcW w:type="dxa" w:w="4195"/>
          </w:tcPr>
          <w:p>
            <w:pPr>
              <w:pStyle w:val="TableText"/>
            </w:pPr>
            <w:r/>
            <w:r>
              <w:t>A student's request to leave a single subject up to the end of the second week of classes is handled as a withdrawal (see WD-01); after that the Handbook gives no way to withdraw a single subject, and a subject is dropped by the professor for unexcused absences above 20% (DRP-03). The dividing line is the group's reading of the Associate Dean's distinction between withdrawal and dropping; what a student who wants to leave one subject after the second week may do is OQ-03.</w:t>
            </w:r>
          </w:p>
        </w:tc>
        <w:tc>
          <w:tcPr>
            <w:tcW w:type="dxa" w:w="2381"/>
          </w:tcPr>
          <w:p>
            <w:pPr>
              <w:pStyle w:val="TableText"/>
            </w:pPr>
            <w:r/>
            <w:r>
              <w:t>Handbook 2022-2023, p. 49; Consultation 21 July 2026</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DRP-11</w:t>
            </w:r>
          </w:p>
        </w:tc>
        <w:tc>
          <w:tcPr>
            <w:tcW w:type="dxa" w:w="1304"/>
          </w:tcPr>
          <w:p>
            <w:pPr>
              <w:pStyle w:val="TableText"/>
            </w:pPr>
            <w:r/>
            <w:r>
              <w:t>4.5 Dropping</w:t>
            </w:r>
          </w:p>
        </w:tc>
        <w:tc>
          <w:tcPr>
            <w:tcW w:type="dxa" w:w="4195"/>
          </w:tcPr>
          <w:p>
            <w:pPr>
              <w:pStyle w:val="TableText"/>
            </w:pPr>
            <w:r/>
            <w:r>
              <w:t>To remain in good standing a master's student must maintain a weighted average of 2.0 or better, and a doctorate student 1.75 or better, at the end of each academic year; a grade of 3.0 (master's) or 2.0 (doctorate) is passing but carries no graduate credit.</w:t>
            </w:r>
          </w:p>
        </w:tc>
        <w:tc>
          <w:tcPr>
            <w:tcW w:type="dxa" w:w="2381"/>
          </w:tcPr>
          <w:p>
            <w:pPr>
              <w:pStyle w:val="TableText"/>
            </w:pPr>
            <w:r/>
            <w:r>
              <w:t>Handbook 2022-2023, p. 54</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DRP-12</w:t>
            </w:r>
          </w:p>
        </w:tc>
        <w:tc>
          <w:tcPr>
            <w:tcW w:type="dxa" w:w="1304"/>
          </w:tcPr>
          <w:p>
            <w:pPr>
              <w:pStyle w:val="TableText"/>
            </w:pPr>
            <w:r/>
            <w:r>
              <w:t>4.5 Dropping</w:t>
            </w:r>
          </w:p>
        </w:tc>
        <w:tc>
          <w:tcPr>
            <w:tcW w:type="dxa" w:w="4195"/>
          </w:tcPr>
          <w:p>
            <w:pPr>
              <w:pStyle w:val="TableText"/>
            </w:pPr>
            <w:r/>
            <w:r>
              <w:t>A grade of INC may be given if the class standing is passing but the student fails to take the final examination or complete other requirements for illness or other valid reasons. It is removed within one academic year by meeting all course requirements and submitting the Incomplete Grade Removal Form to the Graduate School Office within the set deadline; after a year without compliance the grade becomes 3.0 (master's) or 2.0 (doctorate) and the subject is taken again; a student with INC in all subjects is dropped from the rolls of the Graduate School.</w:t>
            </w:r>
          </w:p>
        </w:tc>
        <w:tc>
          <w:tcPr>
            <w:tcW w:type="dxa" w:w="2381"/>
          </w:tcPr>
          <w:p>
            <w:pPr>
              <w:pStyle w:val="TableText"/>
            </w:pPr>
            <w:r/>
            <w:r>
              <w:t>Handbook 2022-2023, p. 54</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LOA-01</w:t>
            </w:r>
          </w:p>
        </w:tc>
        <w:tc>
          <w:tcPr>
            <w:tcW w:type="dxa" w:w="1304"/>
          </w:tcPr>
          <w:p>
            <w:pPr>
              <w:pStyle w:val="TableText"/>
            </w:pPr>
            <w:r/>
            <w:r>
              <w:t>4.6 Leave of absence</w:t>
            </w:r>
          </w:p>
        </w:tc>
        <w:tc>
          <w:tcPr>
            <w:tcW w:type="dxa" w:w="4195"/>
          </w:tcPr>
          <w:p>
            <w:pPr>
              <w:pStyle w:val="TableText"/>
            </w:pPr>
            <w:r/>
            <w:r>
              <w:t>A student who does not intend to enroll in a semester may apply for a leave of absence; a student on leave does not sever his or her ties with the University.</w:t>
            </w:r>
          </w:p>
        </w:tc>
        <w:tc>
          <w:tcPr>
            <w:tcW w:type="dxa" w:w="2381"/>
          </w:tcPr>
          <w:p>
            <w:pPr>
              <w:pStyle w:val="TableText"/>
            </w:pPr>
            <w:r/>
            <w:r>
              <w:t>Handbook 2022-2023, p. 52</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LOA-02</w:t>
            </w:r>
          </w:p>
        </w:tc>
        <w:tc>
          <w:tcPr>
            <w:tcW w:type="dxa" w:w="1304"/>
          </w:tcPr>
          <w:p>
            <w:pPr>
              <w:pStyle w:val="TableText"/>
            </w:pPr>
            <w:r/>
            <w:r>
              <w:t>4.6 Leave of absence</w:t>
            </w:r>
          </w:p>
        </w:tc>
        <w:tc>
          <w:tcPr>
            <w:tcW w:type="dxa" w:w="4195"/>
          </w:tcPr>
          <w:p>
            <w:pPr>
              <w:pStyle w:val="TableText"/>
            </w:pPr>
            <w:r/>
            <w:r>
              <w:t>A request for a leave of absence is made in writing to the Dean and states the reason for the leave and specifies the period.</w:t>
            </w:r>
          </w:p>
        </w:tc>
        <w:tc>
          <w:tcPr>
            <w:tcW w:type="dxa" w:w="2381"/>
          </w:tcPr>
          <w:p>
            <w:pPr>
              <w:pStyle w:val="TableText"/>
            </w:pPr>
            <w:r/>
            <w:r>
              <w:t>Handbook 2022-2023, p. 52</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LOA-03</w:t>
            </w:r>
          </w:p>
        </w:tc>
        <w:tc>
          <w:tcPr>
            <w:tcW w:type="dxa" w:w="1304"/>
          </w:tcPr>
          <w:p>
            <w:pPr>
              <w:pStyle w:val="TableText"/>
            </w:pPr>
            <w:r/>
            <w:r>
              <w:t>4.6 Leave of absence</w:t>
            </w:r>
          </w:p>
        </w:tc>
        <w:tc>
          <w:tcPr>
            <w:tcW w:type="dxa" w:w="4195"/>
          </w:tcPr>
          <w:p>
            <w:pPr>
              <w:pStyle w:val="TableText"/>
            </w:pPr>
            <w:r/>
            <w:r>
              <w:t>The leave may be approved for a period of one (1) year but may be renewed for at most another year.</w:t>
            </w:r>
          </w:p>
        </w:tc>
        <w:tc>
          <w:tcPr>
            <w:tcW w:type="dxa" w:w="2381"/>
          </w:tcPr>
          <w:p>
            <w:pPr>
              <w:pStyle w:val="TableText"/>
            </w:pPr>
            <w:r/>
            <w:r>
              <w:t>Handbook 2022-2023, p. 52</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LOA-04</w:t>
            </w:r>
          </w:p>
        </w:tc>
        <w:tc>
          <w:tcPr>
            <w:tcW w:type="dxa" w:w="1304"/>
          </w:tcPr>
          <w:p>
            <w:pPr>
              <w:pStyle w:val="TableText"/>
            </w:pPr>
            <w:r/>
            <w:r>
              <w:t>4.6 Leave of absence</w:t>
            </w:r>
          </w:p>
        </w:tc>
        <w:tc>
          <w:tcPr>
            <w:tcW w:type="dxa" w:w="4195"/>
          </w:tcPr>
          <w:p>
            <w:pPr>
              <w:pStyle w:val="TableText"/>
            </w:pPr>
            <w:r/>
            <w:r>
              <w:t>LOA must be done on or before the deadline.</w:t>
            </w:r>
          </w:p>
        </w:tc>
        <w:tc>
          <w:tcPr>
            <w:tcW w:type="dxa" w:w="2381"/>
          </w:tcPr>
          <w:p>
            <w:pPr>
              <w:pStyle w:val="TableText"/>
            </w:pPr>
            <w:r/>
            <w:r>
              <w:t>Handbook 2022-2023, p. 52</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LOA-05</w:t>
            </w:r>
          </w:p>
        </w:tc>
        <w:tc>
          <w:tcPr>
            <w:tcW w:type="dxa" w:w="1304"/>
          </w:tcPr>
          <w:p>
            <w:pPr>
              <w:pStyle w:val="TableText"/>
            </w:pPr>
            <w:r/>
            <w:r>
              <w:t>4.6 Leave of absence</w:t>
            </w:r>
          </w:p>
        </w:tc>
        <w:tc>
          <w:tcPr>
            <w:tcW w:type="dxa" w:w="4195"/>
          </w:tcPr>
          <w:p>
            <w:pPr>
              <w:pStyle w:val="TableText"/>
            </w:pPr>
            <w:r/>
            <w:r>
              <w:t>A student who does not intend to enroll for a valid reason (medical reasons) but still has remaining units to enroll is not allowed to enroll in Residency but should file for a Leave of Absence.</w:t>
            </w:r>
          </w:p>
        </w:tc>
        <w:tc>
          <w:tcPr>
            <w:tcW w:type="dxa" w:w="2381"/>
          </w:tcPr>
          <w:p>
            <w:pPr>
              <w:pStyle w:val="TableText"/>
            </w:pPr>
            <w:r/>
            <w:r>
              <w:t>Handbook 2022-2023, p. 48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LOA-06</w:t>
            </w:r>
          </w:p>
        </w:tc>
        <w:tc>
          <w:tcPr>
            <w:tcW w:type="dxa" w:w="1304"/>
          </w:tcPr>
          <w:p>
            <w:pPr>
              <w:pStyle w:val="TableText"/>
            </w:pPr>
            <w:r/>
            <w:r>
              <w:t>4.6 Leave of absence</w:t>
            </w:r>
          </w:p>
        </w:tc>
        <w:tc>
          <w:tcPr>
            <w:tcW w:type="dxa" w:w="4195"/>
          </w:tcPr>
          <w:p>
            <w:pPr>
              <w:pStyle w:val="TableText"/>
            </w:pPr>
            <w:r/>
            <w:r>
              <w:t>A student may file an LOA if the student withdraws after two weeks of classes have elapsed; the student is subject to a withdrawal fee from the Cashier's office.</w:t>
            </w:r>
          </w:p>
        </w:tc>
        <w:tc>
          <w:tcPr>
            <w:tcW w:type="dxa" w:w="2381"/>
          </w:tcPr>
          <w:p>
            <w:pPr>
              <w:pStyle w:val="TableText"/>
            </w:pPr>
            <w:r/>
            <w:r>
              <w:t>Handbook 2022-2023, p. 53</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LOA-07</w:t>
            </w:r>
          </w:p>
        </w:tc>
        <w:tc>
          <w:tcPr>
            <w:tcW w:type="dxa" w:w="1304"/>
          </w:tcPr>
          <w:p>
            <w:pPr>
              <w:pStyle w:val="TableText"/>
            </w:pPr>
            <w:r/>
            <w:r>
              <w:t>4.6 Leave of absence</w:t>
            </w:r>
          </w:p>
        </w:tc>
        <w:tc>
          <w:tcPr>
            <w:tcW w:type="dxa" w:w="4195"/>
          </w:tcPr>
          <w:p>
            <w:pPr>
              <w:pStyle w:val="TableText"/>
            </w:pPr>
            <w:r/>
            <w:r>
              <w:t>The Dean, Associate Dean, or the duly authorized representative informs the University Registrar of the leave, indicating the reasons and the amount of money refunded to the student, if any.</w:t>
            </w:r>
          </w:p>
        </w:tc>
        <w:tc>
          <w:tcPr>
            <w:tcW w:type="dxa" w:w="2381"/>
          </w:tcPr>
          <w:p>
            <w:pPr>
              <w:pStyle w:val="TableText"/>
            </w:pPr>
            <w:r/>
            <w:r>
              <w:t>Handbook 2022-2023, p. 53</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LOA-08</w:t>
            </w:r>
          </w:p>
        </w:tc>
        <w:tc>
          <w:tcPr>
            <w:tcW w:type="dxa" w:w="1304"/>
          </w:tcPr>
          <w:p>
            <w:pPr>
              <w:pStyle w:val="TableText"/>
            </w:pPr>
            <w:r/>
            <w:r>
              <w:t>4.6 Leave of absence</w:t>
            </w:r>
          </w:p>
        </w:tc>
        <w:tc>
          <w:tcPr>
            <w:tcW w:type="dxa" w:w="4195"/>
          </w:tcPr>
          <w:p>
            <w:pPr>
              <w:pStyle w:val="TableText"/>
            </w:pPr>
            <w:r/>
            <w:r>
              <w:t>For a leave availed of by the student during the second half of the semester, the class standing of the courses enrolled is W (withdrawn); no refund of tuition and fees is provided.</w:t>
            </w:r>
          </w:p>
        </w:tc>
        <w:tc>
          <w:tcPr>
            <w:tcW w:type="dxa" w:w="2381"/>
          </w:tcPr>
          <w:p>
            <w:pPr>
              <w:pStyle w:val="TableText"/>
            </w:pPr>
            <w:r/>
            <w:r>
              <w:t>Handbook 2022-2023, p. 53</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LOA-09</w:t>
            </w:r>
          </w:p>
        </w:tc>
        <w:tc>
          <w:tcPr>
            <w:tcW w:type="dxa" w:w="1304"/>
          </w:tcPr>
          <w:p>
            <w:pPr>
              <w:pStyle w:val="TableText"/>
            </w:pPr>
            <w:r/>
            <w:r>
              <w:t>4.6 Leave of absence</w:t>
            </w:r>
          </w:p>
        </w:tc>
        <w:tc>
          <w:tcPr>
            <w:tcW w:type="dxa" w:w="4195"/>
          </w:tcPr>
          <w:p>
            <w:pPr>
              <w:pStyle w:val="TableText"/>
            </w:pPr>
            <w:r/>
            <w:r>
              <w:t>No leave of absence is granted during the semester within two (2) weeks before the last day of classes.</w:t>
            </w:r>
          </w:p>
        </w:tc>
        <w:tc>
          <w:tcPr>
            <w:tcW w:type="dxa" w:w="2381"/>
          </w:tcPr>
          <w:p>
            <w:pPr>
              <w:pStyle w:val="TableText"/>
            </w:pPr>
            <w:r/>
            <w:r>
              <w:t>Handbook 2022-2023, p. 53</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LOA-10</w:t>
            </w:r>
          </w:p>
        </w:tc>
        <w:tc>
          <w:tcPr>
            <w:tcW w:type="dxa" w:w="1304"/>
          </w:tcPr>
          <w:p>
            <w:pPr>
              <w:pStyle w:val="TableText"/>
            </w:pPr>
            <w:r/>
            <w:r>
              <w:t>4.6 Leave of absence</w:t>
            </w:r>
          </w:p>
        </w:tc>
        <w:tc>
          <w:tcPr>
            <w:tcW w:type="dxa" w:w="4195"/>
          </w:tcPr>
          <w:p>
            <w:pPr>
              <w:pStyle w:val="TableText"/>
            </w:pPr>
            <w:r/>
            <w:r>
              <w:t>A master's program must be finished within seven academic years and a doctoral program within nine academic years, including the leave of absence.</w:t>
            </w:r>
          </w:p>
        </w:tc>
        <w:tc>
          <w:tcPr>
            <w:tcW w:type="dxa" w:w="2381"/>
          </w:tcPr>
          <w:p>
            <w:pPr>
              <w:pStyle w:val="TableText"/>
            </w:pPr>
            <w:r/>
            <w:r>
              <w:t>Handbook 2022-2023, p. 55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LOA-11</w:t>
            </w:r>
          </w:p>
        </w:tc>
        <w:tc>
          <w:tcPr>
            <w:tcW w:type="dxa" w:w="1304"/>
          </w:tcPr>
          <w:p>
            <w:pPr>
              <w:pStyle w:val="TableText"/>
            </w:pPr>
            <w:r/>
            <w:r>
              <w:t>4.6 Leave of absence</w:t>
            </w:r>
          </w:p>
        </w:tc>
        <w:tc>
          <w:tcPr>
            <w:tcW w:type="dxa" w:w="4195"/>
          </w:tcPr>
          <w:p>
            <w:pPr>
              <w:pStyle w:val="TableText"/>
            </w:pPr>
            <w:r/>
            <w:r>
              <w:t>A student who withdraws from the college without a formal leave of absence is considered absent without leave (AWOL) and has registration privileges curtailed or entirely withdrawn.</w:t>
            </w:r>
          </w:p>
        </w:tc>
        <w:tc>
          <w:tcPr>
            <w:tcW w:type="dxa" w:w="2381"/>
          </w:tcPr>
          <w:p>
            <w:pPr>
              <w:pStyle w:val="TableText"/>
            </w:pPr>
            <w:r/>
            <w:r>
              <w:t>Handbook 2022-2023, p. 53</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LOA-12</w:t>
            </w:r>
          </w:p>
        </w:tc>
        <w:tc>
          <w:tcPr>
            <w:tcW w:type="dxa" w:w="1304"/>
          </w:tcPr>
          <w:p>
            <w:pPr>
              <w:pStyle w:val="TableText"/>
            </w:pPr>
            <w:r/>
            <w:r>
              <w:t>4.6 Leave of absence</w:t>
            </w:r>
          </w:p>
        </w:tc>
        <w:tc>
          <w:tcPr>
            <w:tcW w:type="dxa" w:w="4195"/>
          </w:tcPr>
          <w:p>
            <w:pPr>
              <w:pStyle w:val="TableText"/>
            </w:pPr>
            <w:r/>
            <w:r>
              <w:t>The student may file the leave through a structured form in place of a letter, provided the Dean accepts the form as the written request.</w:t>
            </w:r>
          </w:p>
        </w:tc>
        <w:tc>
          <w:tcPr>
            <w:tcW w:type="dxa" w:w="2381"/>
          </w:tcPr>
          <w:p>
            <w:pPr>
              <w:pStyle w:val="TableText"/>
            </w:pPr>
            <w:r/>
            <w:r>
              <w:t>Group working notes, Consultation 20 July 2026 rehearsal (structured form suggested by the adviser)</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LOA-13</w:t>
            </w:r>
          </w:p>
        </w:tc>
        <w:tc>
          <w:tcPr>
            <w:tcW w:type="dxa" w:w="1304"/>
          </w:tcPr>
          <w:p>
            <w:pPr>
              <w:pStyle w:val="TableText"/>
            </w:pPr>
            <w:r/>
            <w:r>
              <w:t>4.6 Leave of absence</w:t>
            </w:r>
          </w:p>
        </w:tc>
        <w:tc>
          <w:tcPr>
            <w:tcW w:type="dxa" w:w="4195"/>
          </w:tcPr>
          <w:p>
            <w:pPr>
              <w:pStyle w:val="TableText"/>
            </w:pPr>
            <w:r/>
            <w:r>
              <w:t>The platform checks a leave request for an allowed reason category, a written reason, a valid start and end semester (at most two semesters per request and four in total with earlier approved leave), the filing date (not within fourteen days before the last day of classes) and the prototype minimum of one completed semester, and gives the Dean a recommendation; the Dean decides.</w:t>
            </w:r>
          </w:p>
        </w:tc>
        <w:tc>
          <w:tcPr>
            <w:tcW w:type="dxa" w:w="2381"/>
          </w:tcPr>
          <w:p>
            <w:pPr>
              <w:pStyle w:val="TableText"/>
            </w:pPr>
            <w:r/>
            <w:r>
              <w:t>Group working notes, Platform (current build): LOA policy review</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RDM-01</w:t>
            </w:r>
          </w:p>
        </w:tc>
        <w:tc>
          <w:tcPr>
            <w:tcW w:type="dxa" w:w="1304"/>
          </w:tcPr>
          <w:p>
            <w:pPr>
              <w:pStyle w:val="TableText"/>
            </w:pPr>
            <w:r/>
            <w:r>
              <w:t>4.7 Readmission</w:t>
            </w:r>
          </w:p>
        </w:tc>
        <w:tc>
          <w:tcPr>
            <w:tcW w:type="dxa" w:w="4195"/>
          </w:tcPr>
          <w:p>
            <w:pPr>
              <w:pStyle w:val="TableText"/>
            </w:pPr>
            <w:r/>
            <w:r>
              <w:t>A student returning from a leave of absence (LOA) or absence without leave (AWOL) declares his or her intention to enroll by writing to the University Registrar through the Graduate School Dean, who then endorses it to the University Registrar.</w:t>
            </w:r>
          </w:p>
        </w:tc>
        <w:tc>
          <w:tcPr>
            <w:tcW w:type="dxa" w:w="2381"/>
          </w:tcPr>
          <w:p>
            <w:pPr>
              <w:pStyle w:val="TableText"/>
            </w:pPr>
            <w:r/>
            <w:r>
              <w:t>Handbook 2022-2023, p. 53</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RDM-02</w:t>
            </w:r>
          </w:p>
        </w:tc>
        <w:tc>
          <w:tcPr>
            <w:tcW w:type="dxa" w:w="1304"/>
          </w:tcPr>
          <w:p>
            <w:pPr>
              <w:pStyle w:val="TableText"/>
            </w:pPr>
            <w:r/>
            <w:r>
              <w:t>4.7 Readmission</w:t>
            </w:r>
          </w:p>
        </w:tc>
        <w:tc>
          <w:tcPr>
            <w:tcW w:type="dxa" w:w="4195"/>
          </w:tcPr>
          <w:p>
            <w:pPr>
              <w:pStyle w:val="TableText"/>
            </w:pPr>
            <w:r/>
            <w:r>
              <w:t>A returnee must present: (1) clearance from the Business Office, (2) an interview (reason for delay, residency requirements), (3) evaluation of subject and grade requirements, (4) an Advise Slip from the Dean.</w:t>
            </w:r>
          </w:p>
        </w:tc>
        <w:tc>
          <w:tcPr>
            <w:tcW w:type="dxa" w:w="2381"/>
          </w:tcPr>
          <w:p>
            <w:pPr>
              <w:pStyle w:val="TableText"/>
            </w:pPr>
            <w:r/>
            <w:r>
              <w:t>Handbook 2022-2023, p. 45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RDM-03</w:t>
            </w:r>
          </w:p>
        </w:tc>
        <w:tc>
          <w:tcPr>
            <w:tcW w:type="dxa" w:w="1304"/>
          </w:tcPr>
          <w:p>
            <w:pPr>
              <w:pStyle w:val="TableText"/>
            </w:pPr>
            <w:r/>
            <w:r>
              <w:t>4.7 Readmission</w:t>
            </w:r>
          </w:p>
        </w:tc>
        <w:tc>
          <w:tcPr>
            <w:tcW w:type="dxa" w:w="4195"/>
          </w:tcPr>
          <w:p>
            <w:pPr>
              <w:pStyle w:val="TableText"/>
            </w:pPr>
            <w:r/>
            <w:r>
              <w:t>Failure in any subject means no re-admission to the program.</w:t>
            </w:r>
          </w:p>
        </w:tc>
        <w:tc>
          <w:tcPr>
            <w:tcW w:type="dxa" w:w="2381"/>
          </w:tcPr>
          <w:p>
            <w:pPr>
              <w:pStyle w:val="TableText"/>
            </w:pPr>
            <w:r/>
            <w:r>
              <w:t>Handbook 2022-2023, p. 54</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RDM-04</w:t>
            </w:r>
          </w:p>
        </w:tc>
        <w:tc>
          <w:tcPr>
            <w:tcW w:type="dxa" w:w="1304"/>
          </w:tcPr>
          <w:p>
            <w:pPr>
              <w:pStyle w:val="TableText"/>
            </w:pPr>
            <w:r/>
            <w:r>
              <w:t>4.7 Readmission</w:t>
            </w:r>
          </w:p>
        </w:tc>
        <w:tc>
          <w:tcPr>
            <w:tcW w:type="dxa" w:w="4195"/>
          </w:tcPr>
          <w:p>
            <w:pPr>
              <w:pStyle w:val="TableText"/>
            </w:pPr>
            <w:r/>
            <w:r>
              <w:t>A student who cannot finish within the maximum residence (seven years for a master's, nine for a doctorate) must re-enroll all courses taken and earn new credits.</w:t>
            </w:r>
          </w:p>
        </w:tc>
        <w:tc>
          <w:tcPr>
            <w:tcW w:type="dxa" w:w="2381"/>
          </w:tcPr>
          <w:p>
            <w:pPr>
              <w:pStyle w:val="TableText"/>
            </w:pPr>
            <w:r/>
            <w:r>
              <w:t>Handbook 2022-2023, p. 55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RDM-05</w:t>
            </w:r>
          </w:p>
        </w:tc>
        <w:tc>
          <w:tcPr>
            <w:tcW w:type="dxa" w:w="1304"/>
          </w:tcPr>
          <w:p>
            <w:pPr>
              <w:pStyle w:val="TableText"/>
            </w:pPr>
            <w:r/>
            <w:r>
              <w:t>4.7 Readmission</w:t>
            </w:r>
          </w:p>
        </w:tc>
        <w:tc>
          <w:tcPr>
            <w:tcW w:type="dxa" w:w="4195"/>
          </w:tcPr>
          <w:p>
            <w:pPr>
              <w:pStyle w:val="TableText"/>
            </w:pPr>
            <w:r/>
            <w:r>
              <w:t>The platform's readmission checklist asks for a structured return intention, a confirmed updated study plan, a program or adviser consultation, and confirmation that no accountability is pending. The Handbook's four requirements (RDM-02) are the official list.</w:t>
            </w:r>
          </w:p>
        </w:tc>
        <w:tc>
          <w:tcPr>
            <w:tcW w:type="dxa" w:w="2381"/>
          </w:tcPr>
          <w:p>
            <w:pPr>
              <w:pStyle w:val="TableText"/>
            </w:pPr>
            <w:r/>
            <w:r>
              <w:t>Group working notes, Platform (current build): readmission requirements</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AWL-01</w:t>
            </w:r>
          </w:p>
        </w:tc>
        <w:tc>
          <w:tcPr>
            <w:tcW w:type="dxa" w:w="1304"/>
          </w:tcPr>
          <w:p>
            <w:pPr>
              <w:pStyle w:val="TableText"/>
            </w:pPr>
            <w:r/>
            <w:r>
              <w:t>4.8 AWOL</w:t>
            </w:r>
          </w:p>
        </w:tc>
        <w:tc>
          <w:tcPr>
            <w:tcW w:type="dxa" w:w="4195"/>
          </w:tcPr>
          <w:p>
            <w:pPr>
              <w:pStyle w:val="TableText"/>
            </w:pPr>
            <w:r/>
            <w:r>
              <w:t>A student who withdraws from a college without a formal leave of absence is considered in "absent without leave" status (AWOL) and has registration privileges curtailed or entirely withdrawn.</w:t>
            </w:r>
          </w:p>
        </w:tc>
        <w:tc>
          <w:tcPr>
            <w:tcW w:type="dxa" w:w="2381"/>
          </w:tcPr>
          <w:p>
            <w:pPr>
              <w:pStyle w:val="TableText"/>
            </w:pPr>
            <w:r/>
            <w:r>
              <w:t>Handbook 2022-2023, p. 53</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AWL-02</w:t>
            </w:r>
          </w:p>
        </w:tc>
        <w:tc>
          <w:tcPr>
            <w:tcW w:type="dxa" w:w="1304"/>
          </w:tcPr>
          <w:p>
            <w:pPr>
              <w:pStyle w:val="TableText"/>
            </w:pPr>
            <w:r/>
            <w:r>
              <w:t>4.8 AWOL</w:t>
            </w:r>
          </w:p>
        </w:tc>
        <w:tc>
          <w:tcPr>
            <w:tcW w:type="dxa" w:w="4195"/>
          </w:tcPr>
          <w:p>
            <w:pPr>
              <w:pStyle w:val="TableText"/>
            </w:pPr>
            <w:r/>
            <w:r>
              <w:t>A student returning from AWOL declares the intention to enroll by writing to the University Registrar through the Graduate School Dean, who endorses it to the Registrar.</w:t>
            </w:r>
          </w:p>
        </w:tc>
        <w:tc>
          <w:tcPr>
            <w:tcW w:type="dxa" w:w="2381"/>
          </w:tcPr>
          <w:p>
            <w:pPr>
              <w:pStyle w:val="TableText"/>
            </w:pPr>
            <w:r/>
            <w:r>
              <w:t>Handbook 2022-2023, p. 53</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AWL-03</w:t>
            </w:r>
          </w:p>
        </w:tc>
        <w:tc>
          <w:tcPr>
            <w:tcW w:type="dxa" w:w="1304"/>
          </w:tcPr>
          <w:p>
            <w:pPr>
              <w:pStyle w:val="TableText"/>
            </w:pPr>
            <w:r/>
            <w:r>
              <w:t>4.8 AWOL</w:t>
            </w:r>
          </w:p>
        </w:tc>
        <w:tc>
          <w:tcPr>
            <w:tcW w:type="dxa" w:w="4195"/>
          </w:tcPr>
          <w:p>
            <w:pPr>
              <w:pStyle w:val="TableText"/>
            </w:pPr>
            <w:r/>
            <w:r>
              <w:t>A returnee presents a Business Office clearance, an interview, an evaluation of subject and grade requirements and an Advise Slip from the Dean.</w:t>
            </w:r>
          </w:p>
        </w:tc>
        <w:tc>
          <w:tcPr>
            <w:tcW w:type="dxa" w:w="2381"/>
          </w:tcPr>
          <w:p>
            <w:pPr>
              <w:pStyle w:val="TableText"/>
            </w:pPr>
            <w:r/>
            <w:r>
              <w:t>Handbook 2022-2023, p. 45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AWL-04</w:t>
            </w:r>
          </w:p>
        </w:tc>
        <w:tc>
          <w:tcPr>
            <w:tcW w:type="dxa" w:w="1304"/>
          </w:tcPr>
          <w:p>
            <w:pPr>
              <w:pStyle w:val="TableText"/>
            </w:pPr>
            <w:r/>
            <w:r>
              <w:t>4.8 AWOL</w:t>
            </w:r>
          </w:p>
        </w:tc>
        <w:tc>
          <w:tcPr>
            <w:tcW w:type="dxa" w:w="4195"/>
          </w:tcPr>
          <w:p>
            <w:pPr>
              <w:pStyle w:val="TableText"/>
            </w:pPr>
            <w:r/>
            <w:r>
              <w:t>An AWOL status has the same effect as a leave of absence for reporting: it is communicated to the Registrar.</w:t>
            </w:r>
          </w:p>
        </w:tc>
        <w:tc>
          <w:tcPr>
            <w:tcW w:type="dxa" w:w="2381"/>
          </w:tcPr>
          <w:p>
            <w:pPr>
              <w:pStyle w:val="TableText"/>
            </w:pPr>
            <w:r/>
            <w:r>
              <w:t>Consultation 20 July 2026, adviser's statement; not confirmed by Graduate School staff</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AWL-05</w:t>
            </w:r>
          </w:p>
        </w:tc>
        <w:tc>
          <w:tcPr>
            <w:tcW w:type="dxa" w:w="1304"/>
          </w:tcPr>
          <w:p>
            <w:pPr>
              <w:pStyle w:val="TableText"/>
            </w:pPr>
            <w:r/>
            <w:r>
              <w:t>4.8 AWOL</w:t>
            </w:r>
          </w:p>
        </w:tc>
        <w:tc>
          <w:tcPr>
            <w:tcW w:type="dxa" w:w="4195"/>
          </w:tcPr>
          <w:p>
            <w:pPr>
              <w:pStyle w:val="TableText"/>
            </w:pPr>
            <w:r/>
            <w:r>
              <w:t>AWOL is flagged from source evidence (an imported AWOL standing, or a semester enrollment marked Withdrawn with no approved leave and no resolved return), not typed in by a user and not inferred from absence alone.</w:t>
            </w:r>
          </w:p>
        </w:tc>
        <w:tc>
          <w:tcPr>
            <w:tcW w:type="dxa" w:w="2381"/>
          </w:tcPr>
          <w:p>
            <w:pPr>
              <w:pStyle w:val="TableText"/>
            </w:pPr>
            <w:r/>
            <w:r>
              <w:t>Group working notes, Platform (current build): AWOL policy review</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AWL-06</w:t>
            </w:r>
          </w:p>
        </w:tc>
        <w:tc>
          <w:tcPr>
            <w:tcW w:type="dxa" w:w="1304"/>
          </w:tcPr>
          <w:p>
            <w:pPr>
              <w:pStyle w:val="TableText"/>
            </w:pPr>
            <w:r/>
            <w:r>
              <w:t>4.8 AWOL</w:t>
            </w:r>
          </w:p>
        </w:tc>
        <w:tc>
          <w:tcPr>
            <w:tcW w:type="dxa" w:w="4195"/>
          </w:tcPr>
          <w:p>
            <w:pPr>
              <w:pStyle w:val="TableText"/>
            </w:pPr>
            <w:r/>
            <w:r>
              <w:t>On return, the student is classified by years in the program: within the normal limit (five years master's, seven years doctorate), extension with a graded six-unit refresher (up to seven and nine), or full re-enrollment beyond that.</w:t>
            </w:r>
          </w:p>
        </w:tc>
        <w:tc>
          <w:tcPr>
            <w:tcW w:type="dxa" w:w="2381"/>
          </w:tcPr>
          <w:p>
            <w:pPr>
              <w:pStyle w:val="TableText"/>
            </w:pPr>
            <w:r/>
            <w:r>
              <w:t>Handbook 2022-2023, pp. 54-55</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RES-01</w:t>
            </w:r>
          </w:p>
        </w:tc>
        <w:tc>
          <w:tcPr>
            <w:tcW w:type="dxa" w:w="1304"/>
          </w:tcPr>
          <w:p>
            <w:pPr>
              <w:pStyle w:val="TableText"/>
            </w:pPr>
            <w:r/>
            <w:r>
              <w:t>4.9 Residency</w:t>
            </w:r>
          </w:p>
        </w:tc>
        <w:tc>
          <w:tcPr>
            <w:tcW w:type="dxa" w:w="4195"/>
          </w:tcPr>
          <w:p>
            <w:pPr>
              <w:pStyle w:val="TableText"/>
            </w:pPr>
            <w:r/>
            <w:r>
              <w:t>Students who have finished all their coursework and are just working on their thesis or dissertation and practicum or internship, after a semester of enrollment for thesis writing and practicum, may enroll for residence.</w:t>
            </w:r>
          </w:p>
        </w:tc>
        <w:tc>
          <w:tcPr>
            <w:tcW w:type="dxa" w:w="2381"/>
          </w:tcPr>
          <w:p>
            <w:pPr>
              <w:pStyle w:val="TableText"/>
            </w:pPr>
            <w:r/>
            <w:r>
              <w:t>Handbook 2022-2023, p. 48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RES-02</w:t>
            </w:r>
          </w:p>
        </w:tc>
        <w:tc>
          <w:tcPr>
            <w:tcW w:type="dxa" w:w="1304"/>
          </w:tcPr>
          <w:p>
            <w:pPr>
              <w:pStyle w:val="TableText"/>
            </w:pPr>
            <w:r/>
            <w:r>
              <w:t>4.9 Residency</w:t>
            </w:r>
          </w:p>
        </w:tc>
        <w:tc>
          <w:tcPr>
            <w:tcW w:type="dxa" w:w="4195"/>
          </w:tcPr>
          <w:p>
            <w:pPr>
              <w:pStyle w:val="TableText"/>
            </w:pPr>
            <w:r/>
            <w:r>
              <w:t>Students who are not enrolled in any subject but who want to complete an INC, will take the comprehensive exam, or are waiting for their research publication must also enroll for residence. Registration for residence should be done within the semester.</w:t>
            </w:r>
          </w:p>
        </w:tc>
        <w:tc>
          <w:tcPr>
            <w:tcW w:type="dxa" w:w="2381"/>
          </w:tcPr>
          <w:p>
            <w:pPr>
              <w:pStyle w:val="TableText"/>
            </w:pPr>
            <w:r/>
            <w:r>
              <w:t>Handbook 2022-2023, p. 48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RES-03</w:t>
            </w:r>
          </w:p>
        </w:tc>
        <w:tc>
          <w:tcPr>
            <w:tcW w:type="dxa" w:w="1304"/>
          </w:tcPr>
          <w:p>
            <w:pPr>
              <w:pStyle w:val="TableText"/>
            </w:pPr>
            <w:r/>
            <w:r>
              <w:t>4.9 Residency</w:t>
            </w:r>
          </w:p>
        </w:tc>
        <w:tc>
          <w:tcPr>
            <w:tcW w:type="dxa" w:w="4195"/>
          </w:tcPr>
          <w:p>
            <w:pPr>
              <w:pStyle w:val="TableText"/>
            </w:pPr>
            <w:r/>
            <w:r>
              <w:t>A student who does not intend to enroll for a valid reason but still has remaining units is not allowed to enroll in Residency, but files a leave of absence.</w:t>
            </w:r>
          </w:p>
        </w:tc>
        <w:tc>
          <w:tcPr>
            <w:tcW w:type="dxa" w:w="2381"/>
          </w:tcPr>
          <w:p>
            <w:pPr>
              <w:pStyle w:val="TableText"/>
            </w:pPr>
            <w:r/>
            <w:r>
              <w:t>Handbook 2022-2023, p. 48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RES-04</w:t>
            </w:r>
          </w:p>
        </w:tc>
        <w:tc>
          <w:tcPr>
            <w:tcW w:type="dxa" w:w="1304"/>
          </w:tcPr>
          <w:p>
            <w:pPr>
              <w:pStyle w:val="TableText"/>
            </w:pPr>
            <w:r/>
            <w:r>
              <w:t>4.9 Residency</w:t>
            </w:r>
          </w:p>
        </w:tc>
        <w:tc>
          <w:tcPr>
            <w:tcW w:type="dxa" w:w="4195"/>
          </w:tcPr>
          <w:p>
            <w:pPr>
              <w:pStyle w:val="TableText"/>
            </w:pPr>
            <w:r/>
            <w:r>
              <w:t>For the comprehensive examination the Academic Coordinator does the initial evaluation and the student is advised to enroll in Residency in Comprehensive Examination.</w:t>
            </w:r>
          </w:p>
        </w:tc>
        <w:tc>
          <w:tcPr>
            <w:tcW w:type="dxa" w:w="2381"/>
          </w:tcPr>
          <w:p>
            <w:pPr>
              <w:pStyle w:val="TableText"/>
            </w:pPr>
            <w:r/>
            <w:r>
              <w:t>Handbook 2022-2023, p. 56</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RES-05</w:t>
            </w:r>
          </w:p>
        </w:tc>
        <w:tc>
          <w:tcPr>
            <w:tcW w:type="dxa" w:w="1304"/>
          </w:tcPr>
          <w:p>
            <w:pPr>
              <w:pStyle w:val="TableText"/>
            </w:pPr>
            <w:r/>
            <w:r>
              <w:t>4.9 Residency</w:t>
            </w:r>
          </w:p>
        </w:tc>
        <w:tc>
          <w:tcPr>
            <w:tcW w:type="dxa" w:w="4195"/>
          </w:tcPr>
          <w:p>
            <w:pPr>
              <w:pStyle w:val="TableText"/>
            </w:pPr>
            <w:r/>
            <w:r>
              <w:t>Master's program: candidacy must be attained within three academic years from the date of admission and all requirements completed within five academic years.</w:t>
            </w:r>
          </w:p>
        </w:tc>
        <w:tc>
          <w:tcPr>
            <w:tcW w:type="dxa" w:w="2381"/>
          </w:tcPr>
          <w:p>
            <w:pPr>
              <w:pStyle w:val="TableText"/>
            </w:pPr>
            <w:r/>
            <w:r>
              <w:t>Handbook 2022-2023, p. 54</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RES-06</w:t>
            </w:r>
          </w:p>
        </w:tc>
        <w:tc>
          <w:tcPr>
            <w:tcW w:type="dxa" w:w="1304"/>
          </w:tcPr>
          <w:p>
            <w:pPr>
              <w:pStyle w:val="TableText"/>
            </w:pPr>
            <w:r/>
            <w:r>
              <w:t>4.9 Residency</w:t>
            </w:r>
          </w:p>
        </w:tc>
        <w:tc>
          <w:tcPr>
            <w:tcW w:type="dxa" w:w="4195"/>
          </w:tcPr>
          <w:p>
            <w:pPr>
              <w:pStyle w:val="TableText"/>
            </w:pPr>
            <w:r/>
            <w:r>
              <w:t>Master's program: a student who cannot comply within five years is allowed a maximum two-year extension but must enroll in a graded six-unit refresher course related to the area of specialization.</w:t>
            </w:r>
          </w:p>
        </w:tc>
        <w:tc>
          <w:tcPr>
            <w:tcW w:type="dxa" w:w="2381"/>
          </w:tcPr>
          <w:p>
            <w:pPr>
              <w:pStyle w:val="TableText"/>
            </w:pPr>
            <w:r/>
            <w:r>
              <w:t>Handbook 2022-2023, p. 54</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RES-07</w:t>
            </w:r>
          </w:p>
        </w:tc>
        <w:tc>
          <w:tcPr>
            <w:tcW w:type="dxa" w:w="1304"/>
          </w:tcPr>
          <w:p>
            <w:pPr>
              <w:pStyle w:val="TableText"/>
            </w:pPr>
            <w:r/>
            <w:r>
              <w:t>4.9 Residency</w:t>
            </w:r>
          </w:p>
        </w:tc>
        <w:tc>
          <w:tcPr>
            <w:tcW w:type="dxa" w:w="4195"/>
          </w:tcPr>
          <w:p>
            <w:pPr>
              <w:pStyle w:val="TableText"/>
            </w:pPr>
            <w:r/>
            <w:r>
              <w:t>A master's program must be finished within a maximum of seven academic years including leave of absence; a student who cannot finish within seven years must re-enroll all the courses taken and earn new credits.</w:t>
            </w:r>
          </w:p>
        </w:tc>
        <w:tc>
          <w:tcPr>
            <w:tcW w:type="dxa" w:w="2381"/>
          </w:tcPr>
          <w:p>
            <w:pPr>
              <w:pStyle w:val="TableText"/>
            </w:pPr>
            <w:r/>
            <w:r>
              <w:t>Handbook 2022-2023, p. 55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RES-08</w:t>
            </w:r>
          </w:p>
        </w:tc>
        <w:tc>
          <w:tcPr>
            <w:tcW w:type="dxa" w:w="1304"/>
          </w:tcPr>
          <w:p>
            <w:pPr>
              <w:pStyle w:val="TableText"/>
            </w:pPr>
            <w:r/>
            <w:r>
              <w:t>4.9 Residency</w:t>
            </w:r>
          </w:p>
        </w:tc>
        <w:tc>
          <w:tcPr>
            <w:tcW w:type="dxa" w:w="4195"/>
          </w:tcPr>
          <w:p>
            <w:pPr>
              <w:pStyle w:val="TableText"/>
            </w:pPr>
            <w:r/>
            <w:r>
              <w:t>Doctorate program: candidacy within five academic years from admission; all requirements including the dissertation within seven academic years.</w:t>
            </w:r>
          </w:p>
        </w:tc>
        <w:tc>
          <w:tcPr>
            <w:tcW w:type="dxa" w:w="2381"/>
          </w:tcPr>
          <w:p>
            <w:pPr>
              <w:pStyle w:val="TableText"/>
            </w:pPr>
            <w:r/>
            <w:r>
              <w:t>Handbook 2022-2023, p. 55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RES-09</w:t>
            </w:r>
          </w:p>
        </w:tc>
        <w:tc>
          <w:tcPr>
            <w:tcW w:type="dxa" w:w="1304"/>
          </w:tcPr>
          <w:p>
            <w:pPr>
              <w:pStyle w:val="TableText"/>
            </w:pPr>
            <w:r/>
            <w:r>
              <w:t>4.9 Residency</w:t>
            </w:r>
          </w:p>
        </w:tc>
        <w:tc>
          <w:tcPr>
            <w:tcW w:type="dxa" w:w="4195"/>
          </w:tcPr>
          <w:p>
            <w:pPr>
              <w:pStyle w:val="TableText"/>
            </w:pPr>
            <w:r/>
            <w:r>
              <w:t>Doctorate program: beyond seven years a maximum two-year extension with a graded six-unit refresher course; the program must be finished within nine academic years including leave of absence, after which the student must re-enroll all courses taken and earn credit units.</w:t>
            </w:r>
          </w:p>
        </w:tc>
        <w:tc>
          <w:tcPr>
            <w:tcW w:type="dxa" w:w="2381"/>
          </w:tcPr>
          <w:p>
            <w:pPr>
              <w:pStyle w:val="TableText"/>
            </w:pPr>
            <w:r/>
            <w:r>
              <w:t>Handbook 2022-2023, p. 55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RES-10</w:t>
            </w:r>
          </w:p>
        </w:tc>
        <w:tc>
          <w:tcPr>
            <w:tcW w:type="dxa" w:w="1304"/>
          </w:tcPr>
          <w:p>
            <w:pPr>
              <w:pStyle w:val="TableText"/>
            </w:pPr>
            <w:r/>
            <w:r>
              <w:t>4.9 Residency</w:t>
            </w:r>
          </w:p>
        </w:tc>
        <w:tc>
          <w:tcPr>
            <w:tcW w:type="dxa" w:w="4195"/>
          </w:tcPr>
          <w:p>
            <w:pPr>
              <w:pStyle w:val="TableText"/>
            </w:pPr>
            <w:r/>
            <w:r>
              <w:t>Thesis or project paper writing must be finished within two years from the title or proposal defense; dissertation writing within three years from the title defense.</w:t>
            </w:r>
          </w:p>
        </w:tc>
        <w:tc>
          <w:tcPr>
            <w:tcW w:type="dxa" w:w="2381"/>
          </w:tcPr>
          <w:p>
            <w:pPr>
              <w:pStyle w:val="TableText"/>
            </w:pPr>
            <w:r/>
            <w:r>
              <w:t>Handbook 2022-2023, p. 58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RES-11</w:t>
            </w:r>
          </w:p>
        </w:tc>
        <w:tc>
          <w:tcPr>
            <w:tcW w:type="dxa" w:w="1304"/>
          </w:tcPr>
          <w:p>
            <w:pPr>
              <w:pStyle w:val="TableText"/>
            </w:pPr>
            <w:r/>
            <w:r>
              <w:t>4.9 Residency</w:t>
            </w:r>
          </w:p>
        </w:tc>
        <w:tc>
          <w:tcPr>
            <w:tcW w:type="dxa" w:w="4195"/>
          </w:tcPr>
          <w:p>
            <w:pPr>
              <w:pStyle w:val="TableText"/>
            </w:pPr>
            <w:r/>
            <w:r>
              <w:t>The platform records each residency enrollment with its purpose (thesis or dissertation work, practicum or internship, comprehensive examination, awaiting publication) and marks a purpose as unsupported if the student's record does not match it; staff may still record it with notes that explain the exception.</w:t>
            </w:r>
          </w:p>
        </w:tc>
        <w:tc>
          <w:tcPr>
            <w:tcW w:type="dxa" w:w="2381"/>
          </w:tcPr>
          <w:p>
            <w:pPr>
              <w:pStyle w:val="TableText"/>
            </w:pPr>
            <w:r/>
            <w:r>
              <w:t>Group working notes, Platform (current build): residency policy review</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CEX-01</w:t>
            </w:r>
          </w:p>
        </w:tc>
        <w:tc>
          <w:tcPr>
            <w:tcW w:type="dxa" w:w="1304"/>
          </w:tcPr>
          <w:p>
            <w:pPr>
              <w:pStyle w:val="TableText"/>
            </w:pPr>
            <w:r/>
            <w:r>
              <w:t>4.10 Comprehensive exam</w:t>
            </w:r>
          </w:p>
        </w:tc>
        <w:tc>
          <w:tcPr>
            <w:tcW w:type="dxa" w:w="4195"/>
          </w:tcPr>
          <w:p>
            <w:pPr>
              <w:pStyle w:val="TableText"/>
            </w:pPr>
            <w:r/>
            <w:r>
              <w:t>The comprehensive examinations cover all basic or core courses, fields of concentration, and electives or cognates. They are given for two days for a master's and three days for a doctorate, with two-day intervals between examinations or consecutively as arranged, and last a maximum of eight hours per day.</w:t>
            </w:r>
          </w:p>
        </w:tc>
        <w:tc>
          <w:tcPr>
            <w:tcW w:type="dxa" w:w="2381"/>
          </w:tcPr>
          <w:p>
            <w:pPr>
              <w:pStyle w:val="TableText"/>
            </w:pPr>
            <w:r/>
            <w:r>
              <w:t>Handbook 2022-2023, p. 56</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CEX-02</w:t>
            </w:r>
          </w:p>
        </w:tc>
        <w:tc>
          <w:tcPr>
            <w:tcW w:type="dxa" w:w="1304"/>
          </w:tcPr>
          <w:p>
            <w:pPr>
              <w:pStyle w:val="TableText"/>
            </w:pPr>
            <w:r/>
            <w:r>
              <w:t>4.10 Comprehensive exam</w:t>
            </w:r>
          </w:p>
        </w:tc>
        <w:tc>
          <w:tcPr>
            <w:tcW w:type="dxa" w:w="4195"/>
          </w:tcPr>
          <w:p>
            <w:pPr>
              <w:pStyle w:val="TableText"/>
            </w:pPr>
            <w:r/>
            <w:r>
              <w:t>Master's scope: first day basic courses and electives or cognates; second day major courses. Doctorate scope: first day basic courses and electives or cognates; second and third days major courses.</w:t>
            </w:r>
          </w:p>
        </w:tc>
        <w:tc>
          <w:tcPr>
            <w:tcW w:type="dxa" w:w="2381"/>
          </w:tcPr>
          <w:p>
            <w:pPr>
              <w:pStyle w:val="TableText"/>
            </w:pPr>
            <w:r/>
            <w:r>
              <w:t>Handbook 2022-2023, p. 56</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CEX-03</w:t>
            </w:r>
          </w:p>
        </w:tc>
        <w:tc>
          <w:tcPr>
            <w:tcW w:type="dxa" w:w="1304"/>
          </w:tcPr>
          <w:p>
            <w:pPr>
              <w:pStyle w:val="TableText"/>
            </w:pPr>
            <w:r/>
            <w:r>
              <w:t>4.10 Comprehensive exam</w:t>
            </w:r>
          </w:p>
        </w:tc>
        <w:tc>
          <w:tcPr>
            <w:tcW w:type="dxa" w:w="4195"/>
          </w:tcPr>
          <w:p>
            <w:pPr>
              <w:pStyle w:val="TableText"/>
            </w:pPr>
            <w:r/>
            <w:r>
              <w:t>Master's students who have passed all academic requirements and been evaluated by their Graduate School Academic Coordinators may file an application; doctorate students evaluated by their College Deans may likewise file.</w:t>
            </w:r>
          </w:p>
        </w:tc>
        <w:tc>
          <w:tcPr>
            <w:tcW w:type="dxa" w:w="2381"/>
          </w:tcPr>
          <w:p>
            <w:pPr>
              <w:pStyle w:val="TableText"/>
            </w:pPr>
            <w:r/>
            <w:r>
              <w:t>Handbook 2022-2023, p. 56</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CEX-04</w:t>
            </w:r>
          </w:p>
        </w:tc>
        <w:tc>
          <w:tcPr>
            <w:tcW w:type="dxa" w:w="1304"/>
          </w:tcPr>
          <w:p>
            <w:pPr>
              <w:pStyle w:val="TableText"/>
            </w:pPr>
            <w:r/>
            <w:r>
              <w:t>4.10 Comprehensive exam</w:t>
            </w:r>
          </w:p>
        </w:tc>
        <w:tc>
          <w:tcPr>
            <w:tcW w:type="dxa" w:w="4195"/>
          </w:tcPr>
          <w:p>
            <w:pPr>
              <w:pStyle w:val="TableText"/>
            </w:pPr>
            <w:r/>
            <w:r>
              <w:t>Non-thesis students must have completed the integrating courses (feasibility study, project study, case study or applied research in the major field for MBA; action research or practicum in the major field for Education).</w:t>
            </w:r>
          </w:p>
        </w:tc>
        <w:tc>
          <w:tcPr>
            <w:tcW w:type="dxa" w:w="2381"/>
          </w:tcPr>
          <w:p>
            <w:pPr>
              <w:pStyle w:val="TableText"/>
            </w:pPr>
            <w:r/>
            <w:r>
              <w:t>Handbook 2022-2023, p. 56</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CEX-05</w:t>
            </w:r>
          </w:p>
        </w:tc>
        <w:tc>
          <w:tcPr>
            <w:tcW w:type="dxa" w:w="1304"/>
          </w:tcPr>
          <w:p>
            <w:pPr>
              <w:pStyle w:val="TableText"/>
            </w:pPr>
            <w:r/>
            <w:r>
              <w:t>4.10 Comprehensive exam</w:t>
            </w:r>
          </w:p>
        </w:tc>
        <w:tc>
          <w:tcPr>
            <w:tcW w:type="dxa" w:w="4195"/>
          </w:tcPr>
          <w:p>
            <w:pPr>
              <w:pStyle w:val="TableText"/>
            </w:pPr>
            <w:r/>
            <w:r>
              <w:t>The application is filed with the Graduate Program Secretary at least two weeks before the scheduled examination; an examinee who withdraws the application informs the Graduate Program in writing with the reason at least three working days before the examination.</w:t>
            </w:r>
          </w:p>
        </w:tc>
        <w:tc>
          <w:tcPr>
            <w:tcW w:type="dxa" w:w="2381"/>
          </w:tcPr>
          <w:p>
            <w:pPr>
              <w:pStyle w:val="TableText"/>
            </w:pPr>
            <w:r/>
            <w:r>
              <w:t>Handbook 2022-2023, pp. 56-57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CEX-06</w:t>
            </w:r>
          </w:p>
        </w:tc>
        <w:tc>
          <w:tcPr>
            <w:tcW w:type="dxa" w:w="1304"/>
          </w:tcPr>
          <w:p>
            <w:pPr>
              <w:pStyle w:val="TableText"/>
            </w:pPr>
            <w:r/>
            <w:r>
              <w:t>4.10 Comprehensive exam</w:t>
            </w:r>
          </w:p>
        </w:tc>
        <w:tc>
          <w:tcPr>
            <w:tcW w:type="dxa" w:w="4195"/>
          </w:tcPr>
          <w:p>
            <w:pPr>
              <w:pStyle w:val="TableText"/>
            </w:pPr>
            <w:r/>
            <w:r>
              <w:t>The examination fee is P1,100 for a master's and P2,500 for a doctorate, paid to the Business Office; the official receipt attached to the application is presented to the secretary before the exam.</w:t>
            </w:r>
          </w:p>
        </w:tc>
        <w:tc>
          <w:tcPr>
            <w:tcW w:type="dxa" w:w="2381"/>
          </w:tcPr>
          <w:p>
            <w:pPr>
              <w:pStyle w:val="TableText"/>
            </w:pPr>
            <w:r/>
            <w:r>
              <w:t>Handbook 2022-2023, p. 57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CEX-07</w:t>
            </w:r>
          </w:p>
        </w:tc>
        <w:tc>
          <w:tcPr>
            <w:tcW w:type="dxa" w:w="1304"/>
          </w:tcPr>
          <w:p>
            <w:pPr>
              <w:pStyle w:val="TableText"/>
            </w:pPr>
            <w:r/>
            <w:r>
              <w:t>4.10 Comprehensive exam</w:t>
            </w:r>
          </w:p>
        </w:tc>
        <w:tc>
          <w:tcPr>
            <w:tcW w:type="dxa" w:w="4195"/>
          </w:tcPr>
          <w:p>
            <w:pPr>
              <w:pStyle w:val="TableText"/>
            </w:pPr>
            <w:r/>
            <w:r>
              <w:t>The fee is forfeited if the examinee fails to appear during the examination dates or fails to inform the Graduate Program Services Office by a written note.</w:t>
            </w:r>
          </w:p>
        </w:tc>
        <w:tc>
          <w:tcPr>
            <w:tcW w:type="dxa" w:w="2381"/>
          </w:tcPr>
          <w:p>
            <w:pPr>
              <w:pStyle w:val="TableText"/>
            </w:pPr>
            <w:r/>
            <w:r>
              <w:t>Handbook 2022-2023, p. 57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CEX-08</w:t>
            </w:r>
          </w:p>
        </w:tc>
        <w:tc>
          <w:tcPr>
            <w:tcW w:type="dxa" w:w="1304"/>
          </w:tcPr>
          <w:p>
            <w:pPr>
              <w:pStyle w:val="TableText"/>
            </w:pPr>
            <w:r/>
            <w:r>
              <w:t>4.10 Comprehensive exam</w:t>
            </w:r>
          </w:p>
        </w:tc>
        <w:tc>
          <w:tcPr>
            <w:tcW w:type="dxa" w:w="4195"/>
          </w:tcPr>
          <w:p>
            <w:pPr>
              <w:pStyle w:val="TableText"/>
            </w:pPr>
            <w:r/>
            <w:r>
              <w:t>A student must get a minimum score of 7.00 points (70%) in all courses to pass. A student below 7.00 may take a first retake in the failed courses within the residency enrollment and is allowed two retakes within the semester.</w:t>
            </w:r>
          </w:p>
        </w:tc>
        <w:tc>
          <w:tcPr>
            <w:tcW w:type="dxa" w:w="2381"/>
          </w:tcPr>
          <w:p>
            <w:pPr>
              <w:pStyle w:val="TableText"/>
            </w:pPr>
            <w:r/>
            <w:r>
              <w:t>Handbook 2022-2023, p. 57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CEX-09</w:t>
            </w:r>
          </w:p>
        </w:tc>
        <w:tc>
          <w:tcPr>
            <w:tcW w:type="dxa" w:w="1304"/>
          </w:tcPr>
          <w:p>
            <w:pPr>
              <w:pStyle w:val="TableText"/>
            </w:pPr>
            <w:r/>
            <w:r>
              <w:t>4.10 Comprehensive exam</w:t>
            </w:r>
          </w:p>
        </w:tc>
        <w:tc>
          <w:tcPr>
            <w:tcW w:type="dxa" w:w="4195"/>
          </w:tcPr>
          <w:p>
            <w:pPr>
              <w:pStyle w:val="TableText"/>
            </w:pPr>
            <w:r/>
            <w:r>
              <w:t>A student who fails the second retake takes a refresher course on the failed courses the following semester and may take the examination for the third and last time in the following residency enrollment; failure the fourth time means disqualification from the program.</w:t>
            </w:r>
          </w:p>
        </w:tc>
        <w:tc>
          <w:tcPr>
            <w:tcW w:type="dxa" w:w="2381"/>
          </w:tcPr>
          <w:p>
            <w:pPr>
              <w:pStyle w:val="TableText"/>
            </w:pPr>
            <w:r/>
            <w:r>
              <w:t>Handbook 2022-2023, p. 57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CEX-10</w:t>
            </w:r>
          </w:p>
        </w:tc>
        <w:tc>
          <w:tcPr>
            <w:tcW w:type="dxa" w:w="1304"/>
          </w:tcPr>
          <w:p>
            <w:pPr>
              <w:pStyle w:val="TableText"/>
            </w:pPr>
            <w:r/>
            <w:r>
              <w:t>4.10 Comprehensive exam</w:t>
            </w:r>
          </w:p>
        </w:tc>
        <w:tc>
          <w:tcPr>
            <w:tcW w:type="dxa" w:w="4195"/>
          </w:tcPr>
          <w:p>
            <w:pPr>
              <w:pStyle w:val="TableText"/>
            </w:pPr>
            <w:r/>
            <w:r>
              <w:t>A student who passes the comprehensive examination confers with the Dean for a thesis or dissertation adviser and is considered advanced to candidacy.</w:t>
            </w:r>
          </w:p>
        </w:tc>
        <w:tc>
          <w:tcPr>
            <w:tcW w:type="dxa" w:w="2381"/>
          </w:tcPr>
          <w:p>
            <w:pPr>
              <w:pStyle w:val="TableText"/>
            </w:pPr>
            <w:r/>
            <w:r>
              <w:t>Handbook 2022-2023, p. 57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CEX-11</w:t>
            </w:r>
          </w:p>
        </w:tc>
        <w:tc>
          <w:tcPr>
            <w:tcW w:type="dxa" w:w="1304"/>
          </w:tcPr>
          <w:p>
            <w:pPr>
              <w:pStyle w:val="TableText"/>
            </w:pPr>
            <w:r/>
            <w:r>
              <w:t>4.10 Comprehensive exam</w:t>
            </w:r>
          </w:p>
        </w:tc>
        <w:tc>
          <w:tcPr>
            <w:tcW w:type="dxa" w:w="4195"/>
          </w:tcPr>
          <w:p>
            <w:pPr>
              <w:pStyle w:val="TableText"/>
            </w:pPr>
            <w:r/>
            <w:r>
              <w:t>Passing the comprehensive examination is a graduation requirement; for special academic honors the examination must be passed with no retake.</w:t>
            </w:r>
          </w:p>
        </w:tc>
        <w:tc>
          <w:tcPr>
            <w:tcW w:type="dxa" w:w="2381"/>
          </w:tcPr>
          <w:p>
            <w:pPr>
              <w:pStyle w:val="TableText"/>
            </w:pPr>
            <w:r/>
            <w:r>
              <w:t>Handbook 2022-2023, pp. 55, 77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CEX-12</w:t>
            </w:r>
          </w:p>
        </w:tc>
        <w:tc>
          <w:tcPr>
            <w:tcW w:type="dxa" w:w="1304"/>
          </w:tcPr>
          <w:p>
            <w:pPr>
              <w:pStyle w:val="TableText"/>
            </w:pPr>
            <w:r/>
            <w:r>
              <w:t>4.10 Comprehensive exam</w:t>
            </w:r>
          </w:p>
        </w:tc>
        <w:tc>
          <w:tcPr>
            <w:tcW w:type="dxa" w:w="4195"/>
          </w:tcPr>
          <w:p>
            <w:pPr>
              <w:pStyle w:val="TableText"/>
            </w:pPr>
            <w:r/>
            <w:r>
              <w:t>The monitoring workbook records the comprehensive examination in its own column.</w:t>
            </w:r>
          </w:p>
        </w:tc>
        <w:tc>
          <w:tcPr>
            <w:tcW w:type="dxa" w:w="2381"/>
          </w:tcPr>
          <w:p>
            <w:pPr>
              <w:pStyle w:val="TableText"/>
            </w:pPr>
            <w:r/>
            <w:r>
              <w:t>Group working notes, Monitoring workbook, COMPRE column</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CEX-13</w:t>
            </w:r>
          </w:p>
        </w:tc>
        <w:tc>
          <w:tcPr>
            <w:tcW w:type="dxa" w:w="1304"/>
          </w:tcPr>
          <w:p>
            <w:pPr>
              <w:pStyle w:val="TableText"/>
            </w:pPr>
            <w:r/>
            <w:r>
              <w:t>4.10 Comprehensive exam</w:t>
            </w:r>
          </w:p>
        </w:tc>
        <w:tc>
          <w:tcPr>
            <w:tcW w:type="dxa" w:w="4195"/>
          </w:tcPr>
          <w:p>
            <w:pPr>
              <w:pStyle w:val="TableText"/>
            </w:pPr>
            <w:r/>
            <w:r>
              <w:t>The platform keeps all research stages from the title defense onward locked until the comprehensive examination status is Passed and all curriculum subjects are complete; the Graduate School can switch the examination requirement off in the register.</w:t>
            </w:r>
          </w:p>
        </w:tc>
        <w:tc>
          <w:tcPr>
            <w:tcW w:type="dxa" w:w="2381"/>
          </w:tcPr>
          <w:p>
            <w:pPr>
              <w:pStyle w:val="TableText"/>
            </w:pPr>
            <w:r/>
            <w:r>
              <w:t>Group working notes, Platform (current build): comprehensive exam eligibility</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TTL-01</w:t>
            </w:r>
          </w:p>
        </w:tc>
        <w:tc>
          <w:tcPr>
            <w:tcW w:type="dxa" w:w="1304"/>
          </w:tcPr>
          <w:p>
            <w:pPr>
              <w:pStyle w:val="TableText"/>
            </w:pPr>
            <w:r/>
            <w:r>
              <w:t>4.11 Title defense</w:t>
            </w:r>
          </w:p>
        </w:tc>
        <w:tc>
          <w:tcPr>
            <w:tcW w:type="dxa" w:w="4195"/>
          </w:tcPr>
          <w:p>
            <w:pPr>
              <w:pStyle w:val="TableText"/>
            </w:pPr>
            <w:r/>
            <w:r>
              <w:t>The application for title defense (Form 1 and three concept papers to the Academic Coordinator) must be made at least two weeks before the scheduled defense.</w:t>
            </w:r>
          </w:p>
        </w:tc>
        <w:tc>
          <w:tcPr>
            <w:tcW w:type="dxa" w:w="2381"/>
          </w:tcPr>
          <w:p>
            <w:pPr>
              <w:pStyle w:val="TableText"/>
            </w:pPr>
            <w:r/>
            <w:r>
              <w:t>Handbook 2022-2023, p. 59; Research Protocol AY2024-2025, Title Defense, Part I, step 2 note</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TTL-02</w:t>
            </w:r>
          </w:p>
        </w:tc>
        <w:tc>
          <w:tcPr>
            <w:tcW w:type="dxa" w:w="1304"/>
          </w:tcPr>
          <w:p>
            <w:pPr>
              <w:pStyle w:val="TableText"/>
            </w:pPr>
            <w:r/>
            <w:r>
              <w:t>4.11 Title defense</w:t>
            </w:r>
          </w:p>
        </w:tc>
        <w:tc>
          <w:tcPr>
            <w:tcW w:type="dxa" w:w="4195"/>
          </w:tcPr>
          <w:p>
            <w:pPr>
              <w:pStyle w:val="TableText"/>
            </w:pPr>
            <w:r/>
            <w:r>
              <w:t>The Research Coordinator nominates the panel members as recommended by the Academic Coordinator, after deliberation with the GS Research Committee.</w:t>
            </w:r>
          </w:p>
        </w:tc>
        <w:tc>
          <w:tcPr>
            <w:tcW w:type="dxa" w:w="2381"/>
          </w:tcPr>
          <w:p>
            <w:pPr>
              <w:pStyle w:val="TableText"/>
            </w:pPr>
            <w:r/>
            <w:r>
              <w:t>Handbook 2022-2023, p. 60; Research Protocol AY2024-2025, Title Defense, Part I, step 4</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TTL-03</w:t>
            </w:r>
          </w:p>
        </w:tc>
        <w:tc>
          <w:tcPr>
            <w:tcW w:type="dxa" w:w="1304"/>
          </w:tcPr>
          <w:p>
            <w:pPr>
              <w:pStyle w:val="TableText"/>
            </w:pPr>
            <w:r/>
            <w:r>
              <w:t>4.11 Title defense</w:t>
            </w:r>
          </w:p>
        </w:tc>
        <w:tc>
          <w:tcPr>
            <w:tcW w:type="dxa" w:w="4195"/>
          </w:tcPr>
          <w:p>
            <w:pPr>
              <w:pStyle w:val="TableText"/>
            </w:pPr>
            <w:r/>
            <w:r>
              <w:t>Panel for a project paper: one panel chair and two members (one content specialist and one method specialist). Thesis or bridging thesis: one chair and three members (one content specialist, one method specialist and one external panel). Dissertation: one chair and four members (two content specialists, one method specialist and one external panel). The chair and the content and method specialists are University-affiliated; the external panel is a content or industry expert who takes part from the proposal defense onwards.</w:t>
            </w:r>
          </w:p>
        </w:tc>
        <w:tc>
          <w:tcPr>
            <w:tcW w:type="dxa" w:w="2381"/>
          </w:tcPr>
          <w:p>
            <w:pPr>
              <w:pStyle w:val="TableText"/>
            </w:pPr>
            <w:r/>
            <w:r>
              <w:t>Handbook 2022-2023, p. 60; Research Protocol AY2024-2025, Title Defense, Part I, step 4</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TTL-04</w:t>
            </w:r>
          </w:p>
        </w:tc>
        <w:tc>
          <w:tcPr>
            <w:tcW w:type="dxa" w:w="1304"/>
          </w:tcPr>
          <w:p>
            <w:pPr>
              <w:pStyle w:val="TableText"/>
            </w:pPr>
            <w:r/>
            <w:r>
              <w:t>4.11 Title defense</w:t>
            </w:r>
          </w:p>
        </w:tc>
        <w:tc>
          <w:tcPr>
            <w:tcW w:type="dxa" w:w="4195"/>
          </w:tcPr>
          <w:p>
            <w:pPr>
              <w:pStyle w:val="TableText"/>
            </w:pPr>
            <w:r/>
            <w:r>
              <w:t>The panel members deliberate the three submitted titles without the presence of the student; the chair then admits the student.</w:t>
            </w:r>
          </w:p>
        </w:tc>
        <w:tc>
          <w:tcPr>
            <w:tcW w:type="dxa" w:w="2381"/>
          </w:tcPr>
          <w:p>
            <w:pPr>
              <w:pStyle w:val="TableText"/>
            </w:pPr>
            <w:r/>
            <w:r>
              <w:t>Handbook 2022-2023, p. 60; Research Protocol AY2024-2025, Title Defense, Part II</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TTL-05</w:t>
            </w:r>
          </w:p>
        </w:tc>
        <w:tc>
          <w:tcPr>
            <w:tcW w:type="dxa" w:w="1304"/>
          </w:tcPr>
          <w:p>
            <w:pPr>
              <w:pStyle w:val="TableText"/>
            </w:pPr>
            <w:r/>
            <w:r>
              <w:t>4.11 Title defense</w:t>
            </w:r>
          </w:p>
        </w:tc>
        <w:tc>
          <w:tcPr>
            <w:tcW w:type="dxa" w:w="4195"/>
          </w:tcPr>
          <w:p>
            <w:pPr>
              <w:pStyle w:val="TableText"/>
            </w:pPr>
            <w:r/>
            <w:r>
              <w:t>The panel chair may record the defense with the consent of everyone in the meeting room and furnish the student the link of the recording.</w:t>
            </w:r>
          </w:p>
        </w:tc>
        <w:tc>
          <w:tcPr>
            <w:tcW w:type="dxa" w:w="2381"/>
          </w:tcPr>
          <w:p>
            <w:pPr>
              <w:pStyle w:val="TableText"/>
            </w:pPr>
            <w:r/>
            <w:r>
              <w:t>Handbook 2022-2023, p. 60</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TTL-06</w:t>
            </w:r>
          </w:p>
        </w:tc>
        <w:tc>
          <w:tcPr>
            <w:tcW w:type="dxa" w:w="1304"/>
          </w:tcPr>
          <w:p>
            <w:pPr>
              <w:pStyle w:val="TableText"/>
            </w:pPr>
            <w:r/>
            <w:r>
              <w:t>4.11 Title defense</w:t>
            </w:r>
          </w:p>
        </w:tc>
        <w:tc>
          <w:tcPr>
            <w:tcW w:type="dxa" w:w="4195"/>
          </w:tcPr>
          <w:p>
            <w:pPr>
              <w:pStyle w:val="TableText"/>
            </w:pPr>
            <w:r/>
            <w:r>
              <w:t>The panel chair emails the accomplished Form 2 to the Research Coordinator and the student within the first working day after the defense.</w:t>
            </w:r>
          </w:p>
        </w:tc>
        <w:tc>
          <w:tcPr>
            <w:tcW w:type="dxa" w:w="2381"/>
          </w:tcPr>
          <w:p>
            <w:pPr>
              <w:pStyle w:val="TableText"/>
            </w:pPr>
            <w:r/>
            <w:r>
              <w:t>Handbook 2022-2023, p. 61; Research Protocol AY2024-2025, Title Defense, Part III, step 2</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TTL-07</w:t>
            </w:r>
          </w:p>
        </w:tc>
        <w:tc>
          <w:tcPr>
            <w:tcW w:type="dxa" w:w="1304"/>
          </w:tcPr>
          <w:p>
            <w:pPr>
              <w:pStyle w:val="TableText"/>
            </w:pPr>
            <w:r/>
            <w:r>
              <w:t>4.11 Title defense</w:t>
            </w:r>
          </w:p>
        </w:tc>
        <w:tc>
          <w:tcPr>
            <w:tcW w:type="dxa" w:w="4195"/>
          </w:tcPr>
          <w:p>
            <w:pPr>
              <w:pStyle w:val="TableText"/>
            </w:pPr>
            <w:r/>
            <w:r>
              <w:t>If the proposed titles are disapproved, the student presents a new set of three titles and follows the same protocol; the decision is reflected in Form 2.</w:t>
            </w:r>
          </w:p>
        </w:tc>
        <w:tc>
          <w:tcPr>
            <w:tcW w:type="dxa" w:w="2381"/>
          </w:tcPr>
          <w:p>
            <w:pPr>
              <w:pStyle w:val="TableText"/>
            </w:pPr>
            <w:r/>
            <w:r>
              <w:t>Handbook 2022-2023, p. 61; Research Protocol AY2024-2025, Title Defense, Part III, step 3</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TTL-08</w:t>
            </w:r>
          </w:p>
        </w:tc>
        <w:tc>
          <w:tcPr>
            <w:tcW w:type="dxa" w:w="1304"/>
          </w:tcPr>
          <w:p>
            <w:pPr>
              <w:pStyle w:val="TableText"/>
            </w:pPr>
            <w:r/>
            <w:r>
              <w:t>4.11 Title defense</w:t>
            </w:r>
          </w:p>
        </w:tc>
        <w:tc>
          <w:tcPr>
            <w:tcW w:type="dxa" w:w="4195"/>
          </w:tcPr>
          <w:p>
            <w:pPr>
              <w:pStyle w:val="TableText"/>
            </w:pPr>
            <w:r/>
            <w:r>
              <w:t>The student asks the panel about their preferred mode of payment, settles the title defense fees and emails the proof to the GS mailbox within the first working day after the defense, with the subject line LAST NAME_type of defense_receipt.</w:t>
            </w:r>
          </w:p>
        </w:tc>
        <w:tc>
          <w:tcPr>
            <w:tcW w:type="dxa" w:w="2381"/>
          </w:tcPr>
          <w:p>
            <w:pPr>
              <w:pStyle w:val="TableText"/>
            </w:pPr>
            <w:r/>
            <w:r>
              <w:t>Handbook 2022-2023, p. 61; Research Protocol AY2024-2025, Title Defense, Part III, step 4</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TTL-09</w:t>
            </w:r>
          </w:p>
        </w:tc>
        <w:tc>
          <w:tcPr>
            <w:tcW w:type="dxa" w:w="1304"/>
          </w:tcPr>
          <w:p>
            <w:pPr>
              <w:pStyle w:val="TableText"/>
            </w:pPr>
            <w:r/>
            <w:r>
              <w:t>4.11 Title defense</w:t>
            </w:r>
          </w:p>
        </w:tc>
        <w:tc>
          <w:tcPr>
            <w:tcW w:type="dxa" w:w="4195"/>
          </w:tcPr>
          <w:p>
            <w:pPr>
              <w:pStyle w:val="TableText"/>
            </w:pPr>
            <w:r/>
            <w:r>
              <w:t>Thesis or project paper writing must be finished within two years from the title or proposal defense; for the thesis the student has one year from the title defense to submit and defend a proposal. Dissertation writing must be finished within three years from the title defense, with one year to submit and defend a proposal.</w:t>
            </w:r>
          </w:p>
        </w:tc>
        <w:tc>
          <w:tcPr>
            <w:tcW w:type="dxa" w:w="2381"/>
          </w:tcPr>
          <w:p>
            <w:pPr>
              <w:pStyle w:val="TableText"/>
            </w:pPr>
            <w:r/>
            <w:r>
              <w:t>Handbook 2022-2023, p. 58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TTL-10</w:t>
            </w:r>
          </w:p>
        </w:tc>
        <w:tc>
          <w:tcPr>
            <w:tcW w:type="dxa" w:w="1304"/>
          </w:tcPr>
          <w:p>
            <w:pPr>
              <w:pStyle w:val="TableText"/>
            </w:pPr>
            <w:r/>
            <w:r>
              <w:t>4.11 Title defense</w:t>
            </w:r>
          </w:p>
        </w:tc>
        <w:tc>
          <w:tcPr>
            <w:tcW w:type="dxa" w:w="4195"/>
          </w:tcPr>
          <w:p>
            <w:pPr>
              <w:pStyle w:val="TableText"/>
            </w:pPr>
            <w:r/>
            <w:r>
              <w:t>If the approved title is still applicable, the same concept paper may be presented for re-defense; otherwise the student changes the research title or topic and goes through the title defense again.</w:t>
            </w:r>
          </w:p>
        </w:tc>
        <w:tc>
          <w:tcPr>
            <w:tcW w:type="dxa" w:w="2381"/>
          </w:tcPr>
          <w:p>
            <w:pPr>
              <w:pStyle w:val="TableText"/>
            </w:pPr>
            <w:r/>
            <w:r>
              <w:t>Handbook 2022-2023, p. 58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TTL-11</w:t>
            </w:r>
          </w:p>
        </w:tc>
        <w:tc>
          <w:tcPr>
            <w:tcW w:type="dxa" w:w="1304"/>
          </w:tcPr>
          <w:p>
            <w:pPr>
              <w:pStyle w:val="TableText"/>
            </w:pPr>
            <w:r/>
            <w:r>
              <w:t>4.11 Title defense</w:t>
            </w:r>
          </w:p>
        </w:tc>
        <w:tc>
          <w:tcPr>
            <w:tcW w:type="dxa" w:w="4195"/>
          </w:tcPr>
          <w:p>
            <w:pPr>
              <w:pStyle w:val="TableText"/>
            </w:pPr>
            <w:r/>
            <w:r>
              <w:t>GS staff check that Form 1, three concept papers and the Academic Coordinator's endorsement are present before the Research Coordinator nominates a panel. The check is for completeness only; in the platform the endorsement is refused unless Form 1 and all three papers are uploaded, and panel matching opens only after it.</w:t>
            </w:r>
          </w:p>
        </w:tc>
        <w:tc>
          <w:tcPr>
            <w:tcW w:type="dxa" w:w="2381"/>
          </w:tcPr>
          <w:p>
            <w:pPr>
              <w:pStyle w:val="TableText"/>
            </w:pPr>
            <w:r/>
            <w:r>
              <w:t>Group working notes, July 20 checklist, item 42; Group working notes, transactions list</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TTL-12</w:t>
            </w:r>
          </w:p>
        </w:tc>
        <w:tc>
          <w:tcPr>
            <w:tcW w:type="dxa" w:w="1304"/>
          </w:tcPr>
          <w:p>
            <w:pPr>
              <w:pStyle w:val="TableText"/>
            </w:pPr>
            <w:r/>
            <w:r>
              <w:t>4.11 Title defense</w:t>
            </w:r>
          </w:p>
        </w:tc>
        <w:tc>
          <w:tcPr>
            <w:tcW w:type="dxa" w:w="4195"/>
          </w:tcPr>
          <w:p>
            <w:pPr>
              <w:pStyle w:val="TableText"/>
            </w:pPr>
            <w:r/>
            <w:r>
              <w:t>The platform does not schedule a title defense, nominate a panel or approve a title by itself; panel candidates are suggested from the uploaded concept papers, faculty specialization, availability and workload, and staff may choose any active faculty member.</w:t>
            </w:r>
          </w:p>
        </w:tc>
        <w:tc>
          <w:tcPr>
            <w:tcW w:type="dxa" w:w="2381"/>
          </w:tcPr>
          <w:p>
            <w:pPr>
              <w:pStyle w:val="TableText"/>
            </w:pPr>
            <w:r/>
            <w:r>
              <w:t>Group working notes, July 20 checklist, item 44</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ADV-01</w:t>
            </w:r>
          </w:p>
        </w:tc>
        <w:tc>
          <w:tcPr>
            <w:tcW w:type="dxa" w:w="1304"/>
          </w:tcPr>
          <w:p>
            <w:pPr>
              <w:pStyle w:val="TableText"/>
            </w:pPr>
            <w:r/>
            <w:r>
              <w:t>4.12 Adviser</w:t>
            </w:r>
          </w:p>
        </w:tc>
        <w:tc>
          <w:tcPr>
            <w:tcW w:type="dxa" w:w="4195"/>
          </w:tcPr>
          <w:p>
            <w:pPr>
              <w:pStyle w:val="TableText"/>
            </w:pPr>
            <w:r/>
            <w:r>
              <w:t>The research adviser must be affiliated with the University and the degree program must be aligned with the student's program.</w:t>
            </w:r>
          </w:p>
        </w:tc>
        <w:tc>
          <w:tcPr>
            <w:tcW w:type="dxa" w:w="2381"/>
          </w:tcPr>
          <w:p>
            <w:pPr>
              <w:pStyle w:val="TableText"/>
            </w:pPr>
            <w:r/>
            <w:r>
              <w:t>Handbook 2022-2023, p. 61; Research Protocol AY2024-2025, Designation of the Research Adviser, Part I, step 1</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ADV-02</w:t>
            </w:r>
          </w:p>
        </w:tc>
        <w:tc>
          <w:tcPr>
            <w:tcW w:type="dxa" w:w="1304"/>
          </w:tcPr>
          <w:p>
            <w:pPr>
              <w:pStyle w:val="TableText"/>
            </w:pPr>
            <w:r/>
            <w:r>
              <w:t>4.12 Adviser</w:t>
            </w:r>
          </w:p>
        </w:tc>
        <w:tc>
          <w:tcPr>
            <w:tcW w:type="dxa" w:w="4195"/>
          </w:tcPr>
          <w:p>
            <w:pPr>
              <w:pStyle w:val="TableText"/>
            </w:pPr>
            <w:r/>
            <w:r>
              <w:t>Protocol: the research adviser must have a PhD degree for PhD students and at least PhD units for MA students (CHED CMO 15), and should have a maximum of five active advisees for the current academic year.</w:t>
            </w:r>
          </w:p>
        </w:tc>
        <w:tc>
          <w:tcPr>
            <w:tcW w:type="dxa" w:w="2381"/>
          </w:tcPr>
          <w:p>
            <w:pPr>
              <w:pStyle w:val="TableText"/>
            </w:pPr>
            <w:r/>
            <w:r>
              <w:t>Research Protocol AY2024-2025, Designation of the Research Adviser, Part I, step 1 note</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ADV-03</w:t>
            </w:r>
          </w:p>
        </w:tc>
        <w:tc>
          <w:tcPr>
            <w:tcW w:type="dxa" w:w="1304"/>
          </w:tcPr>
          <w:p>
            <w:pPr>
              <w:pStyle w:val="TableText"/>
            </w:pPr>
            <w:r/>
            <w:r>
              <w:t>4.12 Adviser</w:t>
            </w:r>
          </w:p>
        </w:tc>
        <w:tc>
          <w:tcPr>
            <w:tcW w:type="dxa" w:w="4195"/>
          </w:tcPr>
          <w:p>
            <w:pPr>
              <w:pStyle w:val="TableText"/>
            </w:pPr>
            <w:r/>
            <w:r>
              <w:t>Handbook: the adviser shall be a faculty of the Graduate School and a holder of a doctoral degree aligned with the discipline, with at least one publication in a refereed journal or publicly recognized creative or technology outputs (CMO 15 s. 2019).</w:t>
            </w:r>
          </w:p>
        </w:tc>
        <w:tc>
          <w:tcPr>
            <w:tcW w:type="dxa" w:w="2381"/>
          </w:tcPr>
          <w:p>
            <w:pPr>
              <w:pStyle w:val="TableText"/>
            </w:pPr>
            <w:r/>
            <w:r>
              <w:t>Handbook 2022-2023, p. 58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ADV-04</w:t>
            </w:r>
          </w:p>
        </w:tc>
        <w:tc>
          <w:tcPr>
            <w:tcW w:type="dxa" w:w="1304"/>
          </w:tcPr>
          <w:p>
            <w:pPr>
              <w:pStyle w:val="TableText"/>
            </w:pPr>
            <w:r/>
            <w:r>
              <w:t>4.12 Adviser</w:t>
            </w:r>
          </w:p>
        </w:tc>
        <w:tc>
          <w:tcPr>
            <w:tcW w:type="dxa" w:w="4195"/>
          </w:tcPr>
          <w:p>
            <w:pPr>
              <w:pStyle w:val="TableText"/>
            </w:pPr>
            <w:r/>
            <w:r>
              <w:t>In the exigency of service a faculty member may have more than five advisees with the approval of the Dean.</w:t>
            </w:r>
          </w:p>
        </w:tc>
        <w:tc>
          <w:tcPr>
            <w:tcW w:type="dxa" w:w="2381"/>
          </w:tcPr>
          <w:p>
            <w:pPr>
              <w:pStyle w:val="TableText"/>
            </w:pPr>
            <w:r/>
            <w:r>
              <w:t>Handbook 2022-2023, p. 58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ADV-05</w:t>
            </w:r>
          </w:p>
        </w:tc>
        <w:tc>
          <w:tcPr>
            <w:tcW w:type="dxa" w:w="1304"/>
          </w:tcPr>
          <w:p>
            <w:pPr>
              <w:pStyle w:val="TableText"/>
            </w:pPr>
            <w:r/>
            <w:r>
              <w:t>4.12 Adviser</w:t>
            </w:r>
          </w:p>
        </w:tc>
        <w:tc>
          <w:tcPr>
            <w:tcW w:type="dxa" w:w="4195"/>
          </w:tcPr>
          <w:p>
            <w:pPr>
              <w:pStyle w:val="TableText"/>
            </w:pPr>
            <w:r/>
            <w:r>
              <w:t>The student may express a preference, but the Dean, the Associate Dean and the Research Coordinator make the final decision based on the degree, expertise, research work, number of advisees (maximum five per semester) and total workload of the faculty member.</w:t>
            </w:r>
          </w:p>
        </w:tc>
        <w:tc>
          <w:tcPr>
            <w:tcW w:type="dxa" w:w="2381"/>
          </w:tcPr>
          <w:p>
            <w:pPr>
              <w:pStyle w:val="TableText"/>
            </w:pPr>
            <w:r/>
            <w:r>
              <w:t>Handbook 2022-2023, p. 59</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ADV-06</w:t>
            </w:r>
          </w:p>
        </w:tc>
        <w:tc>
          <w:tcPr>
            <w:tcW w:type="dxa" w:w="1304"/>
          </w:tcPr>
          <w:p>
            <w:pPr>
              <w:pStyle w:val="TableText"/>
            </w:pPr>
            <w:r/>
            <w:r>
              <w:t>4.12 Adviser</w:t>
            </w:r>
          </w:p>
        </w:tc>
        <w:tc>
          <w:tcPr>
            <w:tcW w:type="dxa" w:w="4195"/>
          </w:tcPr>
          <w:p>
            <w:pPr>
              <w:pStyle w:val="TableText"/>
            </w:pPr>
            <w:r/>
            <w:r>
              <w:t>The choice of adviser gives primary importance to the student's choice with the approval of the program adviser and the Dean; the Dean appoints the adviser on the basis of expertise in the student's topic following the Research Protocol.</w:t>
            </w:r>
          </w:p>
        </w:tc>
        <w:tc>
          <w:tcPr>
            <w:tcW w:type="dxa" w:w="2381"/>
          </w:tcPr>
          <w:p>
            <w:pPr>
              <w:pStyle w:val="TableText"/>
            </w:pPr>
            <w:r/>
            <w:r>
              <w:t>Handbook 2022-2023, p. 58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ADV-07</w:t>
            </w:r>
          </w:p>
        </w:tc>
        <w:tc>
          <w:tcPr>
            <w:tcW w:type="dxa" w:w="1304"/>
          </w:tcPr>
          <w:p>
            <w:pPr>
              <w:pStyle w:val="TableText"/>
            </w:pPr>
            <w:r/>
            <w:r>
              <w:t>4.12 Adviser</w:t>
            </w:r>
          </w:p>
        </w:tc>
        <w:tc>
          <w:tcPr>
            <w:tcW w:type="dxa" w:w="4195"/>
          </w:tcPr>
          <w:p>
            <w:pPr>
              <w:pStyle w:val="TableText"/>
            </w:pPr>
            <w:r/>
            <w:r>
              <w:t>Faculty of other universities may serve as adviser in some circumstances if they are adjunct faculty of the Graduate School.</w:t>
            </w:r>
          </w:p>
        </w:tc>
        <w:tc>
          <w:tcPr>
            <w:tcW w:type="dxa" w:w="2381"/>
          </w:tcPr>
          <w:p>
            <w:pPr>
              <w:pStyle w:val="TableText"/>
            </w:pPr>
            <w:r/>
            <w:r>
              <w:t>Handbook 2022-2023, p. 58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ADV-08</w:t>
            </w:r>
          </w:p>
        </w:tc>
        <w:tc>
          <w:tcPr>
            <w:tcW w:type="dxa" w:w="1304"/>
          </w:tcPr>
          <w:p>
            <w:pPr>
              <w:pStyle w:val="TableText"/>
            </w:pPr>
            <w:r/>
            <w:r>
              <w:t>4.12 Adviser</w:t>
            </w:r>
          </w:p>
        </w:tc>
        <w:tc>
          <w:tcPr>
            <w:tcW w:type="dxa" w:w="4195"/>
          </w:tcPr>
          <w:p>
            <w:pPr>
              <w:pStyle w:val="TableText"/>
            </w:pPr>
            <w:r/>
            <w:r>
              <w:t>The assignment of an adviser may be done while the student is still taking academic courses.</w:t>
            </w:r>
          </w:p>
        </w:tc>
        <w:tc>
          <w:tcPr>
            <w:tcW w:type="dxa" w:w="2381"/>
          </w:tcPr>
          <w:p>
            <w:pPr>
              <w:pStyle w:val="TableText"/>
            </w:pPr>
            <w:r/>
            <w:r>
              <w:t>Handbook 2022-2023, p. 58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ADV-09</w:t>
            </w:r>
          </w:p>
        </w:tc>
        <w:tc>
          <w:tcPr>
            <w:tcW w:type="dxa" w:w="1304"/>
          </w:tcPr>
          <w:p>
            <w:pPr>
              <w:pStyle w:val="TableText"/>
            </w:pPr>
            <w:r/>
            <w:r>
              <w:t>4.12 Adviser</w:t>
            </w:r>
          </w:p>
        </w:tc>
        <w:tc>
          <w:tcPr>
            <w:tcW w:type="dxa" w:w="4195"/>
          </w:tcPr>
          <w:p>
            <w:pPr>
              <w:pStyle w:val="TableText"/>
            </w:pPr>
            <w:r/>
            <w:r>
              <w:t>Form 3 is emailed by the student to the Academic Coordinator, who notes it to the Research Coordinator; the Dean's e-signature is not required at that point; the Research Coordinator emails Form 3 to the Dean; the Research Coordinator, the Associate Dean and the Dean sign; the Research Coordinator emails Form 3.1 to the student and adviser, who email the accomplished form back.</w:t>
            </w:r>
          </w:p>
        </w:tc>
        <w:tc>
          <w:tcPr>
            <w:tcW w:type="dxa" w:w="2381"/>
          </w:tcPr>
          <w:p>
            <w:pPr>
              <w:pStyle w:val="TableText"/>
            </w:pPr>
            <w:r/>
            <w:r>
              <w:t>Handbook 2022-2023, p. 61; Research Protocol AY2024-2025, Designation of the Research Adviser, Part I, steps 2-5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ADV-10</w:t>
            </w:r>
          </w:p>
        </w:tc>
        <w:tc>
          <w:tcPr>
            <w:tcW w:type="dxa" w:w="1304"/>
          </w:tcPr>
          <w:p>
            <w:pPr>
              <w:pStyle w:val="TableText"/>
            </w:pPr>
            <w:r/>
            <w:r>
              <w:t>4.12 Adviser</w:t>
            </w:r>
          </w:p>
        </w:tc>
        <w:tc>
          <w:tcPr>
            <w:tcW w:type="dxa" w:w="4195"/>
          </w:tcPr>
          <w:p>
            <w:pPr>
              <w:pStyle w:val="TableText"/>
            </w:pPr>
            <w:r/>
            <w:r>
              <w:t>The advisee and adviser accomplish Form 3.2 and Form 3.3; the student emails them to the Research Coordinator within five days of receipt of Form 3.1.</w:t>
            </w:r>
          </w:p>
        </w:tc>
        <w:tc>
          <w:tcPr>
            <w:tcW w:type="dxa" w:w="2381"/>
          </w:tcPr>
          <w:p>
            <w:pPr>
              <w:pStyle w:val="TableText"/>
            </w:pPr>
            <w:r/>
            <w:r>
              <w:t>Handbook 2022-2023, pp. 61-62; Research Protocol AY2024-2025, Designation of the Research Adviser, Part II</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ADV-11</w:t>
            </w:r>
          </w:p>
        </w:tc>
        <w:tc>
          <w:tcPr>
            <w:tcW w:type="dxa" w:w="1304"/>
          </w:tcPr>
          <w:p>
            <w:pPr>
              <w:pStyle w:val="TableText"/>
            </w:pPr>
            <w:r/>
            <w:r>
              <w:t>4.12 Adviser</w:t>
            </w:r>
          </w:p>
        </w:tc>
        <w:tc>
          <w:tcPr>
            <w:tcW w:type="dxa" w:w="4195"/>
          </w:tcPr>
          <w:p>
            <w:pPr>
              <w:pStyle w:val="TableText"/>
            </w:pPr>
            <w:r/>
            <w:r>
              <w:t>The adviser is bound only to advising and shall not be selected as editor of the student or to any other appointment related to the conduct of the study.</w:t>
            </w:r>
          </w:p>
        </w:tc>
        <w:tc>
          <w:tcPr>
            <w:tcW w:type="dxa" w:w="2381"/>
          </w:tcPr>
          <w:p>
            <w:pPr>
              <w:pStyle w:val="TableText"/>
            </w:pPr>
            <w:r/>
            <w:r>
              <w:t>Handbook 2022-2023, p. 59</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ADV-12</w:t>
            </w:r>
          </w:p>
        </w:tc>
        <w:tc>
          <w:tcPr>
            <w:tcW w:type="dxa" w:w="1304"/>
          </w:tcPr>
          <w:p>
            <w:pPr>
              <w:pStyle w:val="TableText"/>
            </w:pPr>
            <w:r/>
            <w:r>
              <w:t>4.12 Adviser</w:t>
            </w:r>
          </w:p>
        </w:tc>
        <w:tc>
          <w:tcPr>
            <w:tcW w:type="dxa" w:w="4195"/>
          </w:tcPr>
          <w:p>
            <w:pPr>
              <w:pStyle w:val="TableText"/>
            </w:pPr>
            <w:r/>
            <w:r>
              <w:t>The adviser monitors the research according to the timetable in Form 3.2, reviews submitted proposals, questionnaires and chapters, gives technical and moral guidance, conducts a mock defense when necessary, attends the defense of the advisee, attends orientations set by the Graduate School, and adheres to the Research Protocol.</w:t>
            </w:r>
          </w:p>
        </w:tc>
        <w:tc>
          <w:tcPr>
            <w:tcW w:type="dxa" w:w="2381"/>
          </w:tcPr>
          <w:p>
            <w:pPr>
              <w:pStyle w:val="TableText"/>
            </w:pPr>
            <w:r/>
            <w:r>
              <w:t>Handbook 2022-2023, p. 59</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ADV-13</w:t>
            </w:r>
          </w:p>
        </w:tc>
        <w:tc>
          <w:tcPr>
            <w:tcW w:type="dxa" w:w="1304"/>
          </w:tcPr>
          <w:p>
            <w:pPr>
              <w:pStyle w:val="TableText"/>
            </w:pPr>
            <w:r/>
            <w:r>
              <w:t>4.12 Adviser</w:t>
            </w:r>
          </w:p>
        </w:tc>
        <w:tc>
          <w:tcPr>
            <w:tcW w:type="dxa" w:w="4195"/>
          </w:tcPr>
          <w:p>
            <w:pPr>
              <w:pStyle w:val="TableText"/>
            </w:pPr>
            <w:r/>
            <w:r>
              <w:t>A student may make only one request to change the title of the study, before the proposal defense application: Form 3.4 and the new concept paper go to the adviser, who endorses the request to the panel; the panel deliberates and the chair emails the decision.</w:t>
            </w:r>
          </w:p>
        </w:tc>
        <w:tc>
          <w:tcPr>
            <w:tcW w:type="dxa" w:w="2381"/>
          </w:tcPr>
          <w:p>
            <w:pPr>
              <w:pStyle w:val="TableText"/>
            </w:pPr>
            <w:r/>
            <w:r>
              <w:t>Handbook 2022-2023, p. 62; Research Protocol AY2024-2025, Change of Title of the Study</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ADV-14</w:t>
            </w:r>
          </w:p>
        </w:tc>
        <w:tc>
          <w:tcPr>
            <w:tcW w:type="dxa" w:w="1304"/>
          </w:tcPr>
          <w:p>
            <w:pPr>
              <w:pStyle w:val="TableText"/>
            </w:pPr>
            <w:r/>
            <w:r>
              <w:t>4.12 Adviser</w:t>
            </w:r>
          </w:p>
        </w:tc>
        <w:tc>
          <w:tcPr>
            <w:tcW w:type="dxa" w:w="4195"/>
          </w:tcPr>
          <w:p>
            <w:pPr>
              <w:pStyle w:val="TableText"/>
            </w:pPr>
            <w:r/>
            <w:r>
              <w:t>A student may make only one request to change the research adviser, before the proposal defense, for justifiable reasons: Form 3.1.1 signed by the current and new adviser, deliberated by the Research Coordinator, Associate Dean and Dean; then a new Form 3.1.</w:t>
            </w:r>
          </w:p>
        </w:tc>
        <w:tc>
          <w:tcPr>
            <w:tcW w:type="dxa" w:w="2381"/>
          </w:tcPr>
          <w:p>
            <w:pPr>
              <w:pStyle w:val="TableText"/>
            </w:pPr>
            <w:r/>
            <w:r>
              <w:t>Handbook 2022-2023, p. 62; Research Protocol AY2024-2025, Request for Change of Research Adviser</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ADV-15</w:t>
            </w:r>
          </w:p>
        </w:tc>
        <w:tc>
          <w:tcPr>
            <w:tcW w:type="dxa" w:w="1304"/>
          </w:tcPr>
          <w:p>
            <w:pPr>
              <w:pStyle w:val="TableText"/>
            </w:pPr>
            <w:r/>
            <w:r>
              <w:t>4.12 Adviser</w:t>
            </w:r>
          </w:p>
        </w:tc>
        <w:tc>
          <w:tcPr>
            <w:tcW w:type="dxa" w:w="4195"/>
          </w:tcPr>
          <w:p>
            <w:pPr>
              <w:pStyle w:val="TableText"/>
            </w:pPr>
            <w:r/>
            <w:r>
              <w:t>An adviser designated before the effectivity of his or her retirement may continue to serve until the final defense.</w:t>
            </w:r>
          </w:p>
        </w:tc>
        <w:tc>
          <w:tcPr>
            <w:tcW w:type="dxa" w:w="2381"/>
          </w:tcPr>
          <w:p>
            <w:pPr>
              <w:pStyle w:val="TableText"/>
            </w:pPr>
            <w:r/>
            <w:r>
              <w:t>Handbook 2022-2023, p. 58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ADV-16</w:t>
            </w:r>
          </w:p>
        </w:tc>
        <w:tc>
          <w:tcPr>
            <w:tcW w:type="dxa" w:w="1304"/>
          </w:tcPr>
          <w:p>
            <w:pPr>
              <w:pStyle w:val="TableText"/>
            </w:pPr>
            <w:r/>
            <w:r>
              <w:t>4.12 Adviser</w:t>
            </w:r>
          </w:p>
        </w:tc>
        <w:tc>
          <w:tcPr>
            <w:tcW w:type="dxa" w:w="4195"/>
          </w:tcPr>
          <w:p>
            <w:pPr>
              <w:pStyle w:val="TableText"/>
            </w:pPr>
            <w:r/>
            <w:r>
              <w:t>The student needs to propose three faculty as adviser options.</w:t>
            </w:r>
          </w:p>
        </w:tc>
        <w:tc>
          <w:tcPr>
            <w:tcW w:type="dxa" w:w="2381"/>
          </w:tcPr>
          <w:p>
            <w:pPr>
              <w:pStyle w:val="TableText"/>
            </w:pPr>
            <w:r/>
            <w:r>
              <w:t>Consultation 21 July 2026, Associate Dean's description</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ADV-17</w:t>
            </w:r>
          </w:p>
        </w:tc>
        <w:tc>
          <w:tcPr>
            <w:tcW w:type="dxa" w:w="1304"/>
          </w:tcPr>
          <w:p>
            <w:pPr>
              <w:pStyle w:val="TableText"/>
            </w:pPr>
            <w:r/>
            <w:r>
              <w:t>4.12 Adviser</w:t>
            </w:r>
          </w:p>
        </w:tc>
        <w:tc>
          <w:tcPr>
            <w:tcW w:type="dxa" w:w="4195"/>
          </w:tcPr>
          <w:p>
            <w:pPr>
              <w:pStyle w:val="TableText"/>
            </w:pPr>
            <w:r/>
            <w:r>
              <w:t>Each nominated faculty member may accept or decline the nomination (the Associate Dean suggested that the platform should offer this; it does not yet); the student and the Graduate School then choose among those who accept.</w:t>
            </w:r>
          </w:p>
        </w:tc>
        <w:tc>
          <w:tcPr>
            <w:tcW w:type="dxa" w:w="2381"/>
          </w:tcPr>
          <w:p>
            <w:pPr>
              <w:pStyle w:val="TableText"/>
            </w:pPr>
            <w:r/>
            <w:r>
              <w:t>Consultation 21 July 2026, Associate Dean's suggestion</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ADV-18</w:t>
            </w:r>
          </w:p>
        </w:tc>
        <w:tc>
          <w:tcPr>
            <w:tcW w:type="dxa" w:w="1304"/>
          </w:tcPr>
          <w:p>
            <w:pPr>
              <w:pStyle w:val="TableText"/>
            </w:pPr>
            <w:r/>
            <w:r>
              <w:t>4.12 Adviser</w:t>
            </w:r>
          </w:p>
        </w:tc>
        <w:tc>
          <w:tcPr>
            <w:tcW w:type="dxa" w:w="4195"/>
          </w:tcPr>
          <w:p>
            <w:pPr>
              <w:pStyle w:val="TableText"/>
            </w:pPr>
            <w:r/>
            <w:r>
              <w:t>Adviser-dependent steps (adviser signature, endorsement, document review, availability in scheduling) cannot be completed until an adviser is designated.</w:t>
            </w:r>
          </w:p>
        </w:tc>
        <w:tc>
          <w:tcPr>
            <w:tcW w:type="dxa" w:w="2381"/>
          </w:tcPr>
          <w:p>
            <w:pPr>
              <w:pStyle w:val="TableText"/>
            </w:pPr>
            <w:r/>
            <w:r>
              <w:t>Group working notes, July 20 checklist, item 43</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PRP-01</w:t>
            </w:r>
          </w:p>
        </w:tc>
        <w:tc>
          <w:tcPr>
            <w:tcW w:type="dxa" w:w="1304"/>
          </w:tcPr>
          <w:p>
            <w:pPr>
              <w:pStyle w:val="TableText"/>
            </w:pPr>
            <w:r/>
            <w:r>
              <w:t>4.13 Proposal defense</w:t>
            </w:r>
          </w:p>
        </w:tc>
        <w:tc>
          <w:tcPr>
            <w:tcW w:type="dxa" w:w="4195"/>
          </w:tcPr>
          <w:p>
            <w:pPr>
              <w:pStyle w:val="TableText"/>
            </w:pPr>
            <w:r/>
            <w:r>
              <w:t>Before the proposal defense the student must have consulted a statistician for a quantitative study, with Form 4.1 accomplished by the statistician. Form 4.1 is not required for qualitative studies.</w:t>
            </w:r>
          </w:p>
        </w:tc>
        <w:tc>
          <w:tcPr>
            <w:tcW w:type="dxa" w:w="2381"/>
          </w:tcPr>
          <w:p>
            <w:pPr>
              <w:pStyle w:val="TableText"/>
            </w:pPr>
            <w:r/>
            <w:r>
              <w:t>Handbook 2022-2023, p. 63; Research Protocol AY2024-2025, Proposal Defense, Part I (statistical consultation)</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PRP-02</w:t>
            </w:r>
          </w:p>
        </w:tc>
        <w:tc>
          <w:tcPr>
            <w:tcW w:type="dxa" w:w="1304"/>
          </w:tcPr>
          <w:p>
            <w:pPr>
              <w:pStyle w:val="TableText"/>
            </w:pPr>
            <w:r/>
            <w:r>
              <w:t>4.13 Proposal defense</w:t>
            </w:r>
          </w:p>
        </w:tc>
        <w:tc>
          <w:tcPr>
            <w:tcW w:type="dxa" w:w="4195"/>
          </w:tcPr>
          <w:p>
            <w:pPr>
              <w:pStyle w:val="TableText"/>
            </w:pPr>
            <w:r/>
            <w:r>
              <w:t>The research adviser accomplishes Form 4 with e-signature once the paper complies with the research paper guidelines set by the Graduate School Office; this must be done at least two weeks before the date of the defense.</w:t>
            </w:r>
          </w:p>
        </w:tc>
        <w:tc>
          <w:tcPr>
            <w:tcW w:type="dxa" w:w="2381"/>
          </w:tcPr>
          <w:p>
            <w:pPr>
              <w:pStyle w:val="TableText"/>
            </w:pPr>
            <w:r/>
            <w:r>
              <w:t>Handbook 2022-2023, p. 63; Research Protocol AY2024-2025, Proposal Defense, Part I (Form 4 endorsement and note)</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PRP-03</w:t>
            </w:r>
          </w:p>
        </w:tc>
        <w:tc>
          <w:tcPr>
            <w:tcW w:type="dxa" w:w="1304"/>
          </w:tcPr>
          <w:p>
            <w:pPr>
              <w:pStyle w:val="TableText"/>
            </w:pPr>
            <w:r/>
            <w:r>
              <w:t>4.13 Proposal defense</w:t>
            </w:r>
          </w:p>
        </w:tc>
        <w:tc>
          <w:tcPr>
            <w:tcW w:type="dxa" w:w="4195"/>
          </w:tcPr>
          <w:p>
            <w:pPr>
              <w:pStyle w:val="TableText"/>
            </w:pPr>
            <w:r/>
            <w:r>
              <w:t>The panel members are given two weeks to review the paper before the scheduled proposal defense.</w:t>
            </w:r>
          </w:p>
        </w:tc>
        <w:tc>
          <w:tcPr>
            <w:tcW w:type="dxa" w:w="2381"/>
          </w:tcPr>
          <w:p>
            <w:pPr>
              <w:pStyle w:val="TableText"/>
            </w:pPr>
            <w:r/>
            <w:r>
              <w:t>Handbook 2022-2023, p. 63; Research Protocol AY2024-2025, Proposal Defense, Part I (panel review period)</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PRP-04</w:t>
            </w:r>
          </w:p>
        </w:tc>
        <w:tc>
          <w:tcPr>
            <w:tcW w:type="dxa" w:w="1304"/>
          </w:tcPr>
          <w:p>
            <w:pPr>
              <w:pStyle w:val="TableText"/>
            </w:pPr>
            <w:r/>
            <w:r>
              <w:t>4.13 Proposal defense</w:t>
            </w:r>
          </w:p>
        </w:tc>
        <w:tc>
          <w:tcPr>
            <w:tcW w:type="dxa" w:w="4195"/>
          </w:tcPr>
          <w:p>
            <w:pPr>
              <w:pStyle w:val="TableText"/>
            </w:pPr>
            <w:r/>
            <w:r>
              <w:t>The adviser's recommendation of an external panel is subject to the approval of the GS Research Committee (Dean, Associate Dean, Academic Coordinator, Research Coordinator) according to the Protocol, and to the approval of the GS office according to the Handbook.</w:t>
            </w:r>
          </w:p>
        </w:tc>
        <w:tc>
          <w:tcPr>
            <w:tcW w:type="dxa" w:w="2381"/>
          </w:tcPr>
          <w:p>
            <w:pPr>
              <w:pStyle w:val="TableText"/>
            </w:pPr>
            <w:r/>
            <w:r>
              <w:t>Handbook 2022-2023, p. 63; Research Protocol AY2024-2025, Proposal Defense, Part I (external panel recommendation)</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PRP-05</w:t>
            </w:r>
          </w:p>
        </w:tc>
        <w:tc>
          <w:tcPr>
            <w:tcW w:type="dxa" w:w="1304"/>
          </w:tcPr>
          <w:p>
            <w:pPr>
              <w:pStyle w:val="TableText"/>
            </w:pPr>
            <w:r/>
            <w:r>
              <w:t>4.13 Proposal defense</w:t>
            </w:r>
          </w:p>
        </w:tc>
        <w:tc>
          <w:tcPr>
            <w:tcW w:type="dxa" w:w="4195"/>
          </w:tcPr>
          <w:p>
            <w:pPr>
              <w:pStyle w:val="TableText"/>
            </w:pPr>
            <w:r/>
            <w:r>
              <w:t>For co-authorship, the student must have the major part and contribute at least 80% during the conduct of the study and must adhere to the contribution of work in Form 4.2; co-authorship or study grant agreements follow the institutional guidelines of the Center for Research and Engagement.</w:t>
            </w:r>
          </w:p>
        </w:tc>
        <w:tc>
          <w:tcPr>
            <w:tcW w:type="dxa" w:w="2381"/>
          </w:tcPr>
          <w:p>
            <w:pPr>
              <w:pStyle w:val="TableText"/>
            </w:pPr>
            <w:r/>
            <w:r>
              <w:t>Handbook 2022-2023, p. 64; Research Protocol AY2024-2025, Proposal Defense, Part II (co-authorship note)</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PRP-06</w:t>
            </w:r>
          </w:p>
        </w:tc>
        <w:tc>
          <w:tcPr>
            <w:tcW w:type="dxa" w:w="1304"/>
          </w:tcPr>
          <w:p>
            <w:pPr>
              <w:pStyle w:val="TableText"/>
            </w:pPr>
            <w:r/>
            <w:r>
              <w:t>4.13 Proposal defense</w:t>
            </w:r>
          </w:p>
        </w:tc>
        <w:tc>
          <w:tcPr>
            <w:tcW w:type="dxa" w:w="4195"/>
          </w:tcPr>
          <w:p>
            <w:pPr>
              <w:pStyle w:val="TableText"/>
            </w:pPr>
            <w:r/>
            <w:r>
              <w:t>The panel deliberates the paper first without the student and the adviser; if major revisions are recommended the student is advised to do a re-defense following the same protocol, reflected in Form 5.</w:t>
            </w:r>
          </w:p>
        </w:tc>
        <w:tc>
          <w:tcPr>
            <w:tcW w:type="dxa" w:w="2381"/>
          </w:tcPr>
          <w:p>
            <w:pPr>
              <w:pStyle w:val="TableText"/>
            </w:pPr>
            <w:r/>
            <w:r>
              <w:t>Handbook 2022-2023, p. 64; Research Protocol AY2024-2025, Proposal Defense, Part II</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PRP-07</w:t>
            </w:r>
          </w:p>
        </w:tc>
        <w:tc>
          <w:tcPr>
            <w:tcW w:type="dxa" w:w="1304"/>
          </w:tcPr>
          <w:p>
            <w:pPr>
              <w:pStyle w:val="TableText"/>
            </w:pPr>
            <w:r/>
            <w:r>
              <w:t>4.13 Proposal defense</w:t>
            </w:r>
          </w:p>
        </w:tc>
        <w:tc>
          <w:tcPr>
            <w:tcW w:type="dxa" w:w="4195"/>
          </w:tcPr>
          <w:p>
            <w:pPr>
              <w:pStyle w:val="TableText"/>
            </w:pPr>
            <w:r/>
            <w:r>
              <w:t>The panel chair emails the consolidated Form 5 to the student, the adviser and the Research Coordinator within the first working day after the defense.</w:t>
            </w:r>
          </w:p>
        </w:tc>
        <w:tc>
          <w:tcPr>
            <w:tcW w:type="dxa" w:w="2381"/>
          </w:tcPr>
          <w:p>
            <w:pPr>
              <w:pStyle w:val="TableText"/>
            </w:pPr>
            <w:r/>
            <w:r>
              <w:t>Handbook 2022-2023, p. 64; Research Protocol AY2024-2025, Proposal Defense, Part III (consolidated Form 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PRP-08</w:t>
            </w:r>
          </w:p>
        </w:tc>
        <w:tc>
          <w:tcPr>
            <w:tcW w:type="dxa" w:w="1304"/>
          </w:tcPr>
          <w:p>
            <w:pPr>
              <w:pStyle w:val="TableText"/>
            </w:pPr>
            <w:r/>
            <w:r>
              <w:t>4.13 Proposal defense</w:t>
            </w:r>
          </w:p>
        </w:tc>
        <w:tc>
          <w:tcPr>
            <w:tcW w:type="dxa" w:w="4195"/>
          </w:tcPr>
          <w:p>
            <w:pPr>
              <w:pStyle w:val="TableText"/>
            </w:pPr>
            <w:r/>
            <w:r>
              <w:t>The application for ethics review (Form 5.2 with the revised manuscript and Form 5.1) is made within one month after the proposal defense.</w:t>
            </w:r>
          </w:p>
        </w:tc>
        <w:tc>
          <w:tcPr>
            <w:tcW w:type="dxa" w:w="2381"/>
          </w:tcPr>
          <w:p>
            <w:pPr>
              <w:pStyle w:val="TableText"/>
            </w:pPr>
            <w:r/>
            <w:r>
              <w:t>Handbook 2022-2023, p. 65; Research Protocol AY2024-2025, Proposal Defense, Part III (ethics review note)</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PRP-09</w:t>
            </w:r>
          </w:p>
        </w:tc>
        <w:tc>
          <w:tcPr>
            <w:tcW w:type="dxa" w:w="1304"/>
          </w:tcPr>
          <w:p>
            <w:pPr>
              <w:pStyle w:val="TableText"/>
            </w:pPr>
            <w:r/>
            <w:r>
              <w:t>4.13 Proposal defense</w:t>
            </w:r>
          </w:p>
        </w:tc>
        <w:tc>
          <w:tcPr>
            <w:tcW w:type="dxa" w:w="4195"/>
          </w:tcPr>
          <w:p>
            <w:pPr>
              <w:pStyle w:val="TableText"/>
            </w:pPr>
            <w:r/>
            <w:r>
              <w:t>The student settles payment to the preferred method of the panel members and emails the proof to the GS mailbox within the first working day after the defense.</w:t>
            </w:r>
          </w:p>
        </w:tc>
        <w:tc>
          <w:tcPr>
            <w:tcW w:type="dxa" w:w="2381"/>
          </w:tcPr>
          <w:p>
            <w:pPr>
              <w:pStyle w:val="TableText"/>
            </w:pPr>
            <w:r/>
            <w:r>
              <w:t>Handbook 2022-2023, p. 65; Research Protocol AY2024-2025, Proposal Defense, Part III (payment)</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PRP-10</w:t>
            </w:r>
          </w:p>
        </w:tc>
        <w:tc>
          <w:tcPr>
            <w:tcW w:type="dxa" w:w="1304"/>
          </w:tcPr>
          <w:p>
            <w:pPr>
              <w:pStyle w:val="TableText"/>
            </w:pPr>
            <w:r/>
            <w:r>
              <w:t>4.13 Proposal defense</w:t>
            </w:r>
          </w:p>
        </w:tc>
        <w:tc>
          <w:tcPr>
            <w:tcW w:type="dxa" w:w="4195"/>
          </w:tcPr>
          <w:p>
            <w:pPr>
              <w:pStyle w:val="TableText"/>
            </w:pPr>
            <w:r/>
            <w:r>
              <w:t>A student who has used a change of title or a change of adviser must have done so before the proposal defense application (ADV-13, ADV-14).</w:t>
            </w:r>
          </w:p>
        </w:tc>
        <w:tc>
          <w:tcPr>
            <w:tcW w:type="dxa" w:w="2381"/>
          </w:tcPr>
          <w:p>
            <w:pPr>
              <w:pStyle w:val="TableText"/>
            </w:pPr>
            <w:r/>
            <w:r>
              <w:t>Handbook 2022-2023, p. 62</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PRP-11</w:t>
            </w:r>
          </w:p>
        </w:tc>
        <w:tc>
          <w:tcPr>
            <w:tcW w:type="dxa" w:w="1304"/>
          </w:tcPr>
          <w:p>
            <w:pPr>
              <w:pStyle w:val="TableText"/>
            </w:pPr>
            <w:r/>
            <w:r>
              <w:t>4.13 Proposal defense</w:t>
            </w:r>
          </w:p>
        </w:tc>
        <w:tc>
          <w:tcPr>
            <w:tcW w:type="dxa" w:w="4195"/>
          </w:tcPr>
          <w:p>
            <w:pPr>
              <w:pStyle w:val="TableText"/>
            </w:pPr>
            <w:r/>
            <w:r>
              <w:t>Ethics clearance is needed before the closed-door final defense: the adviser emails Form 4, the Ethics Clearance and the manuscript to the Research Coordinator.</w:t>
            </w:r>
          </w:p>
        </w:tc>
        <w:tc>
          <w:tcPr>
            <w:tcW w:type="dxa" w:w="2381"/>
          </w:tcPr>
          <w:p>
            <w:pPr>
              <w:pStyle w:val="TableText"/>
            </w:pPr>
            <w:r/>
            <w:r>
              <w:t>Handbook 2022-2023, p. 65; Research Protocol AY2024-2025, Closed-door Final Defense, Part I (Form 4 submission)</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PRP-12</w:t>
            </w:r>
          </w:p>
        </w:tc>
        <w:tc>
          <w:tcPr>
            <w:tcW w:type="dxa" w:w="1304"/>
          </w:tcPr>
          <w:p>
            <w:pPr>
              <w:pStyle w:val="TableText"/>
            </w:pPr>
            <w:r/>
            <w:r>
              <w:t>4.13 Proposal defense</w:t>
            </w:r>
          </w:p>
        </w:tc>
        <w:tc>
          <w:tcPr>
            <w:tcW w:type="dxa" w:w="4195"/>
          </w:tcPr>
          <w:p>
            <w:pPr>
              <w:pStyle w:val="TableText"/>
            </w:pPr>
            <w:r/>
            <w:r>
              <w:t>The Research Coordinator records ethics clearance as received; the office checks that the document is present, not its content.</w:t>
            </w:r>
          </w:p>
        </w:tc>
        <w:tc>
          <w:tcPr>
            <w:tcW w:type="dxa" w:w="2381"/>
          </w:tcPr>
          <w:p>
            <w:pPr>
              <w:pStyle w:val="TableText"/>
            </w:pPr>
            <w:r/>
            <w:r>
              <w:t>Group working notes, July 20 checklist, item 42</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PRP-13</w:t>
            </w:r>
          </w:p>
        </w:tc>
        <w:tc>
          <w:tcPr>
            <w:tcW w:type="dxa" w:w="1304"/>
          </w:tcPr>
          <w:p>
            <w:pPr>
              <w:pStyle w:val="TableText"/>
            </w:pPr>
            <w:r/>
            <w:r>
              <w:t>4.13 Proposal defense</w:t>
            </w:r>
          </w:p>
        </w:tc>
        <w:tc>
          <w:tcPr>
            <w:tcW w:type="dxa" w:w="4195"/>
          </w:tcPr>
          <w:p>
            <w:pPr>
              <w:pStyle w:val="TableText"/>
            </w:pPr>
            <w:r/>
            <w:r>
              <w:t>The platform does not complete the proposal stage without the adviser's signature on the manuscript and on Form 4, and it asks every student for Form 4.1 (it does not distinguish quantitative from qualitative studies).</w:t>
            </w:r>
          </w:p>
        </w:tc>
        <w:tc>
          <w:tcPr>
            <w:tcW w:type="dxa" w:w="2381"/>
          </w:tcPr>
          <w:p>
            <w:pPr>
              <w:pStyle w:val="TableText"/>
            </w:pPr>
            <w:r/>
            <w:r>
              <w:t>Group working notes, July 20 checklist, item 43; Platform (current build)</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FIN-01</w:t>
            </w:r>
          </w:p>
        </w:tc>
        <w:tc>
          <w:tcPr>
            <w:tcW w:type="dxa" w:w="1304"/>
          </w:tcPr>
          <w:p>
            <w:pPr>
              <w:pStyle w:val="TableText"/>
            </w:pPr>
            <w:r/>
            <w:r>
              <w:t>4.14 Final defense</w:t>
            </w:r>
          </w:p>
        </w:tc>
        <w:tc>
          <w:tcPr>
            <w:tcW w:type="dxa" w:w="4195"/>
          </w:tcPr>
          <w:p>
            <w:pPr>
              <w:pStyle w:val="TableText"/>
            </w:pPr>
            <w:r/>
            <w:r>
              <w:t>Final decisions are pass, pass with minor revisions, and provisional pass with major revisions (subject for re-defense).</w:t>
            </w:r>
          </w:p>
        </w:tc>
        <w:tc>
          <w:tcPr>
            <w:tcW w:type="dxa" w:w="2381"/>
          </w:tcPr>
          <w:p>
            <w:pPr>
              <w:pStyle w:val="TableText"/>
            </w:pPr>
            <w:r/>
            <w:r>
              <w:t>Handbook 2022-2023, p. 66; Research Protocol AY2024-2025, Closed-door Final Defense, Part II</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FIN-02</w:t>
            </w:r>
          </w:p>
        </w:tc>
        <w:tc>
          <w:tcPr>
            <w:tcW w:type="dxa" w:w="1304"/>
          </w:tcPr>
          <w:p>
            <w:pPr>
              <w:pStyle w:val="TableText"/>
            </w:pPr>
            <w:r/>
            <w:r>
              <w:t>4.14 Final defense</w:t>
            </w:r>
          </w:p>
        </w:tc>
        <w:tc>
          <w:tcPr>
            <w:tcW w:type="dxa" w:w="4195"/>
          </w:tcPr>
          <w:p>
            <w:pPr>
              <w:pStyle w:val="TableText"/>
            </w:pPr>
            <w:r/>
            <w:r>
              <w:t>The adviser emails Form 4, the Ethics Clearance and the manuscript to the Research Coordinator at least two weeks before the defense.</w:t>
            </w:r>
          </w:p>
        </w:tc>
        <w:tc>
          <w:tcPr>
            <w:tcW w:type="dxa" w:w="2381"/>
          </w:tcPr>
          <w:p>
            <w:pPr>
              <w:pStyle w:val="TableText"/>
            </w:pPr>
            <w:r/>
            <w:r>
              <w:t>Handbook 2022-2023, p. 65; Research Protocol AY2024-2025, Closed-door Final Defense, Part I (Form 4 submission)</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FIN-03</w:t>
            </w:r>
          </w:p>
        </w:tc>
        <w:tc>
          <w:tcPr>
            <w:tcW w:type="dxa" w:w="1304"/>
          </w:tcPr>
          <w:p>
            <w:pPr>
              <w:pStyle w:val="TableText"/>
            </w:pPr>
            <w:r/>
            <w:r>
              <w:t>4.14 Final defense</w:t>
            </w:r>
          </w:p>
        </w:tc>
        <w:tc>
          <w:tcPr>
            <w:tcW w:type="dxa" w:w="4195"/>
          </w:tcPr>
          <w:p>
            <w:pPr>
              <w:pStyle w:val="TableText"/>
            </w:pPr>
            <w:r/>
            <w:r>
              <w:t>14-Day Rule: "At least fourteen (14) days, inclusive of weekends, from the date the panel members of the oral defense received their copies of the thesis/dissertation to the date of the oral defense."</w:t>
            </w:r>
          </w:p>
        </w:tc>
        <w:tc>
          <w:tcPr>
            <w:tcW w:type="dxa" w:w="2381"/>
          </w:tcPr>
          <w:p>
            <w:pPr>
              <w:pStyle w:val="TableText"/>
            </w:pPr>
            <w:r/>
            <w:r>
              <w:t>Handbook 2022-2023, p. 66; Research Protocol AY2024-2025, Closed-door Final Defense, Part I note</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FIN-04</w:t>
            </w:r>
          </w:p>
        </w:tc>
        <w:tc>
          <w:tcPr>
            <w:tcW w:type="dxa" w:w="1304"/>
          </w:tcPr>
          <w:p>
            <w:pPr>
              <w:pStyle w:val="TableText"/>
            </w:pPr>
            <w:r/>
            <w:r>
              <w:t>4.14 Final defense</w:t>
            </w:r>
          </w:p>
        </w:tc>
        <w:tc>
          <w:tcPr>
            <w:tcW w:type="dxa" w:w="4195"/>
          </w:tcPr>
          <w:p>
            <w:pPr>
              <w:pStyle w:val="TableText"/>
            </w:pPr>
            <w:r/>
            <w:r>
              <w:t>The same set of panel members takes part in the closed-door final defense.</w:t>
            </w:r>
          </w:p>
        </w:tc>
        <w:tc>
          <w:tcPr>
            <w:tcW w:type="dxa" w:w="2381"/>
          </w:tcPr>
          <w:p>
            <w:pPr>
              <w:pStyle w:val="TableText"/>
            </w:pPr>
            <w:r/>
            <w:r>
              <w:t>Handbook 2022-2023, p. 66; Research Protocol AY2024-2025, Closed-door Final Defense, Part I (same panel)</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FIN-05</w:t>
            </w:r>
          </w:p>
        </w:tc>
        <w:tc>
          <w:tcPr>
            <w:tcW w:type="dxa" w:w="1304"/>
          </w:tcPr>
          <w:p>
            <w:pPr>
              <w:pStyle w:val="TableText"/>
            </w:pPr>
            <w:r/>
            <w:r>
              <w:t>4.14 Final defense</w:t>
            </w:r>
          </w:p>
        </w:tc>
        <w:tc>
          <w:tcPr>
            <w:tcW w:type="dxa" w:w="4195"/>
          </w:tcPr>
          <w:p>
            <w:pPr>
              <w:pStyle w:val="TableText"/>
            </w:pPr>
            <w:r/>
            <w:r>
              <w:t>The panel members must not agree with the proposed schedule without the revised manuscript; the manuscript must already have been given to the panel before the date is set.</w:t>
            </w:r>
          </w:p>
        </w:tc>
        <w:tc>
          <w:tcPr>
            <w:tcW w:type="dxa" w:w="2381"/>
          </w:tcPr>
          <w:p>
            <w:pPr>
              <w:pStyle w:val="TableText"/>
            </w:pPr>
            <w:r/>
            <w:r>
              <w:t>Handbook 2022-2023, p. 65; Research Protocol AY2024-2025, Closed-door Final Defense, Part I note</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FIN-06</w:t>
            </w:r>
          </w:p>
        </w:tc>
        <w:tc>
          <w:tcPr>
            <w:tcW w:type="dxa" w:w="1304"/>
          </w:tcPr>
          <w:p>
            <w:pPr>
              <w:pStyle w:val="TableText"/>
            </w:pPr>
            <w:r/>
            <w:r>
              <w:t>4.14 Final defense</w:t>
            </w:r>
          </w:p>
        </w:tc>
        <w:tc>
          <w:tcPr>
            <w:tcW w:type="dxa" w:w="4195"/>
          </w:tcPr>
          <w:p>
            <w:pPr>
              <w:pStyle w:val="TableText"/>
            </w:pPr>
            <w:r/>
            <w:r>
              <w:t>If a provisional pass with major revisions is given and the panel recommends a re-defense, the student follows the same protocol for the final defense afterward; the same amount of fees applies to the re-defense.</w:t>
            </w:r>
          </w:p>
        </w:tc>
        <w:tc>
          <w:tcPr>
            <w:tcW w:type="dxa" w:w="2381"/>
          </w:tcPr>
          <w:p>
            <w:pPr>
              <w:pStyle w:val="TableText"/>
            </w:pPr>
            <w:r/>
            <w:r>
              <w:t>Handbook 2022-2023, p. 67; Research Protocol AY2024-2025, Closed-door Final Defense, Part II note</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FIN-07</w:t>
            </w:r>
          </w:p>
        </w:tc>
        <w:tc>
          <w:tcPr>
            <w:tcW w:type="dxa" w:w="1304"/>
          </w:tcPr>
          <w:p>
            <w:pPr>
              <w:pStyle w:val="TableText"/>
            </w:pPr>
            <w:r/>
            <w:r>
              <w:t>4.14 Final defense</w:t>
            </w:r>
          </w:p>
        </w:tc>
        <w:tc>
          <w:tcPr>
            <w:tcW w:type="dxa" w:w="4195"/>
          </w:tcPr>
          <w:p>
            <w:pPr>
              <w:pStyle w:val="TableText"/>
            </w:pPr>
            <w:r/>
            <w:r>
              <w:t>If a provisional pass with major revisions is given but no re-defense is recommended, the student complies with the corrections; once the revised manuscript is given to the panel for approval the 14-Day Rule applies; the adviser accomplishes Form 8 and emails it to the GS Research Coordinator.</w:t>
            </w:r>
          </w:p>
        </w:tc>
        <w:tc>
          <w:tcPr>
            <w:tcW w:type="dxa" w:w="2381"/>
          </w:tcPr>
          <w:p>
            <w:pPr>
              <w:pStyle w:val="TableText"/>
            </w:pPr>
            <w:r/>
            <w:r>
              <w:t>Handbook 2022-2023, p. 67; Research Protocol AY2024-2025, Closed-door Final Defense, Part II</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FIN-08</w:t>
            </w:r>
          </w:p>
        </w:tc>
        <w:tc>
          <w:tcPr>
            <w:tcW w:type="dxa" w:w="1304"/>
          </w:tcPr>
          <w:p>
            <w:pPr>
              <w:pStyle w:val="TableText"/>
            </w:pPr>
            <w:r/>
            <w:r>
              <w:t>4.14 Final defense</w:t>
            </w:r>
          </w:p>
        </w:tc>
        <w:tc>
          <w:tcPr>
            <w:tcW w:type="dxa" w:w="4195"/>
          </w:tcPr>
          <w:p>
            <w:pPr>
              <w:pStyle w:val="TableText"/>
            </w:pPr>
            <w:r/>
            <w:r>
              <w:t>A student who fails to meet the recommendations of all the panel members at a given time is advised to re-defend following the same protocol.</w:t>
            </w:r>
          </w:p>
        </w:tc>
        <w:tc>
          <w:tcPr>
            <w:tcW w:type="dxa" w:w="2381"/>
          </w:tcPr>
          <w:p>
            <w:pPr>
              <w:pStyle w:val="TableText"/>
            </w:pPr>
            <w:r/>
            <w:r>
              <w:t>Handbook 2022-2023, p. 67; Research Protocol AY2024-2025, Closed-door Final Defense, Part II</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FIN-09</w:t>
            </w:r>
          </w:p>
        </w:tc>
        <w:tc>
          <w:tcPr>
            <w:tcW w:type="dxa" w:w="1304"/>
          </w:tcPr>
          <w:p>
            <w:pPr>
              <w:pStyle w:val="TableText"/>
            </w:pPr>
            <w:r/>
            <w:r>
              <w:t>4.14 Final defense</w:t>
            </w:r>
          </w:p>
        </w:tc>
        <w:tc>
          <w:tcPr>
            <w:tcW w:type="dxa" w:w="4195"/>
          </w:tcPr>
          <w:p>
            <w:pPr>
              <w:pStyle w:val="TableText"/>
            </w:pPr>
            <w:r/>
            <w:r>
              <w:t>A provisional pass with major revisions must be reflected in Form 6 and agree with the score in Form 7: for a thesis the score is below 85; for a dissertation the score is below 90.</w:t>
            </w:r>
          </w:p>
        </w:tc>
        <w:tc>
          <w:tcPr>
            <w:tcW w:type="dxa" w:w="2381"/>
          </w:tcPr>
          <w:p>
            <w:pPr>
              <w:pStyle w:val="TableText"/>
            </w:pPr>
            <w:r/>
            <w:r>
              <w:t>Handbook 2022-2023, p. 67; Research Protocol AY2024-2025, Closed-door Final Defense, Part II note</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FIN-10</w:t>
            </w:r>
          </w:p>
        </w:tc>
        <w:tc>
          <w:tcPr>
            <w:tcW w:type="dxa" w:w="1304"/>
          </w:tcPr>
          <w:p>
            <w:pPr>
              <w:pStyle w:val="TableText"/>
            </w:pPr>
            <w:r/>
            <w:r>
              <w:t>4.14 Final defense</w:t>
            </w:r>
          </w:p>
        </w:tc>
        <w:tc>
          <w:tcPr>
            <w:tcW w:type="dxa" w:w="4195"/>
          </w:tcPr>
          <w:p>
            <w:pPr>
              <w:pStyle w:val="TableText"/>
            </w:pPr>
            <w:r/>
            <w:r>
              <w:t>Each panel member accomplishes Form 6 and emails it to the panel chair, and accomplishes Form 7 and emails it to the Research Coordinator, within the first working day after the defense (the Protocol adds that the research adviser also accomplishes Form 7); the chair emails all Forms 6 and the consolidated comments to the Research Coordinator, adviser and student within the same time.</w:t>
            </w:r>
          </w:p>
        </w:tc>
        <w:tc>
          <w:tcPr>
            <w:tcW w:type="dxa" w:w="2381"/>
          </w:tcPr>
          <w:p>
            <w:pPr>
              <w:pStyle w:val="TableText"/>
            </w:pPr>
            <w:r/>
            <w:r>
              <w:t>Handbook 2022-2023, p. 67; Research Protocol AY2024-2025, Closed-door Final Defense, Part III</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FIN-11</w:t>
            </w:r>
          </w:p>
        </w:tc>
        <w:tc>
          <w:tcPr>
            <w:tcW w:type="dxa" w:w="1304"/>
          </w:tcPr>
          <w:p>
            <w:pPr>
              <w:pStyle w:val="TableText"/>
            </w:pPr>
            <w:r/>
            <w:r>
              <w:t>4.14 Final defense</w:t>
            </w:r>
          </w:p>
        </w:tc>
        <w:tc>
          <w:tcPr>
            <w:tcW w:type="dxa" w:w="4195"/>
          </w:tcPr>
          <w:p>
            <w:pPr>
              <w:pStyle w:val="TableText"/>
            </w:pPr>
            <w:r/>
            <w:r>
              <w:t>For students admitted on August 2020 and onwards, the student is given two to four weeks to prepare and apply for the public final defense.</w:t>
            </w:r>
          </w:p>
        </w:tc>
        <w:tc>
          <w:tcPr>
            <w:tcW w:type="dxa" w:w="2381"/>
          </w:tcPr>
          <w:p>
            <w:pPr>
              <w:pStyle w:val="TableText"/>
            </w:pPr>
            <w:r/>
            <w:r>
              <w:t>Handbook 2022-2023, p. 71; Research Protocol AY2024-2025, Closed-door Final Defense, Part IV</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FIN-12</w:t>
            </w:r>
          </w:p>
        </w:tc>
        <w:tc>
          <w:tcPr>
            <w:tcW w:type="dxa" w:w="1304"/>
          </w:tcPr>
          <w:p>
            <w:pPr>
              <w:pStyle w:val="TableText"/>
            </w:pPr>
            <w:r/>
            <w:r>
              <w:t>4.14 Final defense</w:t>
            </w:r>
          </w:p>
        </w:tc>
        <w:tc>
          <w:tcPr>
            <w:tcW w:type="dxa" w:w="4195"/>
          </w:tcPr>
          <w:p>
            <w:pPr>
              <w:pStyle w:val="TableText"/>
            </w:pPr>
            <w:r/>
            <w:r>
              <w:t>Form 4.3 must be fully accomplished with the e-signature of the panel members and the date the panel received the revised manuscript.</w:t>
            </w:r>
          </w:p>
        </w:tc>
        <w:tc>
          <w:tcPr>
            <w:tcW w:type="dxa" w:w="2381"/>
          </w:tcPr>
          <w:p>
            <w:pPr>
              <w:pStyle w:val="TableText"/>
            </w:pPr>
            <w:r/>
            <w:r>
              <w:t>Handbook 2022-2023, pp. 72-73; Research Protocol AY2024-2025, Public Defense, Part I (Form 4.3 notes)</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FIN-13</w:t>
            </w:r>
          </w:p>
        </w:tc>
        <w:tc>
          <w:tcPr>
            <w:tcW w:type="dxa" w:w="1304"/>
          </w:tcPr>
          <w:p>
            <w:pPr>
              <w:pStyle w:val="TableText"/>
            </w:pPr>
            <w:r/>
            <w:r>
              <w:t>4.14 Final defense</w:t>
            </w:r>
          </w:p>
        </w:tc>
        <w:tc>
          <w:tcPr>
            <w:tcW w:type="dxa" w:w="4195"/>
          </w:tcPr>
          <w:p>
            <w:pPr>
              <w:pStyle w:val="TableText"/>
            </w:pPr>
            <w:r/>
            <w:r>
              <w:t>Form 6 must state the Action Taken by the student to address each comment and the specific page number where the improvement appears.</w:t>
            </w:r>
          </w:p>
        </w:tc>
        <w:tc>
          <w:tcPr>
            <w:tcW w:type="dxa" w:w="2381"/>
          </w:tcPr>
          <w:p>
            <w:pPr>
              <w:pStyle w:val="TableText"/>
            </w:pPr>
            <w:r/>
            <w:r>
              <w:t>Handbook 2022-2023, p. 72</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FIN-14</w:t>
            </w:r>
          </w:p>
        </w:tc>
        <w:tc>
          <w:tcPr>
            <w:tcW w:type="dxa" w:w="1304"/>
          </w:tcPr>
          <w:p>
            <w:pPr>
              <w:pStyle w:val="TableText"/>
            </w:pPr>
            <w:r/>
            <w:r>
              <w:t>4.14 Final defense</w:t>
            </w:r>
          </w:p>
        </w:tc>
        <w:tc>
          <w:tcPr>
            <w:tcW w:type="dxa" w:w="4195"/>
          </w:tcPr>
          <w:p>
            <w:pPr>
              <w:pStyle w:val="TableText"/>
            </w:pPr>
            <w:r/>
            <w:r>
              <w:t>Application for the public final defense must be made 5 days before the preferred schedule for posting purposes; Form 4.3 must be submitted at least two weeks before the date of the defense. (The two periods conflict; see OQ-23.)</w:t>
            </w:r>
          </w:p>
        </w:tc>
        <w:tc>
          <w:tcPr>
            <w:tcW w:type="dxa" w:w="2381"/>
          </w:tcPr>
          <w:p>
            <w:pPr>
              <w:pStyle w:val="TableText"/>
            </w:pPr>
            <w:r/>
            <w:r>
              <w:t>Handbook 2022-2023, pp. 72-73; Research Protocol AY2024-2025, Public Defense, Part I (Form 4.3 notes)</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FIN-15</w:t>
            </w:r>
          </w:p>
        </w:tc>
        <w:tc>
          <w:tcPr>
            <w:tcW w:type="dxa" w:w="1304"/>
          </w:tcPr>
          <w:p>
            <w:pPr>
              <w:pStyle w:val="TableText"/>
            </w:pPr>
            <w:r/>
            <w:r>
              <w:t>4.14 Final defense</w:t>
            </w:r>
          </w:p>
        </w:tc>
        <w:tc>
          <w:tcPr>
            <w:tcW w:type="dxa" w:w="4195"/>
          </w:tcPr>
          <w:p>
            <w:pPr>
              <w:pStyle w:val="TableText"/>
            </w:pPr>
            <w:r/>
            <w:r>
              <w:t>The announcement of the public defense is posted on the Graduate School Official Facebook Page with an embedded pre-registration link; the Research Coordinator coordinates campus entry with the GS Office.</w:t>
            </w:r>
          </w:p>
        </w:tc>
        <w:tc>
          <w:tcPr>
            <w:tcW w:type="dxa" w:w="2381"/>
          </w:tcPr>
          <w:p>
            <w:pPr>
              <w:pStyle w:val="TableText"/>
            </w:pPr>
            <w:r/>
            <w:r>
              <w:t>Handbook 2022-2023, p. 73; Research Protocol AY2024-2025, Public Defense, Part I (announcement and pre-registration)</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FIN-16</w:t>
            </w:r>
          </w:p>
        </w:tc>
        <w:tc>
          <w:tcPr>
            <w:tcW w:type="dxa" w:w="1304"/>
          </w:tcPr>
          <w:p>
            <w:pPr>
              <w:pStyle w:val="TableText"/>
            </w:pPr>
            <w:r/>
            <w:r>
              <w:t>4.14 Final defense</w:t>
            </w:r>
          </w:p>
        </w:tc>
        <w:tc>
          <w:tcPr>
            <w:tcW w:type="dxa" w:w="4195"/>
          </w:tcPr>
          <w:p>
            <w:pPr>
              <w:pStyle w:val="TableText"/>
            </w:pPr>
            <w:r/>
            <w:r>
              <w:t>Students enrolled (admitted) before August 2020 are not required to do a public final defense; instead, after the closed-door final defense, the student presents at a research conference.</w:t>
            </w:r>
          </w:p>
        </w:tc>
        <w:tc>
          <w:tcPr>
            <w:tcW w:type="dxa" w:w="2381"/>
          </w:tcPr>
          <w:p>
            <w:pPr>
              <w:pStyle w:val="TableText"/>
            </w:pPr>
            <w:r/>
            <w:r>
              <w:t>Handbook 2022-2023, pp. 68-69; Research Protocol AY2024-2025, Closed-door Final Defense, Part III note</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FIN-17</w:t>
            </w:r>
          </w:p>
        </w:tc>
        <w:tc>
          <w:tcPr>
            <w:tcW w:type="dxa" w:w="1304"/>
          </w:tcPr>
          <w:p>
            <w:pPr>
              <w:pStyle w:val="TableText"/>
            </w:pPr>
            <w:r/>
            <w:r>
              <w:t>4.14 Final defense</w:t>
            </w:r>
          </w:p>
        </w:tc>
        <w:tc>
          <w:tcPr>
            <w:tcW w:type="dxa" w:w="4195"/>
          </w:tcPr>
          <w:p>
            <w:pPr>
              <w:pStyle w:val="TableText"/>
            </w:pPr>
            <w:r/>
            <w:r>
              <w:t>In the public final defense the student has 30 minutes to present; the Handbook adds another 30 minutes for questions and answers, and the audience may ask questions. Panel members must have Form 6 in hand to check compliance.</w:t>
            </w:r>
          </w:p>
        </w:tc>
        <w:tc>
          <w:tcPr>
            <w:tcW w:type="dxa" w:w="2381"/>
          </w:tcPr>
          <w:p>
            <w:pPr>
              <w:pStyle w:val="TableText"/>
            </w:pPr>
            <w:r/>
            <w:r>
              <w:t>Handbook 2022-2023, p. 73; Research Protocol AY2024-2025, Public Defense, Part II</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FIN-18</w:t>
            </w:r>
          </w:p>
        </w:tc>
        <w:tc>
          <w:tcPr>
            <w:tcW w:type="dxa" w:w="1304"/>
          </w:tcPr>
          <w:p>
            <w:pPr>
              <w:pStyle w:val="TableText"/>
            </w:pPr>
            <w:r/>
            <w:r>
              <w:t>4.14 Final defense</w:t>
            </w:r>
          </w:p>
        </w:tc>
        <w:tc>
          <w:tcPr>
            <w:tcW w:type="dxa" w:w="4195"/>
          </w:tcPr>
          <w:p>
            <w:pPr>
              <w:pStyle w:val="TableText"/>
            </w:pPr>
            <w:r/>
            <w:r>
              <w:t>Only the panel chair submits the defense verdict and the record of the result.</w:t>
            </w:r>
          </w:p>
        </w:tc>
        <w:tc>
          <w:tcPr>
            <w:tcW w:type="dxa" w:w="2381"/>
          </w:tcPr>
          <w:p>
            <w:pPr>
              <w:pStyle w:val="TableText"/>
            </w:pPr>
            <w:r/>
            <w:r>
              <w:t>Group working notes, July 20 checklist, item 48</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CMP-01</w:t>
            </w:r>
          </w:p>
        </w:tc>
        <w:tc>
          <w:tcPr>
            <w:tcW w:type="dxa" w:w="1304"/>
          </w:tcPr>
          <w:p>
            <w:pPr>
              <w:pStyle w:val="TableText"/>
            </w:pPr>
            <w:r/>
            <w:r>
              <w:t>4.15 Completion</w:t>
            </w:r>
          </w:p>
        </w:tc>
        <w:tc>
          <w:tcPr>
            <w:tcW w:type="dxa" w:w="4195"/>
          </w:tcPr>
          <w:p>
            <w:pPr>
              <w:pStyle w:val="TableText"/>
            </w:pPr>
            <w:r/>
            <w:r>
              <w:t>After the student revises the paper, the manuscript is emailed to the panel members for their approval before Turnitin scanning and editing; the 14-Day Rule is applied, and the panel members then email the student confirming their initial approval.</w:t>
            </w:r>
          </w:p>
        </w:tc>
        <w:tc>
          <w:tcPr>
            <w:tcW w:type="dxa" w:w="2381"/>
          </w:tcPr>
          <w:p>
            <w:pPr>
              <w:pStyle w:val="TableText"/>
            </w:pPr>
            <w:r/>
            <w:r>
              <w:t>Handbook 2022-2023, p. 68; Research Protocol AY2024-2025, Closed-door Final Defense, Part III-IV</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CMP-02</w:t>
            </w:r>
          </w:p>
        </w:tc>
        <w:tc>
          <w:tcPr>
            <w:tcW w:type="dxa" w:w="1304"/>
          </w:tcPr>
          <w:p>
            <w:pPr>
              <w:pStyle w:val="TableText"/>
            </w:pPr>
            <w:r/>
            <w:r>
              <w:t>4.15 Completion</w:t>
            </w:r>
          </w:p>
        </w:tc>
        <w:tc>
          <w:tcPr>
            <w:tcW w:type="dxa" w:w="4195"/>
          </w:tcPr>
          <w:p>
            <w:pPr>
              <w:pStyle w:val="TableText"/>
            </w:pPr>
            <w:r/>
            <w:r>
              <w:t>The adviser verifies that the panelists' recommendations are reflected in the manuscript and then endorses it for Turnitin scanning and editing.</w:t>
            </w:r>
          </w:p>
        </w:tc>
        <w:tc>
          <w:tcPr>
            <w:tcW w:type="dxa" w:w="2381"/>
          </w:tcPr>
          <w:p>
            <w:pPr>
              <w:pStyle w:val="TableText"/>
            </w:pPr>
            <w:r/>
            <w:r>
              <w:t>Research Protocol AY2024-2025, Closed-door Final Defense, Part III (adviser verification)</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CMP-03</w:t>
            </w:r>
          </w:p>
        </w:tc>
        <w:tc>
          <w:tcPr>
            <w:tcW w:type="dxa" w:w="1304"/>
          </w:tcPr>
          <w:p>
            <w:pPr>
              <w:pStyle w:val="TableText"/>
            </w:pPr>
            <w:r/>
            <w:r>
              <w:t>4.15 Completion</w:t>
            </w:r>
          </w:p>
        </w:tc>
        <w:tc>
          <w:tcPr>
            <w:tcW w:type="dxa" w:w="4195"/>
          </w:tcPr>
          <w:p>
            <w:pPr>
              <w:pStyle w:val="TableText"/>
            </w:pPr>
            <w:r/>
            <w:r>
              <w:t>The final draft undergoes Turnitin scanning; a similarity index rating (SIR) of not more than 15% is required before the paper goes to the editor.</w:t>
            </w:r>
          </w:p>
        </w:tc>
        <w:tc>
          <w:tcPr>
            <w:tcW w:type="dxa" w:w="2381"/>
          </w:tcPr>
          <w:p>
            <w:pPr>
              <w:pStyle w:val="TableText"/>
            </w:pPr>
            <w:r/>
            <w:r>
              <w:t>Handbook 2022-2023, p. 68; Research Protocol AY2024-2025, Closed-door Final Defense, Part III</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CMP-04</w:t>
            </w:r>
          </w:p>
        </w:tc>
        <w:tc>
          <w:tcPr>
            <w:tcW w:type="dxa" w:w="1304"/>
          </w:tcPr>
          <w:p>
            <w:pPr>
              <w:pStyle w:val="TableText"/>
            </w:pPr>
            <w:r/>
            <w:r>
              <w:t>4.15 Completion</w:t>
            </w:r>
          </w:p>
        </w:tc>
        <w:tc>
          <w:tcPr>
            <w:tcW w:type="dxa" w:w="4195"/>
          </w:tcPr>
          <w:p>
            <w:pPr>
              <w:pStyle w:val="TableText"/>
            </w:pPr>
            <w:r/>
            <w:r>
              <w:t>The student chooses from the pool of editors affiliated with the University so that the USLS IRF is employed; the 14-Day Rule applies to the editor; the editor gives Form 9, Editor Certification, once corrections are carried out.</w:t>
            </w:r>
          </w:p>
        </w:tc>
        <w:tc>
          <w:tcPr>
            <w:tcW w:type="dxa" w:w="2381"/>
          </w:tcPr>
          <w:p>
            <w:pPr>
              <w:pStyle w:val="TableText"/>
            </w:pPr>
            <w:r/>
            <w:r>
              <w:t>Handbook 2022-2023, p. 68; Research Protocol AY2024-2025, Closed-door Final Defense, Part III</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CMP-05</w:t>
            </w:r>
          </w:p>
        </w:tc>
        <w:tc>
          <w:tcPr>
            <w:tcW w:type="dxa" w:w="1304"/>
          </w:tcPr>
          <w:p>
            <w:pPr>
              <w:pStyle w:val="TableText"/>
            </w:pPr>
            <w:r/>
            <w:r>
              <w:t>4.15 Completion</w:t>
            </w:r>
          </w:p>
        </w:tc>
        <w:tc>
          <w:tcPr>
            <w:tcW w:type="dxa" w:w="4195"/>
          </w:tcPr>
          <w:p>
            <w:pPr>
              <w:pStyle w:val="TableText"/>
            </w:pPr>
            <w:r/>
            <w:r>
              <w:t>The student sends the soft copy of the final manuscript to the GS Office, copy furnished to the research ethics office, with the panel approval emails, ethics clearance, Turnitin certificate and editor's certification, within the period set by the office, to inform the office that the manuscript is ready for hard-bound reproduction.</w:t>
            </w:r>
          </w:p>
        </w:tc>
        <w:tc>
          <w:tcPr>
            <w:tcW w:type="dxa" w:w="2381"/>
          </w:tcPr>
          <w:p>
            <w:pPr>
              <w:pStyle w:val="TableText"/>
            </w:pPr>
            <w:r/>
            <w:r>
              <w:t>Handbook 2022-2023, p. 68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CMP-06</w:t>
            </w:r>
          </w:p>
        </w:tc>
        <w:tc>
          <w:tcPr>
            <w:tcW w:type="dxa" w:w="1304"/>
          </w:tcPr>
          <w:p>
            <w:pPr>
              <w:pStyle w:val="TableText"/>
            </w:pPr>
            <w:r/>
            <w:r>
              <w:t>4.15 Completion</w:t>
            </w:r>
          </w:p>
        </w:tc>
        <w:tc>
          <w:tcPr>
            <w:tcW w:type="dxa" w:w="4195"/>
          </w:tcPr>
          <w:p>
            <w:pPr>
              <w:pStyle w:val="TableText"/>
            </w:pPr>
            <w:r/>
            <w:r>
              <w:t>The GS Office coordinates with the panel members and advisers for the accomplishment of Form 10, Approval Sheet.</w:t>
            </w:r>
          </w:p>
        </w:tc>
        <w:tc>
          <w:tcPr>
            <w:tcW w:type="dxa" w:w="2381"/>
          </w:tcPr>
          <w:p>
            <w:pPr>
              <w:pStyle w:val="TableText"/>
            </w:pPr>
            <w:r/>
            <w:r>
              <w:t>Handbook 2022-2023, p. 68; Research Protocol AY2024-2025, Closed-door Final Defense, Part III</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CMP-07</w:t>
            </w:r>
          </w:p>
        </w:tc>
        <w:tc>
          <w:tcPr>
            <w:tcW w:type="dxa" w:w="1304"/>
          </w:tcPr>
          <w:p>
            <w:pPr>
              <w:pStyle w:val="TableText"/>
            </w:pPr>
            <w:r/>
            <w:r>
              <w:t>4.15 Completion</w:t>
            </w:r>
          </w:p>
        </w:tc>
        <w:tc>
          <w:tcPr>
            <w:tcW w:type="dxa" w:w="4195"/>
          </w:tcPr>
          <w:p>
            <w:pPr>
              <w:pStyle w:val="TableText"/>
            </w:pPr>
            <w:r/>
            <w:r>
              <w:t>The student submits the bound copies and CD with the signed approval sheets as part of the requirements for the diploma, TOR and other related documents.</w:t>
            </w:r>
          </w:p>
        </w:tc>
        <w:tc>
          <w:tcPr>
            <w:tcW w:type="dxa" w:w="2381"/>
          </w:tcPr>
          <w:p>
            <w:pPr>
              <w:pStyle w:val="TableText"/>
            </w:pPr>
            <w:r/>
            <w:r>
              <w:t>Handbook 2022-2023, p. 68; Research Protocol AY2024-2025, Closed-door Final Defense, Part III</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CMP-08</w:t>
            </w:r>
          </w:p>
        </w:tc>
        <w:tc>
          <w:tcPr>
            <w:tcW w:type="dxa" w:w="1304"/>
          </w:tcPr>
          <w:p>
            <w:pPr>
              <w:pStyle w:val="TableText"/>
            </w:pPr>
            <w:r/>
            <w:r>
              <w:t>4.15 Completion</w:t>
            </w:r>
          </w:p>
        </w:tc>
        <w:tc>
          <w:tcPr>
            <w:tcW w:type="dxa" w:w="4195"/>
          </w:tcPr>
          <w:p>
            <w:pPr>
              <w:pStyle w:val="TableText"/>
            </w:pPr>
            <w:r/>
            <w:r>
              <w:t>The student presents the thesis or dissertation at a research conference (the Graduate School Research Conference or an external one); the certificate of presentation for an external conference may be submitted after the bound copies and CD. Only graduating students present at the Graduate School Research Conference and join the graduation ceremony.</w:t>
            </w:r>
          </w:p>
        </w:tc>
        <w:tc>
          <w:tcPr>
            <w:tcW w:type="dxa" w:w="2381"/>
          </w:tcPr>
          <w:p>
            <w:pPr>
              <w:pStyle w:val="TableText"/>
            </w:pPr>
            <w:r/>
            <w:r>
              <w:t>Handbook 2022-2023, pp. 68-69, 74; Research Protocol AY2024-2025, Public Defense, Part III note</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CMP-09</w:t>
            </w:r>
          </w:p>
        </w:tc>
        <w:tc>
          <w:tcPr>
            <w:tcW w:type="dxa" w:w="1304"/>
          </w:tcPr>
          <w:p>
            <w:pPr>
              <w:pStyle w:val="TableText"/>
            </w:pPr>
            <w:r/>
            <w:r>
              <w:t>4.15 Completion</w:t>
            </w:r>
          </w:p>
        </w:tc>
        <w:tc>
          <w:tcPr>
            <w:tcW w:type="dxa" w:w="4195"/>
          </w:tcPr>
          <w:p>
            <w:pPr>
              <w:pStyle w:val="TableText"/>
            </w:pPr>
            <w:r/>
            <w:r>
              <w:t>Publication: the student chooses a journal from the list of the Publication and Engagement Office and accomplishes Form 12 (Scopus, ISI and Web of Science for PhD; peer-reviewed journals for MA students); the manuscript, ethics clearance (if applicable), Form 11 (if applicable) and Form 12 go to the GS Research Coordinator for review by the Research Committee (Research Coordinator, Academic Coordinator, Associate Dean and the external expert); the Dean approves; the student then files Form 13 with the copy of the journal or the certificate of publication.</w:t>
            </w:r>
          </w:p>
        </w:tc>
        <w:tc>
          <w:tcPr>
            <w:tcW w:type="dxa" w:w="2381"/>
          </w:tcPr>
          <w:p>
            <w:pPr>
              <w:pStyle w:val="TableText"/>
            </w:pPr>
            <w:r/>
            <w:r>
              <w:t>Handbook 2022-2023, p. 75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CMP-10</w:t>
            </w:r>
          </w:p>
        </w:tc>
        <w:tc>
          <w:tcPr>
            <w:tcW w:type="dxa" w:w="1304"/>
          </w:tcPr>
          <w:p>
            <w:pPr>
              <w:pStyle w:val="TableText"/>
            </w:pPr>
            <w:r/>
            <w:r>
              <w:t>4.15 Completion</w:t>
            </w:r>
          </w:p>
        </w:tc>
        <w:tc>
          <w:tcPr>
            <w:tcW w:type="dxa" w:w="4195"/>
          </w:tcPr>
          <w:p>
            <w:pPr>
              <w:pStyle w:val="TableText"/>
            </w:pPr>
            <w:r/>
            <w:r>
              <w:t>The student can only be declared a graduate and join the graduation ceremony once Form 13 and a copy of the journal or certificate of publication has been submitted.</w:t>
            </w:r>
          </w:p>
        </w:tc>
        <w:tc>
          <w:tcPr>
            <w:tcW w:type="dxa" w:w="2381"/>
          </w:tcPr>
          <w:p>
            <w:pPr>
              <w:pStyle w:val="TableText"/>
            </w:pPr>
            <w:r/>
            <w:r>
              <w:t>Handbook 2022-2023, p. 75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CMP-11</w:t>
            </w:r>
          </w:p>
        </w:tc>
        <w:tc>
          <w:tcPr>
            <w:tcW w:type="dxa" w:w="1304"/>
          </w:tcPr>
          <w:p>
            <w:pPr>
              <w:pStyle w:val="TableText"/>
            </w:pPr>
            <w:r/>
            <w:r>
              <w:t>4.15 Completion</w:t>
            </w:r>
          </w:p>
        </w:tc>
        <w:tc>
          <w:tcPr>
            <w:tcW w:type="dxa" w:w="4195"/>
          </w:tcPr>
          <w:p>
            <w:pPr>
              <w:pStyle w:val="TableText"/>
            </w:pPr>
            <w:r/>
            <w:r>
              <w:t>The published journal must include the authorship affiliation in the sample format given in the Handbook.</w:t>
            </w:r>
          </w:p>
        </w:tc>
        <w:tc>
          <w:tcPr>
            <w:tcW w:type="dxa" w:w="2381"/>
          </w:tcPr>
          <w:p>
            <w:pPr>
              <w:pStyle w:val="TableText"/>
            </w:pPr>
            <w:r/>
            <w:r>
              <w:t>Handbook 2022-2023, p. 75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CMP-12</w:t>
            </w:r>
          </w:p>
        </w:tc>
        <w:tc>
          <w:tcPr>
            <w:tcW w:type="dxa" w:w="1304"/>
          </w:tcPr>
          <w:p>
            <w:pPr>
              <w:pStyle w:val="TableText"/>
            </w:pPr>
            <w:r/>
            <w:r>
              <w:t>4.15 Completion</w:t>
            </w:r>
          </w:p>
        </w:tc>
        <w:tc>
          <w:tcPr>
            <w:tcW w:type="dxa" w:w="4195"/>
          </w:tcPr>
          <w:p>
            <w:pPr>
              <w:pStyle w:val="TableText"/>
            </w:pPr>
            <w:r/>
            <w:r>
              <w:t>The best thesis or dissertation award requires a cut-off score of 96 points; the chairman of the committee or the Dean submits the work to the committee and approval by the majority is required.</w:t>
            </w:r>
          </w:p>
        </w:tc>
        <w:tc>
          <w:tcPr>
            <w:tcW w:type="dxa" w:w="2381"/>
          </w:tcPr>
          <w:p>
            <w:pPr>
              <w:pStyle w:val="TableText"/>
            </w:pPr>
            <w:r/>
            <w:r>
              <w:t>Handbook 2022-2023, pp. 76-77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CMP-13</w:t>
            </w:r>
          </w:p>
        </w:tc>
        <w:tc>
          <w:tcPr>
            <w:tcW w:type="dxa" w:w="1304"/>
          </w:tcPr>
          <w:p>
            <w:pPr>
              <w:pStyle w:val="TableText"/>
            </w:pPr>
            <w:r/>
            <w:r>
              <w:t>4.15 Completion</w:t>
            </w:r>
          </w:p>
        </w:tc>
        <w:tc>
          <w:tcPr>
            <w:tcW w:type="dxa" w:w="4195"/>
          </w:tcPr>
          <w:p>
            <w:pPr>
              <w:pStyle w:val="TableText"/>
            </w:pPr>
            <w:r/>
            <w:r>
              <w:t>The office checks that each completion document is present and that the Turnitin certificate shows a rating of 15% or below; it does not verify the content of the documents.</w:t>
            </w:r>
          </w:p>
        </w:tc>
        <w:tc>
          <w:tcPr>
            <w:tcW w:type="dxa" w:w="2381"/>
          </w:tcPr>
          <w:p>
            <w:pPr>
              <w:pStyle w:val="TableText"/>
            </w:pPr>
            <w:r/>
            <w:r>
              <w:t>Group working notes, July 20 checklist, item 42; Platform (current build)</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SCH-01</w:t>
            </w:r>
          </w:p>
        </w:tc>
        <w:tc>
          <w:tcPr>
            <w:tcW w:type="dxa" w:w="1304"/>
          </w:tcPr>
          <w:p>
            <w:pPr>
              <w:pStyle w:val="TableText"/>
            </w:pPr>
            <w:r/>
            <w:r>
              <w:t>4.16 Scheduling</w:t>
            </w:r>
          </w:p>
        </w:tc>
        <w:tc>
          <w:tcPr>
            <w:tcW w:type="dxa" w:w="4195"/>
          </w:tcPr>
          <w:p>
            <w:pPr>
              <w:pStyle w:val="TableText"/>
            </w:pPr>
            <w:r/>
            <w:r>
              <w:t>For the title defense the GS Office coordinates with the panel members about the proposed schedule; the Research Coordinator informs the panel and the student of the date and time.</w:t>
            </w:r>
          </w:p>
        </w:tc>
        <w:tc>
          <w:tcPr>
            <w:tcW w:type="dxa" w:w="2381"/>
          </w:tcPr>
          <w:p>
            <w:pPr>
              <w:pStyle w:val="TableText"/>
            </w:pPr>
            <w:r/>
            <w:r>
              <w:t>Handbook 2022-2023, p. 60; Research Protocol AY2024-2025, Title Defense, Part I, steps 5-6</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SCH-02</w:t>
            </w:r>
          </w:p>
        </w:tc>
        <w:tc>
          <w:tcPr>
            <w:tcW w:type="dxa" w:w="1304"/>
          </w:tcPr>
          <w:p>
            <w:pPr>
              <w:pStyle w:val="TableText"/>
            </w:pPr>
            <w:r/>
            <w:r>
              <w:t>4.16 Scheduling</w:t>
            </w:r>
          </w:p>
        </w:tc>
        <w:tc>
          <w:tcPr>
            <w:tcW w:type="dxa" w:w="4195"/>
          </w:tcPr>
          <w:p>
            <w:pPr>
              <w:pStyle w:val="TableText"/>
            </w:pPr>
            <w:r/>
            <w:r>
              <w:t>For the proposal and final defenses the student and the research adviser agree with the panel members on the date and time, and the agreed schedule is indicated in Form 4.</w:t>
            </w:r>
          </w:p>
        </w:tc>
        <w:tc>
          <w:tcPr>
            <w:tcW w:type="dxa" w:w="2381"/>
          </w:tcPr>
          <w:p>
            <w:pPr>
              <w:pStyle w:val="TableText"/>
            </w:pPr>
            <w:r/>
            <w:r>
              <w:t>Handbook 2022-2023, pp. 63, 65; Research Protocol AY2024-2025, Proposal Defense, Part I (agreed schedule)</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SCH-03</w:t>
            </w:r>
          </w:p>
        </w:tc>
        <w:tc>
          <w:tcPr>
            <w:tcW w:type="dxa" w:w="1304"/>
          </w:tcPr>
          <w:p>
            <w:pPr>
              <w:pStyle w:val="TableText"/>
            </w:pPr>
            <w:r/>
            <w:r>
              <w:t>4.16 Scheduling</w:t>
            </w:r>
          </w:p>
        </w:tc>
        <w:tc>
          <w:tcPr>
            <w:tcW w:type="dxa" w:w="4195"/>
          </w:tcPr>
          <w:p>
            <w:pPr>
              <w:pStyle w:val="TableText"/>
            </w:pPr>
            <w:r/>
            <w:r>
              <w:t>Lead times: title defense application at least two weeks before the defense; Form 4 at least two weeks before the proposal or final defense; the panel has two weeks to review the manuscript; under the 14-Day Rule at least fourteen days, inclusive of weekends, pass from the date the panel receives the manuscript to the defense.</w:t>
            </w:r>
          </w:p>
        </w:tc>
        <w:tc>
          <w:tcPr>
            <w:tcW w:type="dxa" w:w="2381"/>
          </w:tcPr>
          <w:p>
            <w:pPr>
              <w:pStyle w:val="TableText"/>
            </w:pPr>
            <w:r/>
            <w:r>
              <w:t>Handbook 2022-2023, pp. 59, 63, 65-66; Research Protocol AY2024-2025, Closed-door Final Defense, Part I note</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SCH-04</w:t>
            </w:r>
          </w:p>
        </w:tc>
        <w:tc>
          <w:tcPr>
            <w:tcW w:type="dxa" w:w="1304"/>
          </w:tcPr>
          <w:p>
            <w:pPr>
              <w:pStyle w:val="TableText"/>
            </w:pPr>
            <w:r/>
            <w:r>
              <w:t>4.16 Scheduling</w:t>
            </w:r>
          </w:p>
        </w:tc>
        <w:tc>
          <w:tcPr>
            <w:tcW w:type="dxa" w:w="4195"/>
          </w:tcPr>
          <w:p>
            <w:pPr>
              <w:pStyle w:val="TableText"/>
            </w:pPr>
            <w:r/>
            <w:r>
              <w:t>Public final defense: Form 4.3 must be submitted five days before the preferred schedule for posting purposes (and at least two weeks before the defense according to the same section; OQ-23).</w:t>
            </w:r>
          </w:p>
        </w:tc>
        <w:tc>
          <w:tcPr>
            <w:tcW w:type="dxa" w:w="2381"/>
          </w:tcPr>
          <w:p>
            <w:pPr>
              <w:pStyle w:val="TableText"/>
            </w:pPr>
            <w:r/>
            <w:r>
              <w:t>Handbook 2022-2023, pp. 72-73; Research Protocol AY2024-2025, Public Defense, Part I (Form 4.3 notes)</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SCH-05</w:t>
            </w:r>
          </w:p>
        </w:tc>
        <w:tc>
          <w:tcPr>
            <w:tcW w:type="dxa" w:w="1304"/>
          </w:tcPr>
          <w:p>
            <w:pPr>
              <w:pStyle w:val="TableText"/>
            </w:pPr>
            <w:r/>
            <w:r>
              <w:t>4.16 Scheduling</w:t>
            </w:r>
          </w:p>
        </w:tc>
        <w:tc>
          <w:tcPr>
            <w:tcW w:type="dxa" w:w="4195"/>
          </w:tcPr>
          <w:p>
            <w:pPr>
              <w:pStyle w:val="TableText"/>
            </w:pPr>
            <w:r/>
            <w:r>
              <w:t>The panel chair coordinates with the GS Office for the venue (proposal and closed-door final defense); the GS Office reserves the venue for the public final defense. For students abroad the defense is online.</w:t>
            </w:r>
          </w:p>
        </w:tc>
        <w:tc>
          <w:tcPr>
            <w:tcW w:type="dxa" w:w="2381"/>
          </w:tcPr>
          <w:p>
            <w:pPr>
              <w:pStyle w:val="TableText"/>
            </w:pPr>
            <w:r/>
            <w:r>
              <w:t>Handbook 2022-2023, pp. 63, 66, 70, 73; Research Protocol AY2024-2025, Proposal Defense, Part I (venue and students abroad)</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SCH-06</w:t>
            </w:r>
          </w:p>
        </w:tc>
        <w:tc>
          <w:tcPr>
            <w:tcW w:type="dxa" w:w="1304"/>
          </w:tcPr>
          <w:p>
            <w:pPr>
              <w:pStyle w:val="TableText"/>
            </w:pPr>
            <w:r/>
            <w:r>
              <w:t>4.16 Scheduling</w:t>
            </w:r>
          </w:p>
        </w:tc>
        <w:tc>
          <w:tcPr>
            <w:tcW w:type="dxa" w:w="4195"/>
          </w:tcPr>
          <w:p>
            <w:pPr>
              <w:pStyle w:val="TableText"/>
            </w:pPr>
            <w:r/>
            <w:r>
              <w:t>The panel members must not agree with a proposed schedule without the revised manuscript.</w:t>
            </w:r>
          </w:p>
        </w:tc>
        <w:tc>
          <w:tcPr>
            <w:tcW w:type="dxa" w:w="2381"/>
          </w:tcPr>
          <w:p>
            <w:pPr>
              <w:pStyle w:val="TableText"/>
            </w:pPr>
            <w:r/>
            <w:r>
              <w:t>Handbook 2022-2023, p. 65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SCH-07</w:t>
            </w:r>
          </w:p>
        </w:tc>
        <w:tc>
          <w:tcPr>
            <w:tcW w:type="dxa" w:w="1304"/>
          </w:tcPr>
          <w:p>
            <w:pPr>
              <w:pStyle w:val="TableText"/>
            </w:pPr>
            <w:r/>
            <w:r>
              <w:t>4.16 Scheduling</w:t>
            </w:r>
          </w:p>
        </w:tc>
        <w:tc>
          <w:tcPr>
            <w:tcW w:type="dxa" w:w="4195"/>
          </w:tcPr>
          <w:p>
            <w:pPr>
              <w:pStyle w:val="TableText"/>
            </w:pPr>
            <w:r/>
            <w:r>
              <w:t>A re-defense follows the same protocol as the original defense.</w:t>
            </w:r>
          </w:p>
        </w:tc>
        <w:tc>
          <w:tcPr>
            <w:tcW w:type="dxa" w:w="2381"/>
          </w:tcPr>
          <w:p>
            <w:pPr>
              <w:pStyle w:val="TableText"/>
            </w:pPr>
            <w:r/>
            <w:r>
              <w:t>Handbook 2022-2023, pp. 64, 66-67; Research Protocol AY2024-2025, Proposal Defense, Part II (major revisions)</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SCH-08</w:t>
            </w:r>
          </w:p>
        </w:tc>
        <w:tc>
          <w:tcPr>
            <w:tcW w:type="dxa" w:w="1304"/>
          </w:tcPr>
          <w:p>
            <w:pPr>
              <w:pStyle w:val="TableText"/>
            </w:pPr>
            <w:r/>
            <w:r>
              <w:t>4.16 Scheduling</w:t>
            </w:r>
          </w:p>
        </w:tc>
        <w:tc>
          <w:tcPr>
            <w:tcW w:type="dxa" w:w="4195"/>
          </w:tcPr>
          <w:p>
            <w:pPr>
              <w:pStyle w:val="TableText"/>
            </w:pPr>
            <w:r/>
            <w:r>
              <w:t>Faculty invited to a panel may accept the invitation for the proposed date or mark themselves unavailable (the Associate Dean suggested this).</w:t>
            </w:r>
          </w:p>
        </w:tc>
        <w:tc>
          <w:tcPr>
            <w:tcW w:type="dxa" w:w="2381"/>
          </w:tcPr>
          <w:p>
            <w:pPr>
              <w:pStyle w:val="TableText"/>
            </w:pPr>
            <w:r/>
            <w:r>
              <w:t>Consultation 21 July 2026, Associate Dean's suggestion for panel scheduling</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SCH-09</w:t>
            </w:r>
          </w:p>
        </w:tc>
        <w:tc>
          <w:tcPr>
            <w:tcW w:type="dxa" w:w="1304"/>
          </w:tcPr>
          <w:p>
            <w:pPr>
              <w:pStyle w:val="TableText"/>
            </w:pPr>
            <w:r/>
            <w:r>
              <w:t>4.16 Scheduling</w:t>
            </w:r>
          </w:p>
        </w:tc>
        <w:tc>
          <w:tcPr>
            <w:tcW w:type="dxa" w:w="4195"/>
          </w:tcPr>
          <w:p>
            <w:pPr>
              <w:pStyle w:val="TableText"/>
            </w:pPr>
            <w:r/>
            <w:r>
              <w:t>A defense is confirmed only when all required panel members and the adviser are available on the date; the lead time is a warning that staff may override with a recorded reason; the student may send a scheduling request with preferred dates; a reschedule or cancellation needs a recorded reason and the name of who asked for it.</w:t>
            </w:r>
          </w:p>
        </w:tc>
        <w:tc>
          <w:tcPr>
            <w:tcW w:type="dxa" w:w="2381"/>
          </w:tcPr>
          <w:p>
            <w:pPr>
              <w:pStyle w:val="TableText"/>
            </w:pPr>
            <w:r/>
            <w:r>
              <w:t>Group working notes, BPM accurate flow, section 9; Platform (current build)</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PRC-01</w:t>
            </w:r>
          </w:p>
        </w:tc>
        <w:tc>
          <w:tcPr>
            <w:tcW w:type="dxa" w:w="1304"/>
          </w:tcPr>
          <w:p>
            <w:pPr>
              <w:pStyle w:val="TableText"/>
            </w:pPr>
            <w:r/>
            <w:r>
              <w:t>4.17 Practicum</w:t>
            </w:r>
          </w:p>
        </w:tc>
        <w:tc>
          <w:tcPr>
            <w:tcW w:type="dxa" w:w="4195"/>
          </w:tcPr>
          <w:p>
            <w:pPr>
              <w:pStyle w:val="TableText"/>
            </w:pPr>
            <w:r/>
            <w:r>
              <w:t>Students who have finished all their coursework and are just working on the practicum or internship, after a semester of enrollment for it, may enroll for residence.</w:t>
            </w:r>
          </w:p>
        </w:tc>
        <w:tc>
          <w:tcPr>
            <w:tcW w:type="dxa" w:w="2381"/>
          </w:tcPr>
          <w:p>
            <w:pPr>
              <w:pStyle w:val="TableText"/>
            </w:pPr>
            <w:r/>
            <w:r>
              <w:t>Handbook 2022-2023, p. 48</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PRC-02</w:t>
            </w:r>
          </w:p>
        </w:tc>
        <w:tc>
          <w:tcPr>
            <w:tcW w:type="dxa" w:w="1304"/>
          </w:tcPr>
          <w:p>
            <w:pPr>
              <w:pStyle w:val="TableText"/>
            </w:pPr>
            <w:r/>
            <w:r>
              <w:t>4.17 Practicum</w:t>
            </w:r>
          </w:p>
        </w:tc>
        <w:tc>
          <w:tcPr>
            <w:tcW w:type="dxa" w:w="4195"/>
          </w:tcPr>
          <w:p>
            <w:pPr>
              <w:pStyle w:val="TableText"/>
            </w:pPr>
            <w:r/>
            <w:r>
              <w:t>For the non-thesis track in Education, the integrating course (action research or practicum in the major field) must be completed before the student files for the comprehensive examination.</w:t>
            </w:r>
          </w:p>
        </w:tc>
        <w:tc>
          <w:tcPr>
            <w:tcW w:type="dxa" w:w="2381"/>
          </w:tcPr>
          <w:p>
            <w:pPr>
              <w:pStyle w:val="TableText"/>
            </w:pPr>
            <w:r/>
            <w:r>
              <w:t>Handbook 2022-2023, p. 56</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PRC-03</w:t>
            </w:r>
          </w:p>
        </w:tc>
        <w:tc>
          <w:tcPr>
            <w:tcW w:type="dxa" w:w="1304"/>
          </w:tcPr>
          <w:p>
            <w:pPr>
              <w:pStyle w:val="TableText"/>
            </w:pPr>
            <w:r/>
            <w:r>
              <w:t>4.17 Practicum</w:t>
            </w:r>
          </w:p>
        </w:tc>
        <w:tc>
          <w:tcPr>
            <w:tcW w:type="dxa" w:w="4195"/>
          </w:tcPr>
          <w:p>
            <w:pPr>
              <w:pStyle w:val="TableText"/>
            </w:pPr>
            <w:r/>
            <w:r>
              <w:t>The curriculum copied in the group's notes for the Doctor of Philosophy in Psychology lists DPSY330 Internship (six units) in the second semester of the second year, before the written comprehensive examination and the dissertation. (The document the curriculum was copied from is not identified in the notes.)</w:t>
            </w:r>
          </w:p>
        </w:tc>
        <w:tc>
          <w:tcPr>
            <w:tcW w:type="dxa" w:w="2381"/>
          </w:tcPr>
          <w:p>
            <w:pPr>
              <w:pStyle w:val="TableText"/>
            </w:pPr>
            <w:r/>
            <w:r>
              <w:t>Group working notes, 'Course stuff' section, program curriculum tables</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PRC-04</w:t>
            </w:r>
          </w:p>
        </w:tc>
        <w:tc>
          <w:tcPr>
            <w:tcW w:type="dxa" w:w="1304"/>
          </w:tcPr>
          <w:p>
            <w:pPr>
              <w:pStyle w:val="TableText"/>
            </w:pPr>
            <w:r/>
            <w:r>
              <w:t>4.17 Practicum</w:t>
            </w:r>
          </w:p>
        </w:tc>
        <w:tc>
          <w:tcPr>
            <w:tcW w:type="dxa" w:w="4195"/>
          </w:tcPr>
          <w:p>
            <w:pPr>
              <w:pStyle w:val="TableText"/>
            </w:pPr>
            <w:r/>
            <w:r>
              <w:t>The practicum workflow applies only to students in Psychology programs and in the Master of Science in Guidance and Counseling (MSGC); students of other programs are excluded.</w:t>
            </w:r>
          </w:p>
        </w:tc>
        <w:tc>
          <w:tcPr>
            <w:tcW w:type="dxa" w:w="2381"/>
          </w:tcPr>
          <w:p>
            <w:pPr>
              <w:pStyle w:val="TableText"/>
            </w:pPr>
            <w:r/>
            <w:r>
              <w:t>Group working notes, Proposal and scenario notes, practicum program restriction; Platform (current build)</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PRC-05</w:t>
            </w:r>
          </w:p>
        </w:tc>
        <w:tc>
          <w:tcPr>
            <w:tcW w:type="dxa" w:w="1304"/>
          </w:tcPr>
          <w:p>
            <w:pPr>
              <w:pStyle w:val="TableText"/>
            </w:pPr>
            <w:r/>
            <w:r>
              <w:t>4.17 Practicum</w:t>
            </w:r>
          </w:p>
        </w:tc>
        <w:tc>
          <w:tcPr>
            <w:tcW w:type="dxa" w:w="4195"/>
          </w:tcPr>
          <w:p>
            <w:pPr>
              <w:pStyle w:val="TableText"/>
            </w:pPr>
            <w:r/>
            <w:r>
              <w:t>A student may begin the practicum only after the platform's check of curriculum completion and research progress is satisfied; if source data are missing the check shows Needs verification, not Pass.</w:t>
            </w:r>
          </w:p>
        </w:tc>
        <w:tc>
          <w:tcPr>
            <w:tcW w:type="dxa" w:w="2381"/>
          </w:tcPr>
          <w:p>
            <w:pPr>
              <w:pStyle w:val="TableText"/>
            </w:pPr>
            <w:r/>
            <w:r>
              <w:t>Group working notes, Platform (current build): practicum eligibility</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PRC-06</w:t>
            </w:r>
          </w:p>
        </w:tc>
        <w:tc>
          <w:tcPr>
            <w:tcW w:type="dxa" w:w="1304"/>
          </w:tcPr>
          <w:p>
            <w:pPr>
              <w:pStyle w:val="TableText"/>
            </w:pPr>
            <w:r/>
            <w:r>
              <w:t>4.17 Practicum</w:t>
            </w:r>
          </w:p>
        </w:tc>
        <w:tc>
          <w:tcPr>
            <w:tcW w:type="dxa" w:w="4195"/>
          </w:tcPr>
          <w:p>
            <w:pPr>
              <w:pStyle w:val="TableText"/>
            </w:pPr>
            <w:r/>
            <w:r>
              <w:t>The student submits a signed MOA, the practicum site and the supervisor's name; GS staff record and forward it; the Academic Coordinator reviews it and marks the practicum as in progress.</w:t>
            </w:r>
          </w:p>
        </w:tc>
        <w:tc>
          <w:tcPr>
            <w:tcW w:type="dxa" w:w="2381"/>
          </w:tcPr>
          <w:p>
            <w:pPr>
              <w:pStyle w:val="TableText"/>
            </w:pPr>
            <w:r/>
            <w:r>
              <w:t>Group working notes, BPM accurate flow, section 11</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PRC-07</w:t>
            </w:r>
          </w:p>
        </w:tc>
        <w:tc>
          <w:tcPr>
            <w:tcW w:type="dxa" w:w="1304"/>
          </w:tcPr>
          <w:p>
            <w:pPr>
              <w:pStyle w:val="TableText"/>
            </w:pPr>
            <w:r/>
            <w:r>
              <w:t>4.17 Practicum</w:t>
            </w:r>
          </w:p>
        </w:tc>
        <w:tc>
          <w:tcPr>
            <w:tcW w:type="dxa" w:w="4195"/>
          </w:tcPr>
          <w:p>
            <w:pPr>
              <w:pStyle w:val="TableText"/>
            </w:pPr>
            <w:r/>
            <w:r>
              <w:t>The required practicum hours default to 200; the practicum cannot be marked completed below the required hours; completion evidence is one or more certificate PDFs, and several certificates are allowed when the hours come from different companies.</w:t>
            </w:r>
          </w:p>
        </w:tc>
        <w:tc>
          <w:tcPr>
            <w:tcW w:type="dxa" w:w="2381"/>
          </w:tcPr>
          <w:p>
            <w:pPr>
              <w:pStyle w:val="TableText"/>
            </w:pPr>
            <w:r/>
            <w:r>
              <w:t>Group working notes, Platform (current build); proposal notes</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PRC-08</w:t>
            </w:r>
          </w:p>
        </w:tc>
        <w:tc>
          <w:tcPr>
            <w:tcW w:type="dxa" w:w="1304"/>
          </w:tcPr>
          <w:p>
            <w:pPr>
              <w:pStyle w:val="TableText"/>
            </w:pPr>
            <w:r/>
            <w:r>
              <w:t>4.17 Practicum</w:t>
            </w:r>
          </w:p>
        </w:tc>
        <w:tc>
          <w:tcPr>
            <w:tcW w:type="dxa" w:w="4195"/>
          </w:tcPr>
          <w:p>
            <w:pPr>
              <w:pStyle w:val="TableText"/>
            </w:pPr>
            <w:r/>
            <w:r>
              <w:t>If the hours are short, the Academic Coordinator returns the case with a reason; the student submits additional evidence; the earlier files stay in the history and are not overwritten.</w:t>
            </w:r>
          </w:p>
        </w:tc>
        <w:tc>
          <w:tcPr>
            <w:tcW w:type="dxa" w:w="2381"/>
          </w:tcPr>
          <w:p>
            <w:pPr>
              <w:pStyle w:val="TableText"/>
            </w:pPr>
            <w:r/>
            <w:r>
              <w:t>Group working notes, Scenario notes, practicum unusual case</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PRC-09</w:t>
            </w:r>
          </w:p>
        </w:tc>
        <w:tc>
          <w:tcPr>
            <w:tcW w:type="dxa" w:w="1304"/>
          </w:tcPr>
          <w:p>
            <w:pPr>
              <w:pStyle w:val="TableText"/>
            </w:pPr>
            <w:r/>
            <w:r>
              <w:t>4.17 Practicum</w:t>
            </w:r>
          </w:p>
        </w:tc>
        <w:tc>
          <w:tcPr>
            <w:tcW w:type="dxa" w:w="4195"/>
          </w:tcPr>
          <w:p>
            <w:pPr>
              <w:pStyle w:val="TableText"/>
            </w:pPr>
            <w:r/>
            <w:r>
              <w:t>The Academic Coordinator verifies hours and documents and sends a completed status report to the Dean; the Dean reviews the report and marks it reviewed. The Dean does not approve or deny the practicum.</w:t>
            </w:r>
          </w:p>
        </w:tc>
        <w:tc>
          <w:tcPr>
            <w:tcW w:type="dxa" w:w="2381"/>
          </w:tcPr>
          <w:p>
            <w:pPr>
              <w:pStyle w:val="TableText"/>
            </w:pPr>
            <w:r/>
            <w:r>
              <w:t>Group working notes, BPM accurate flow, section 11</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GRD-01</w:t>
            </w:r>
          </w:p>
        </w:tc>
        <w:tc>
          <w:tcPr>
            <w:tcW w:type="dxa" w:w="1304"/>
          </w:tcPr>
          <w:p>
            <w:pPr>
              <w:pStyle w:val="TableText"/>
            </w:pPr>
            <w:r/>
            <w:r>
              <w:t>4.18 Graduation</w:t>
            </w:r>
          </w:p>
        </w:tc>
        <w:tc>
          <w:tcPr>
            <w:tcW w:type="dxa" w:w="4195"/>
          </w:tcPr>
          <w:p>
            <w:pPr>
              <w:pStyle w:val="TableText"/>
            </w:pPr>
            <w:r/>
            <w:r>
              <w:t>A student will only be considered a graduate of the University after completing all the requirements listed below; a student will not be allowed to go up the stage if requirements are not met.</w:t>
            </w:r>
          </w:p>
        </w:tc>
        <w:tc>
          <w:tcPr>
            <w:tcW w:type="dxa" w:w="2381"/>
          </w:tcPr>
          <w:p>
            <w:pPr>
              <w:pStyle w:val="TableText"/>
            </w:pPr>
            <w:r/>
            <w:r>
              <w:t>Handbook 2022-2023, p. 77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GRD-02</w:t>
            </w:r>
          </w:p>
        </w:tc>
        <w:tc>
          <w:tcPr>
            <w:tcW w:type="dxa" w:w="1304"/>
          </w:tcPr>
          <w:p>
            <w:pPr>
              <w:pStyle w:val="TableText"/>
            </w:pPr>
            <w:r/>
            <w:r>
              <w:t>4.18 Graduation</w:t>
            </w:r>
          </w:p>
        </w:tc>
        <w:tc>
          <w:tcPr>
            <w:tcW w:type="dxa" w:w="4195"/>
          </w:tcPr>
          <w:p>
            <w:pPr>
              <w:pStyle w:val="TableText"/>
            </w:pPr>
            <w:r/>
            <w:r>
              <w:t>The student must be officially enrolled during the semester of application for graduation.</w:t>
            </w:r>
          </w:p>
        </w:tc>
        <w:tc>
          <w:tcPr>
            <w:tcW w:type="dxa" w:w="2381"/>
          </w:tcPr>
          <w:p>
            <w:pPr>
              <w:pStyle w:val="TableText"/>
            </w:pPr>
            <w:r/>
            <w:r>
              <w:t>Handbook 2022-2023, p. 77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GRD-03</w:t>
            </w:r>
          </w:p>
        </w:tc>
        <w:tc>
          <w:tcPr>
            <w:tcW w:type="dxa" w:w="1304"/>
          </w:tcPr>
          <w:p>
            <w:pPr>
              <w:pStyle w:val="TableText"/>
            </w:pPr>
            <w:r/>
            <w:r>
              <w:t>4.18 Graduation</w:t>
            </w:r>
          </w:p>
        </w:tc>
        <w:tc>
          <w:tcPr>
            <w:tcW w:type="dxa" w:w="4195"/>
          </w:tcPr>
          <w:p>
            <w:pPr>
              <w:pStyle w:val="TableText"/>
            </w:pPr>
            <w:r/>
            <w:r>
              <w:t>The student must have completed all the prescribed subjects for the degree.</w:t>
            </w:r>
          </w:p>
        </w:tc>
        <w:tc>
          <w:tcPr>
            <w:tcW w:type="dxa" w:w="2381"/>
          </w:tcPr>
          <w:p>
            <w:pPr>
              <w:pStyle w:val="TableText"/>
            </w:pPr>
            <w:r/>
            <w:r>
              <w:t>Handbook 2022-2023, p. 77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GRD-04</w:t>
            </w:r>
          </w:p>
        </w:tc>
        <w:tc>
          <w:tcPr>
            <w:tcW w:type="dxa" w:w="1304"/>
          </w:tcPr>
          <w:p>
            <w:pPr>
              <w:pStyle w:val="TableText"/>
            </w:pPr>
            <w:r/>
            <w:r>
              <w:t>4.18 Graduation</w:t>
            </w:r>
          </w:p>
        </w:tc>
        <w:tc>
          <w:tcPr>
            <w:tcW w:type="dxa" w:w="4195"/>
          </w:tcPr>
          <w:p>
            <w:pPr>
              <w:pStyle w:val="TableText"/>
            </w:pPr>
            <w:r/>
            <w:r>
              <w:t>The student must have passed the comprehensive examination.</w:t>
            </w:r>
          </w:p>
        </w:tc>
        <w:tc>
          <w:tcPr>
            <w:tcW w:type="dxa" w:w="2381"/>
          </w:tcPr>
          <w:p>
            <w:pPr>
              <w:pStyle w:val="TableText"/>
            </w:pPr>
            <w:r/>
            <w:r>
              <w:t>Handbook 2022-2023, p. 77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GRD-05</w:t>
            </w:r>
          </w:p>
        </w:tc>
        <w:tc>
          <w:tcPr>
            <w:tcW w:type="dxa" w:w="1304"/>
          </w:tcPr>
          <w:p>
            <w:pPr>
              <w:pStyle w:val="TableText"/>
            </w:pPr>
            <w:r/>
            <w:r>
              <w:t>4.18 Graduation</w:t>
            </w:r>
          </w:p>
        </w:tc>
        <w:tc>
          <w:tcPr>
            <w:tcW w:type="dxa" w:w="4195"/>
          </w:tcPr>
          <w:p>
            <w:pPr>
              <w:pStyle w:val="TableText"/>
            </w:pPr>
            <w:r/>
            <w:r>
              <w:t>The student must have completed a successful final oral defense of the project paper, thesis or dissertation, and complied with the required revisions.</w:t>
            </w:r>
          </w:p>
        </w:tc>
        <w:tc>
          <w:tcPr>
            <w:tcW w:type="dxa" w:w="2381"/>
          </w:tcPr>
          <w:p>
            <w:pPr>
              <w:pStyle w:val="TableText"/>
            </w:pPr>
            <w:r/>
            <w:r>
              <w:t>Handbook 2022-2023, p. 77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GRD-06</w:t>
            </w:r>
          </w:p>
        </w:tc>
        <w:tc>
          <w:tcPr>
            <w:tcW w:type="dxa" w:w="1304"/>
          </w:tcPr>
          <w:p>
            <w:pPr>
              <w:pStyle w:val="TableText"/>
            </w:pPr>
            <w:r/>
            <w:r>
              <w:t>4.18 Graduation</w:t>
            </w:r>
          </w:p>
        </w:tc>
        <w:tc>
          <w:tcPr>
            <w:tcW w:type="dxa" w:w="4195"/>
          </w:tcPr>
          <w:p>
            <w:pPr>
              <w:pStyle w:val="TableText"/>
            </w:pPr>
            <w:r/>
            <w:r>
              <w:t>The student must submit one bound approved copy of the project paper, thesis or dissertation and one CD. The bound copy conforms to the standard format of the University and contains the official approval by the members of the defense panel and the official acceptance by the Dean.</w:t>
            </w:r>
          </w:p>
        </w:tc>
        <w:tc>
          <w:tcPr>
            <w:tcW w:type="dxa" w:w="2381"/>
          </w:tcPr>
          <w:p>
            <w:pPr>
              <w:pStyle w:val="TableText"/>
            </w:pPr>
            <w:r/>
            <w:r>
              <w:t>Handbook 2022-2023, p. 77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GRD-07</w:t>
            </w:r>
          </w:p>
        </w:tc>
        <w:tc>
          <w:tcPr>
            <w:tcW w:type="dxa" w:w="1304"/>
          </w:tcPr>
          <w:p>
            <w:pPr>
              <w:pStyle w:val="TableText"/>
            </w:pPr>
            <w:r/>
            <w:r>
              <w:t>4.18 Graduation</w:t>
            </w:r>
          </w:p>
        </w:tc>
        <w:tc>
          <w:tcPr>
            <w:tcW w:type="dxa" w:w="4195"/>
          </w:tcPr>
          <w:p>
            <w:pPr>
              <w:pStyle w:val="TableText"/>
            </w:pPr>
            <w:r/>
            <w:r>
              <w:t>The student must have paid all financial obligations to the University; the Graduate School may withhold reports of grades, transcripts of records and diplomas of students who have not fully paid.</w:t>
            </w:r>
          </w:p>
        </w:tc>
        <w:tc>
          <w:tcPr>
            <w:tcW w:type="dxa" w:w="2381"/>
          </w:tcPr>
          <w:p>
            <w:pPr>
              <w:pStyle w:val="TableText"/>
            </w:pPr>
            <w:r/>
            <w:r>
              <w:t>Handbook 2022-2023, p. 77; Handbook 2022-2023, p. 51</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GRD-08</w:t>
            </w:r>
          </w:p>
        </w:tc>
        <w:tc>
          <w:tcPr>
            <w:tcW w:type="dxa" w:w="1304"/>
          </w:tcPr>
          <w:p>
            <w:pPr>
              <w:pStyle w:val="TableText"/>
            </w:pPr>
            <w:r/>
            <w:r>
              <w:t>4.18 Graduation</w:t>
            </w:r>
          </w:p>
        </w:tc>
        <w:tc>
          <w:tcPr>
            <w:tcW w:type="dxa" w:w="4195"/>
          </w:tcPr>
          <w:p>
            <w:pPr>
              <w:pStyle w:val="TableText"/>
            </w:pPr>
            <w:r/>
            <w:r>
              <w:t>The student must have presented the thesis or dissertation in a public seminar series.</w:t>
            </w:r>
          </w:p>
        </w:tc>
        <w:tc>
          <w:tcPr>
            <w:tcW w:type="dxa" w:w="2381"/>
          </w:tcPr>
          <w:p>
            <w:pPr>
              <w:pStyle w:val="TableText"/>
            </w:pPr>
            <w:r/>
            <w:r>
              <w:t>Handbook 2022-2023, p. 77</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GRD-09</w:t>
            </w:r>
          </w:p>
        </w:tc>
        <w:tc>
          <w:tcPr>
            <w:tcW w:type="dxa" w:w="1304"/>
          </w:tcPr>
          <w:p>
            <w:pPr>
              <w:pStyle w:val="TableText"/>
            </w:pPr>
            <w:r/>
            <w:r>
              <w:t>4.18 Graduation</w:t>
            </w:r>
          </w:p>
        </w:tc>
        <w:tc>
          <w:tcPr>
            <w:tcW w:type="dxa" w:w="4195"/>
          </w:tcPr>
          <w:p>
            <w:pPr>
              <w:pStyle w:val="TableText"/>
            </w:pPr>
            <w:r/>
            <w:r>
              <w:t>The student must have published at least one research paper while enrolled in the program in a Scopus-indexed, Web of Science and ISI journal, for those enrolled from AY 2022-2023 onwards.</w:t>
            </w:r>
          </w:p>
        </w:tc>
        <w:tc>
          <w:tcPr>
            <w:tcW w:type="dxa" w:w="2381"/>
          </w:tcPr>
          <w:p>
            <w:pPr>
              <w:pStyle w:val="TableText"/>
            </w:pPr>
            <w:r/>
            <w:r>
              <w:t>Handbook 2022-2023, p. 77; Handbook 2022-2023, p. 75</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GRD-10</w:t>
            </w:r>
          </w:p>
        </w:tc>
        <w:tc>
          <w:tcPr>
            <w:tcW w:type="dxa" w:w="1304"/>
          </w:tcPr>
          <w:p>
            <w:pPr>
              <w:pStyle w:val="TableText"/>
            </w:pPr>
            <w:r/>
            <w:r>
              <w:t>4.18 Graduation</w:t>
            </w:r>
          </w:p>
        </w:tc>
        <w:tc>
          <w:tcPr>
            <w:tcW w:type="dxa" w:w="4195"/>
          </w:tcPr>
          <w:p>
            <w:pPr>
              <w:pStyle w:val="TableText"/>
            </w:pPr>
            <w:r/>
            <w:r>
              <w:t>Graduating students are required to attend the Alumni seminar given by the Alumni Director.</w:t>
            </w:r>
          </w:p>
        </w:tc>
        <w:tc>
          <w:tcPr>
            <w:tcW w:type="dxa" w:w="2381"/>
          </w:tcPr>
          <w:p>
            <w:pPr>
              <w:pStyle w:val="TableText"/>
            </w:pPr>
            <w:r/>
            <w:r>
              <w:t>Handbook 2022-2023, p. 80</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GRD-11</w:t>
            </w:r>
          </w:p>
        </w:tc>
        <w:tc>
          <w:tcPr>
            <w:tcW w:type="dxa" w:w="1304"/>
          </w:tcPr>
          <w:p>
            <w:pPr>
              <w:pStyle w:val="TableText"/>
            </w:pPr>
            <w:r/>
            <w:r>
              <w:t>4.18 Graduation</w:t>
            </w:r>
          </w:p>
        </w:tc>
        <w:tc>
          <w:tcPr>
            <w:tcW w:type="dxa" w:w="4195"/>
          </w:tcPr>
          <w:p>
            <w:pPr>
              <w:pStyle w:val="TableText"/>
            </w:pPr>
            <w:r/>
            <w:r>
              <w:t>The Office of the Registrar certifies the eligibility of candidates for graduation and honors.</w:t>
            </w:r>
          </w:p>
        </w:tc>
        <w:tc>
          <w:tcPr>
            <w:tcW w:type="dxa" w:w="2381"/>
          </w:tcPr>
          <w:p>
            <w:pPr>
              <w:pStyle w:val="TableText"/>
            </w:pPr>
            <w:r/>
            <w:r>
              <w:t>Handbook 2022-2023, p. 32</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GRD-12</w:t>
            </w:r>
          </w:p>
        </w:tc>
        <w:tc>
          <w:tcPr>
            <w:tcW w:type="dxa" w:w="1304"/>
          </w:tcPr>
          <w:p>
            <w:pPr>
              <w:pStyle w:val="TableText"/>
            </w:pPr>
            <w:r/>
            <w:r>
              <w:t>4.18 Graduation</w:t>
            </w:r>
          </w:p>
        </w:tc>
        <w:tc>
          <w:tcPr>
            <w:tcW w:type="dxa" w:w="4195"/>
          </w:tcPr>
          <w:p>
            <w:pPr>
              <w:pStyle w:val="TableText"/>
            </w:pPr>
            <w:r/>
            <w:r>
              <w:t>Academic honors: Highest Academic Honor needs a GPA of 1.1 or better and no grade lower than 1.25; High Academic Honor needs a GPA of 1.25 or better and no grade lower than 1.25 (doctoral) or 1.5 (master's). Both need moral and academic integrity, no repeated subject, no INC, D or W grade, and passing the comprehensive examination with no re-take.</w:t>
            </w:r>
          </w:p>
        </w:tc>
        <w:tc>
          <w:tcPr>
            <w:tcW w:type="dxa" w:w="2381"/>
          </w:tcPr>
          <w:p>
            <w:pPr>
              <w:pStyle w:val="TableText"/>
            </w:pPr>
            <w:r/>
            <w:r>
              <w:t>Handbook 2022-2023, pp. 55-56</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GRD-13</w:t>
            </w:r>
          </w:p>
        </w:tc>
        <w:tc>
          <w:tcPr>
            <w:tcW w:type="dxa" w:w="1304"/>
          </w:tcPr>
          <w:p>
            <w:pPr>
              <w:pStyle w:val="TableText"/>
            </w:pPr>
            <w:r/>
            <w:r>
              <w:t>4.18 Graduation</w:t>
            </w:r>
          </w:p>
        </w:tc>
        <w:tc>
          <w:tcPr>
            <w:tcW w:type="dxa" w:w="4195"/>
          </w:tcPr>
          <w:p>
            <w:pPr>
              <w:pStyle w:val="TableText"/>
            </w:pPr>
            <w:r/>
            <w:r>
              <w:t>GS staff compile the candidate list; the Academic Coordinator checks coursework; the Research Coordinator validates the research completion documents; GS staff prepare the endorsement list; the Dean approves it and sends it to the Registrar.</w:t>
            </w:r>
          </w:p>
        </w:tc>
        <w:tc>
          <w:tcPr>
            <w:tcW w:type="dxa" w:w="2381"/>
          </w:tcPr>
          <w:p>
            <w:pPr>
              <w:pStyle w:val="TableText"/>
            </w:pPr>
            <w:r/>
            <w:r>
              <w:t>Group working notes, BPM accurate flow, section 12</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GRD-14</w:t>
            </w:r>
          </w:p>
        </w:tc>
        <w:tc>
          <w:tcPr>
            <w:tcW w:type="dxa" w:w="1304"/>
          </w:tcPr>
          <w:p>
            <w:pPr>
              <w:pStyle w:val="TableText"/>
            </w:pPr>
            <w:r/>
            <w:r>
              <w:t>4.18 Graduation</w:t>
            </w:r>
          </w:p>
        </w:tc>
        <w:tc>
          <w:tcPr>
            <w:tcW w:type="dxa" w:w="4195"/>
          </w:tcPr>
          <w:p>
            <w:pPr>
              <w:pStyle w:val="TableText"/>
            </w:pPr>
            <w:r/>
            <w:r>
              <w:t>A student is eligible for selection into a graduation batch only after coursework, research and practicum (where applicable) are complete and the student has submitted a signed graduation application; an application with incorrect information is returned and replaced by a completely new corrected document, the original being kept.</w:t>
            </w:r>
          </w:p>
        </w:tc>
        <w:tc>
          <w:tcPr>
            <w:tcW w:type="dxa" w:w="2381"/>
          </w:tcPr>
          <w:p>
            <w:pPr>
              <w:pStyle w:val="TableText"/>
            </w:pPr>
            <w:r/>
            <w:r>
              <w:t>Group working notes, Scenario notes, graduation standard and unusual cases; Platform (current build)</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GRD-15</w:t>
            </w:r>
          </w:p>
        </w:tc>
        <w:tc>
          <w:tcPr>
            <w:tcW w:type="dxa" w:w="1304"/>
          </w:tcPr>
          <w:p>
            <w:pPr>
              <w:pStyle w:val="TableText"/>
            </w:pPr>
            <w:r/>
            <w:r>
              <w:t>4.18 Graduation</w:t>
            </w:r>
          </w:p>
        </w:tc>
        <w:tc>
          <w:tcPr>
            <w:tcW w:type="dxa" w:w="4195"/>
          </w:tcPr>
          <w:p>
            <w:pPr>
              <w:pStyle w:val="TableText"/>
            </w:pPr>
            <w:r/>
            <w:r>
              <w:t>Candidates are reviewed within a graduation review window for a school year opened and closed by the Graduate School; the dates, the treatment of late applicants and the treatment of eligible students who miss the window are to be set by the Graduate School.</w:t>
            </w:r>
          </w:p>
        </w:tc>
        <w:tc>
          <w:tcPr>
            <w:tcW w:type="dxa" w:w="2381"/>
          </w:tcPr>
          <w:p>
            <w:pPr>
              <w:pStyle w:val="TableText"/>
            </w:pPr>
            <w:r/>
            <w:r>
              <w:t>Group working notes, Scenario notes; Platform (current build)</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GRD-16</w:t>
            </w:r>
          </w:p>
        </w:tc>
        <w:tc>
          <w:tcPr>
            <w:tcW w:type="dxa" w:w="1304"/>
          </w:tcPr>
          <w:p>
            <w:pPr>
              <w:pStyle w:val="TableText"/>
            </w:pPr>
            <w:r/>
            <w:r>
              <w:t>4.18 Graduation</w:t>
            </w:r>
          </w:p>
        </w:tc>
        <w:tc>
          <w:tcPr>
            <w:tcW w:type="dxa" w:w="4195"/>
          </w:tcPr>
          <w:p>
            <w:pPr>
              <w:pStyle w:val="TableText"/>
            </w:pPr>
            <w:r/>
            <w:r>
              <w:t>After the Dean approves a batch, the endorsed list is exported as a file and the Dean sends it to the Registrar by the official email; the platform records the export and the status Exported — Ready to Send, and does not record that an email was sent or that the Registrar acknowledged it.</w:t>
            </w:r>
          </w:p>
        </w:tc>
        <w:tc>
          <w:tcPr>
            <w:tcW w:type="dxa" w:w="2381"/>
          </w:tcPr>
          <w:p>
            <w:pPr>
              <w:pStyle w:val="TableText"/>
            </w:pPr>
            <w:r/>
            <w:r>
              <w:t>Group working notes, Scenario notes; Platform (current build)</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HND-01</w:t>
            </w:r>
          </w:p>
        </w:tc>
        <w:tc>
          <w:tcPr>
            <w:tcW w:type="dxa" w:w="1304"/>
          </w:tcPr>
          <w:p>
            <w:pPr>
              <w:pStyle w:val="TableText"/>
            </w:pPr>
            <w:r/>
            <w:r>
              <w:t>4.19 Registrar handoff</w:t>
            </w:r>
          </w:p>
        </w:tc>
        <w:tc>
          <w:tcPr>
            <w:tcW w:type="dxa" w:w="4195"/>
          </w:tcPr>
          <w:p>
            <w:pPr>
              <w:pStyle w:val="TableText"/>
            </w:pPr>
            <w:r/>
            <w:r>
              <w:t>The accomplished Withdrawal Form is provided to the Registrar, the Accounting Office, and the student.</w:t>
            </w:r>
          </w:p>
        </w:tc>
        <w:tc>
          <w:tcPr>
            <w:tcW w:type="dxa" w:w="2381"/>
          </w:tcPr>
          <w:p>
            <w:pPr>
              <w:pStyle w:val="TableText"/>
            </w:pPr>
            <w:r/>
            <w:r>
              <w:t>Handbook 2022-2023, p. 49</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HND-02</w:t>
            </w:r>
          </w:p>
        </w:tc>
        <w:tc>
          <w:tcPr>
            <w:tcW w:type="dxa" w:w="1304"/>
          </w:tcPr>
          <w:p>
            <w:pPr>
              <w:pStyle w:val="TableText"/>
            </w:pPr>
            <w:r/>
            <w:r>
              <w:t>4.19 Registrar handoff</w:t>
            </w:r>
          </w:p>
        </w:tc>
        <w:tc>
          <w:tcPr>
            <w:tcW w:type="dxa" w:w="4195"/>
          </w:tcPr>
          <w:p>
            <w:pPr>
              <w:pStyle w:val="TableText"/>
            </w:pPr>
            <w:r/>
            <w:r>
              <w:t>The Dean, Associate Dean or authorized representative informs the University Registrar of a leave of absence, indicating the reasons and the amount of money refunded to the student, if any.</w:t>
            </w:r>
          </w:p>
        </w:tc>
        <w:tc>
          <w:tcPr>
            <w:tcW w:type="dxa" w:w="2381"/>
          </w:tcPr>
          <w:p>
            <w:pPr>
              <w:pStyle w:val="TableText"/>
            </w:pPr>
            <w:r/>
            <w:r>
              <w:t>Handbook 2022-2023, p. 53</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HND-03</w:t>
            </w:r>
          </w:p>
        </w:tc>
        <w:tc>
          <w:tcPr>
            <w:tcW w:type="dxa" w:w="1304"/>
          </w:tcPr>
          <w:p>
            <w:pPr>
              <w:pStyle w:val="TableText"/>
            </w:pPr>
            <w:r/>
            <w:r>
              <w:t>4.19 Registrar handoff</w:t>
            </w:r>
          </w:p>
        </w:tc>
        <w:tc>
          <w:tcPr>
            <w:tcW w:type="dxa" w:w="4195"/>
          </w:tcPr>
          <w:p>
            <w:pPr>
              <w:pStyle w:val="TableText"/>
            </w:pPr>
            <w:r/>
            <w:r>
              <w:t>The Graduate School Dean endorses a returning student's written intention to enroll to the University Registrar.</w:t>
            </w:r>
          </w:p>
        </w:tc>
        <w:tc>
          <w:tcPr>
            <w:tcW w:type="dxa" w:w="2381"/>
          </w:tcPr>
          <w:p>
            <w:pPr>
              <w:pStyle w:val="TableText"/>
            </w:pPr>
            <w:r/>
            <w:r>
              <w:t>Handbook 2022-2023, p. 53</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HND-04</w:t>
            </w:r>
          </w:p>
        </w:tc>
        <w:tc>
          <w:tcPr>
            <w:tcW w:type="dxa" w:w="1304"/>
          </w:tcPr>
          <w:p>
            <w:pPr>
              <w:pStyle w:val="TableText"/>
            </w:pPr>
            <w:r/>
            <w:r>
              <w:t>4.19 Registrar handoff</w:t>
            </w:r>
          </w:p>
        </w:tc>
        <w:tc>
          <w:tcPr>
            <w:tcW w:type="dxa" w:w="4195"/>
          </w:tcPr>
          <w:p>
            <w:pPr>
              <w:pStyle w:val="TableText"/>
            </w:pPr>
            <w:r/>
            <w:r>
              <w:t>Cross-enrollment: the Dean's written permission is presented to the Registrar, who issues the cross-enrollment permit; after the course the student submits the grade to the Registrar for inclusion in the academic record.</w:t>
            </w:r>
          </w:p>
        </w:tc>
        <w:tc>
          <w:tcPr>
            <w:tcW w:type="dxa" w:w="2381"/>
          </w:tcPr>
          <w:p>
            <w:pPr>
              <w:pStyle w:val="TableText"/>
            </w:pPr>
            <w:r/>
            <w:r>
              <w:t>Handbook 2022-2023, p. 50</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HND-05</w:t>
            </w:r>
          </w:p>
        </w:tc>
        <w:tc>
          <w:tcPr>
            <w:tcW w:type="dxa" w:w="1304"/>
          </w:tcPr>
          <w:p>
            <w:pPr>
              <w:pStyle w:val="TableText"/>
            </w:pPr>
            <w:r/>
            <w:r>
              <w:t>4.19 Registrar handoff</w:t>
            </w:r>
          </w:p>
        </w:tc>
        <w:tc>
          <w:tcPr>
            <w:tcW w:type="dxa" w:w="4195"/>
          </w:tcPr>
          <w:p>
            <w:pPr>
              <w:pStyle w:val="TableText"/>
            </w:pPr>
            <w:r/>
            <w:r>
              <w:t>A professor submits his or her grades within one year after the course was enrolled; an error in grades is corrected after the professor explains in writing to the Dean and secures approval, before the Registrar submits grades to CHED.</w:t>
            </w:r>
          </w:p>
        </w:tc>
        <w:tc>
          <w:tcPr>
            <w:tcW w:type="dxa" w:w="2381"/>
          </w:tcPr>
          <w:p>
            <w:pPr>
              <w:pStyle w:val="TableText"/>
            </w:pPr>
            <w:r/>
            <w:r>
              <w:t>Handbook 2022-2023, p. 49</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HND-06</w:t>
            </w:r>
          </w:p>
        </w:tc>
        <w:tc>
          <w:tcPr>
            <w:tcW w:type="dxa" w:w="1304"/>
          </w:tcPr>
          <w:p>
            <w:pPr>
              <w:pStyle w:val="TableText"/>
            </w:pPr>
            <w:r/>
            <w:r>
              <w:t>4.19 Registrar handoff</w:t>
            </w:r>
          </w:p>
        </w:tc>
        <w:tc>
          <w:tcPr>
            <w:tcW w:type="dxa" w:w="4195"/>
          </w:tcPr>
          <w:p>
            <w:pPr>
              <w:pStyle w:val="TableText"/>
            </w:pPr>
            <w:r/>
            <w:r>
              <w:t>The Registrar is the repository of the records of academic performance and certifies the eligibility of candidates for graduation and honors.</w:t>
            </w:r>
          </w:p>
        </w:tc>
        <w:tc>
          <w:tcPr>
            <w:tcW w:type="dxa" w:w="2381"/>
          </w:tcPr>
          <w:p>
            <w:pPr>
              <w:pStyle w:val="TableText"/>
            </w:pPr>
            <w:r/>
            <w:r>
              <w:t>Handbook 2022-2023, p. 32</w:t>
            </w:r>
          </w:p>
        </w:tc>
        <w:tc>
          <w:tcPr>
            <w:tcW w:type="dxa" w:w="907"/>
            <w:shd w:val="clear" w:color="auto" w:fill="E2F0D9"/>
          </w:tcPr>
          <w:p>
            <w:pPr>
              <w:pStyle w:val="TableText"/>
            </w:pPr>
            <w:r>
              <w:rPr>
                <w:b/>
              </w:rPr>
            </w:r>
            <w:r>
              <w:rPr>
                <w:b/>
              </w:rPr>
              <w:t>Official</w:t>
            </w:r>
          </w:p>
        </w:tc>
      </w:tr>
      <w:tr>
        <w:trPr>
          <w:cantSplit w:val="true"/>
        </w:trPr>
        <w:tc>
          <w:tcPr>
            <w:tcW w:type="dxa" w:w="850"/>
          </w:tcPr>
          <w:p>
            <w:pPr>
              <w:pStyle w:val="TableText"/>
            </w:pPr>
            <w:r/>
            <w:r>
              <w:rPr>
                <w:b/>
              </w:rPr>
              <w:t>HND-07</w:t>
            </w:r>
          </w:p>
        </w:tc>
        <w:tc>
          <w:tcPr>
            <w:tcW w:type="dxa" w:w="1304"/>
          </w:tcPr>
          <w:p>
            <w:pPr>
              <w:pStyle w:val="TableText"/>
            </w:pPr>
            <w:r/>
            <w:r>
              <w:t>4.19 Registrar handoff</w:t>
            </w:r>
          </w:p>
        </w:tc>
        <w:tc>
          <w:tcPr>
            <w:tcW w:type="dxa" w:w="4195"/>
          </w:tcPr>
          <w:p>
            <w:pPr>
              <w:pStyle w:val="TableText"/>
            </w:pPr>
            <w:r/>
            <w:r>
              <w:t>For a withdrawal, the request is sent to the Registrar, who processes it in the system, and the Business Office then arranges any tuition adjustment; the Graduate School's responsibility ends at sending the request to the Registrar.</w:t>
            </w:r>
          </w:p>
        </w:tc>
        <w:tc>
          <w:tcPr>
            <w:tcW w:type="dxa" w:w="2381"/>
          </w:tcPr>
          <w:p>
            <w:pPr>
              <w:pStyle w:val="TableText"/>
            </w:pPr>
            <w:r/>
            <w:r>
              <w:t>Consultation 21 July 2026</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HND-08</w:t>
            </w:r>
          </w:p>
        </w:tc>
        <w:tc>
          <w:tcPr>
            <w:tcW w:type="dxa" w:w="1304"/>
          </w:tcPr>
          <w:p>
            <w:pPr>
              <w:pStyle w:val="TableText"/>
            </w:pPr>
            <w:r/>
            <w:r>
              <w:t>4.19 Registrar handoff</w:t>
            </w:r>
          </w:p>
        </w:tc>
        <w:tc>
          <w:tcPr>
            <w:tcW w:type="dxa" w:w="4195"/>
          </w:tcPr>
          <w:p>
            <w:pPr>
              <w:pStyle w:val="TableText"/>
            </w:pPr>
            <w:r/>
            <w:r>
              <w:t>There is no integration between AIMS and the Graduate School record. The Graduate School cannot pull data from AIMS and may ask the ITS for an Excel export.</w:t>
            </w:r>
          </w:p>
        </w:tc>
        <w:tc>
          <w:tcPr>
            <w:tcW w:type="dxa" w:w="2381"/>
          </w:tcPr>
          <w:p>
            <w:pPr>
              <w:pStyle w:val="TableText"/>
            </w:pPr>
            <w:r/>
            <w:r>
              <w:t>Consultation 21 July 2026</w:t>
            </w:r>
          </w:p>
        </w:tc>
        <w:tc>
          <w:tcPr>
            <w:tcW w:type="dxa" w:w="907"/>
            <w:shd w:val="clear" w:color="auto" w:fill="FFF2CC"/>
          </w:tcPr>
          <w:p>
            <w:pPr>
              <w:pStyle w:val="TableText"/>
            </w:pPr>
            <w:r>
              <w:rPr>
                <w:b/>
              </w:rPr>
            </w:r>
            <w:r>
              <w:rPr>
                <w:b/>
              </w:rPr>
              <w:t>Practice</w:t>
            </w:r>
          </w:p>
        </w:tc>
      </w:tr>
      <w:tr>
        <w:trPr>
          <w:cantSplit w:val="true"/>
        </w:trPr>
        <w:tc>
          <w:tcPr>
            <w:tcW w:type="dxa" w:w="850"/>
          </w:tcPr>
          <w:p>
            <w:pPr>
              <w:pStyle w:val="TableText"/>
            </w:pPr>
            <w:r/>
            <w:r>
              <w:rPr>
                <w:b/>
              </w:rPr>
              <w:t>HND-09</w:t>
            </w:r>
          </w:p>
        </w:tc>
        <w:tc>
          <w:tcPr>
            <w:tcW w:type="dxa" w:w="1304"/>
          </w:tcPr>
          <w:p>
            <w:pPr>
              <w:pStyle w:val="TableText"/>
            </w:pPr>
            <w:r/>
            <w:r>
              <w:t>4.19 Registrar handoff</w:t>
            </w:r>
          </w:p>
        </w:tc>
        <w:tc>
          <w:tcPr>
            <w:tcW w:type="dxa" w:w="4195"/>
          </w:tcPr>
          <w:p>
            <w:pPr>
              <w:pStyle w:val="TableText"/>
            </w:pPr>
            <w:r/>
            <w:r>
              <w:t>The Graduate School keeps a log of each handoff (what, when, by whom, to which office) and of the Registrar's confirmation when one is received; the platform does not claim that the Registrar has acted until a confirmation is recorded.</w:t>
            </w:r>
          </w:p>
        </w:tc>
        <w:tc>
          <w:tcPr>
            <w:tcW w:type="dxa" w:w="2381"/>
          </w:tcPr>
          <w:p>
            <w:pPr>
              <w:pStyle w:val="TableText"/>
            </w:pPr>
            <w:r/>
            <w:r>
              <w:t>Group working notes, July 20 checklist, item 57; Consultation 20 July 2026, adviser's remark that the Registrar must confirm</w:t>
            </w:r>
          </w:p>
        </w:tc>
        <w:tc>
          <w:tcPr>
            <w:tcW w:type="dxa" w:w="907"/>
            <w:shd w:val="clear" w:color="auto" w:fill="DDEBF7"/>
          </w:tcPr>
          <w:p>
            <w:pPr>
              <w:pStyle w:val="TableText"/>
            </w:pPr>
            <w:r>
              <w:rPr>
                <w:b/>
              </w:rPr>
            </w:r>
            <w:r>
              <w:rPr>
                <w:b/>
              </w:rPr>
              <w:t>Proposed</w:t>
            </w:r>
          </w:p>
        </w:tc>
      </w:tr>
      <w:tr>
        <w:trPr>
          <w:cantSplit w:val="true"/>
        </w:trPr>
        <w:tc>
          <w:tcPr>
            <w:tcW w:type="dxa" w:w="850"/>
          </w:tcPr>
          <w:p>
            <w:pPr>
              <w:pStyle w:val="TableText"/>
            </w:pPr>
            <w:r/>
            <w:r>
              <w:rPr>
                <w:b/>
              </w:rPr>
              <w:t>HND-10</w:t>
            </w:r>
          </w:p>
        </w:tc>
        <w:tc>
          <w:tcPr>
            <w:tcW w:type="dxa" w:w="1304"/>
          </w:tcPr>
          <w:p>
            <w:pPr>
              <w:pStyle w:val="TableText"/>
            </w:pPr>
            <w:r/>
            <w:r>
              <w:t>4.19 Registrar handoff</w:t>
            </w:r>
          </w:p>
        </w:tc>
        <w:tc>
          <w:tcPr>
            <w:tcW w:type="dxa" w:w="4195"/>
          </w:tcPr>
          <w:p>
            <w:pPr>
              <w:pStyle w:val="TableText"/>
            </w:pPr>
            <w:r/>
            <w:r>
              <w:t>The export for the Registrar is a file (for withdrawals, an Excel list of approved withdrawals; for graduation, a CSV list of endorsed candidates) sent by the responsible person by email; column layouts are to be confirmed by the Registrar.</w:t>
            </w:r>
          </w:p>
        </w:tc>
        <w:tc>
          <w:tcPr>
            <w:tcW w:type="dxa" w:w="2381"/>
          </w:tcPr>
          <w:p>
            <w:pPr>
              <w:pStyle w:val="TableText"/>
            </w:pPr>
            <w:r/>
            <w:r>
              <w:t>Group working notes, Scenario notes; Platform (current build)</w:t>
            </w:r>
          </w:p>
        </w:tc>
        <w:tc>
          <w:tcPr>
            <w:tcW w:type="dxa" w:w="907"/>
            <w:shd w:val="clear" w:color="auto" w:fill="DDEBF7"/>
          </w:tcPr>
          <w:p>
            <w:pPr>
              <w:pStyle w:val="TableText"/>
            </w:pPr>
            <w:r>
              <w:rPr>
                <w:b/>
              </w:rPr>
            </w:r>
            <w:r>
              <w:rPr>
                <w:b/>
              </w:rPr>
              <w:t>Proposed</w:t>
            </w:r>
          </w:p>
        </w:tc>
      </w:tr>
    </w:tbl>
    <w:p>
      <w:pPr>
        <w:spacing w:after="80" w:before="0"/>
      </w:pPr>
    </w:p>
    <w:p>
      <w:pPr>
        <w:pStyle w:val="Heading1"/>
      </w:pPr>
      <w:r>
        <w:t>6 Open questions for validation</w:t>
      </w:r>
    </w:p>
    <w:p>
      <w:r>
        <w:rPr>
          <w:b w:val="0"/>
          <w:i w:val="0"/>
        </w:rPr>
        <w:t>The group could not answer the following questions from the sources. Each states where the sources conflict, where they are silent, or where practice differs from the Handbook, gives the options the group can see, and leaves a blank for the Graduate School's answer. Where a question affects rules, the rule numbers are listed. Until a question is answered, the platform follows the Handbook. Where that ruling has already settled what the platform does (for example the withdrawal window and fees, the length of a leave, or whether a leave counts toward maximum residence), the list of sources says how the platform now works; the question stays open so that the Graduate School can confirm the rule or choose another.</w:t>
      </w:r>
    </w:p>
    <w:p>
      <w:pPr>
        <w:pStyle w:val="Heading2"/>
      </w:pPr>
      <w:r>
        <w:t>6.1 List of questions</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1020"/>
        <w:gridCol w:w="6917"/>
        <w:gridCol w:w="1701"/>
      </w:tblGrid>
      <w:tr>
        <w:trPr>
          <w:tblHeader w:val="true"/>
          <w:cantSplit w:val="true"/>
        </w:trPr>
        <w:tc>
          <w:tcPr>
            <w:tcW w:type="dxa" w:w="1020"/>
            <w:shd w:val="clear" w:color="auto" w:fill="1F4E3D"/>
          </w:tcPr>
          <w:p>
            <w:pPr>
              <w:pStyle w:val="TableHead"/>
            </w:pPr>
            <w:r/>
            <w:r>
              <w:t>No.</w:t>
            </w:r>
          </w:p>
        </w:tc>
        <w:tc>
          <w:tcPr>
            <w:tcW w:type="dxa" w:w="6917"/>
            <w:shd w:val="clear" w:color="auto" w:fill="1F4E3D"/>
          </w:tcPr>
          <w:p>
            <w:pPr>
              <w:pStyle w:val="TableHead"/>
            </w:pPr>
            <w:r/>
            <w:r>
              <w:t>Topic</w:t>
            </w:r>
          </w:p>
        </w:tc>
        <w:tc>
          <w:tcPr>
            <w:tcW w:type="dxa" w:w="1701"/>
            <w:shd w:val="clear" w:color="auto" w:fill="1F4E3D"/>
          </w:tcPr>
          <w:p>
            <w:pPr>
              <w:pStyle w:val="TableHead"/>
            </w:pPr>
            <w:r/>
            <w:r>
              <w:t>Kind</w:t>
            </w:r>
          </w:p>
        </w:tc>
      </w:tr>
      <w:tr>
        <w:trPr>
          <w:cantSplit w:val="true"/>
        </w:trPr>
        <w:tc>
          <w:tcPr>
            <w:tcW w:type="dxa" w:w="1020"/>
          </w:tcPr>
          <w:p>
            <w:pPr>
              <w:pStyle w:val="TableText"/>
            </w:pPr>
            <w:r/>
            <w:r>
              <w:t>OQ-01</w:t>
            </w:r>
          </w:p>
        </w:tc>
        <w:tc>
          <w:tcPr>
            <w:tcW w:type="dxa" w:w="6917"/>
          </w:tcPr>
          <w:p>
            <w:pPr>
              <w:pStyle w:val="TableText"/>
            </w:pPr>
            <w:r/>
            <w:r>
              <w:t>Withdrawal of subject: how long is it allowed and what does it cost?</w:t>
            </w:r>
          </w:p>
        </w:tc>
        <w:tc>
          <w:tcPr>
            <w:tcW w:type="dxa" w:w="1701"/>
          </w:tcPr>
          <w:p>
            <w:pPr>
              <w:pStyle w:val="TableText"/>
            </w:pPr>
            <w:r/>
            <w:r>
              <w:t>Conflict</w:t>
            </w:r>
          </w:p>
        </w:tc>
      </w:tr>
      <w:tr>
        <w:trPr>
          <w:cantSplit w:val="true"/>
        </w:trPr>
        <w:tc>
          <w:tcPr>
            <w:tcW w:type="dxa" w:w="1020"/>
          </w:tcPr>
          <w:p>
            <w:pPr>
              <w:pStyle w:val="TableText"/>
            </w:pPr>
            <w:r/>
            <w:r>
              <w:t>OQ-02</w:t>
            </w:r>
          </w:p>
        </w:tc>
        <w:tc>
          <w:tcPr>
            <w:tcW w:type="dxa" w:w="6917"/>
          </w:tcPr>
          <w:p>
            <w:pPr>
              <w:pStyle w:val="TableText"/>
            </w:pPr>
            <w:r/>
            <w:r>
              <w:t>What does a withdrawal before the first day of classes cost?</w:t>
            </w:r>
          </w:p>
        </w:tc>
        <w:tc>
          <w:tcPr>
            <w:tcW w:type="dxa" w:w="1701"/>
          </w:tcPr>
          <w:p>
            <w:pPr>
              <w:pStyle w:val="TableText"/>
            </w:pPr>
            <w:r/>
            <w:r>
              <w:t>Silent</w:t>
            </w:r>
          </w:p>
        </w:tc>
      </w:tr>
      <w:tr>
        <w:trPr>
          <w:cantSplit w:val="true"/>
        </w:trPr>
        <w:tc>
          <w:tcPr>
            <w:tcW w:type="dxa" w:w="1020"/>
          </w:tcPr>
          <w:p>
            <w:pPr>
              <w:pStyle w:val="TableText"/>
            </w:pPr>
            <w:r/>
            <w:r>
              <w:t>OQ-03</w:t>
            </w:r>
          </w:p>
        </w:tc>
        <w:tc>
          <w:tcPr>
            <w:tcW w:type="dxa" w:w="6917"/>
          </w:tcPr>
          <w:p>
            <w:pPr>
              <w:pStyle w:val="TableText"/>
            </w:pPr>
            <w:r/>
            <w:r>
              <w:t>After the second week: may a student still withdraw from one subject, and what is it called and marked?</w:t>
            </w:r>
          </w:p>
        </w:tc>
        <w:tc>
          <w:tcPr>
            <w:tcW w:type="dxa" w:w="1701"/>
          </w:tcPr>
          <w:p>
            <w:pPr>
              <w:pStyle w:val="TableText"/>
            </w:pPr>
            <w:r/>
            <w:r>
              <w:t>Silent</w:t>
            </w:r>
          </w:p>
        </w:tc>
      </w:tr>
      <w:tr>
        <w:trPr>
          <w:cantSplit w:val="true"/>
        </w:trPr>
        <w:tc>
          <w:tcPr>
            <w:tcW w:type="dxa" w:w="1020"/>
          </w:tcPr>
          <w:p>
            <w:pPr>
              <w:pStyle w:val="TableText"/>
            </w:pPr>
            <w:r/>
            <w:r>
              <w:t>OQ-04</w:t>
            </w:r>
          </w:p>
        </w:tc>
        <w:tc>
          <w:tcPr>
            <w:tcW w:type="dxa" w:w="6917"/>
          </w:tcPr>
          <w:p>
            <w:pPr>
              <w:pStyle w:val="TableText"/>
            </w:pPr>
            <w:r/>
            <w:r>
              <w:t>Does a withdrawal or a drop need approval, and may it be refused?</w:t>
            </w:r>
          </w:p>
        </w:tc>
        <w:tc>
          <w:tcPr>
            <w:tcW w:type="dxa" w:w="1701"/>
          </w:tcPr>
          <w:p>
            <w:pPr>
              <w:pStyle w:val="TableText"/>
            </w:pPr>
            <w:r/>
            <w:r>
              <w:t>Conflict</w:t>
            </w:r>
          </w:p>
        </w:tc>
      </w:tr>
      <w:tr>
        <w:trPr>
          <w:cantSplit w:val="true"/>
        </w:trPr>
        <w:tc>
          <w:tcPr>
            <w:tcW w:type="dxa" w:w="1020"/>
          </w:tcPr>
          <w:p>
            <w:pPr>
              <w:pStyle w:val="TableText"/>
            </w:pPr>
            <w:r/>
            <w:r>
              <w:t>OQ-05</w:t>
            </w:r>
          </w:p>
        </w:tc>
        <w:tc>
          <w:tcPr>
            <w:tcW w:type="dxa" w:w="6917"/>
          </w:tcPr>
          <w:p>
            <w:pPr>
              <w:pStyle w:val="TableText"/>
            </w:pPr>
            <w:r/>
            <w:r>
              <w:t>Dropping: procedure, forms, and how the Graduate School finds out</w:t>
            </w:r>
          </w:p>
        </w:tc>
        <w:tc>
          <w:tcPr>
            <w:tcW w:type="dxa" w:w="1701"/>
          </w:tcPr>
          <w:p>
            <w:pPr>
              <w:pStyle w:val="TableText"/>
            </w:pPr>
            <w:r/>
            <w:r>
              <w:t>Silent</w:t>
            </w:r>
          </w:p>
        </w:tc>
      </w:tr>
      <w:tr>
        <w:trPr>
          <w:cantSplit w:val="true"/>
        </w:trPr>
        <w:tc>
          <w:tcPr>
            <w:tcW w:type="dxa" w:w="1020"/>
          </w:tcPr>
          <w:p>
            <w:pPr>
              <w:pStyle w:val="TableText"/>
            </w:pPr>
            <w:r/>
            <w:r>
              <w:t>OQ-06</w:t>
            </w:r>
          </w:p>
        </w:tc>
        <w:tc>
          <w:tcPr>
            <w:tcW w:type="dxa" w:w="6917"/>
          </w:tcPr>
          <w:p>
            <w:pPr>
              <w:pStyle w:val="TableText"/>
            </w:pPr>
            <w:r/>
            <w:r>
              <w:t>DRP grade and program consequences</w:t>
            </w:r>
          </w:p>
        </w:tc>
        <w:tc>
          <w:tcPr>
            <w:tcW w:type="dxa" w:w="1701"/>
          </w:tcPr>
          <w:p>
            <w:pPr>
              <w:pStyle w:val="TableText"/>
            </w:pPr>
            <w:r/>
            <w:r>
              <w:t>Conflict</w:t>
            </w:r>
          </w:p>
        </w:tc>
      </w:tr>
      <w:tr>
        <w:trPr>
          <w:cantSplit w:val="true"/>
        </w:trPr>
        <w:tc>
          <w:tcPr>
            <w:tcW w:type="dxa" w:w="1020"/>
          </w:tcPr>
          <w:p>
            <w:pPr>
              <w:pStyle w:val="TableText"/>
            </w:pPr>
            <w:r/>
            <w:r>
              <w:t>OQ-07</w:t>
            </w:r>
          </w:p>
        </w:tc>
        <w:tc>
          <w:tcPr>
            <w:tcW w:type="dxa" w:w="6917"/>
          </w:tcPr>
          <w:p>
            <w:pPr>
              <w:pStyle w:val="TableText"/>
            </w:pPr>
            <w:r/>
            <w:r>
              <w:t>Change or add of subject after the first week</w:t>
            </w:r>
          </w:p>
        </w:tc>
        <w:tc>
          <w:tcPr>
            <w:tcW w:type="dxa" w:w="1701"/>
          </w:tcPr>
          <w:p>
            <w:pPr>
              <w:pStyle w:val="TableText"/>
            </w:pPr>
            <w:r/>
            <w:r>
              <w:t>Silent</w:t>
            </w:r>
          </w:p>
        </w:tc>
      </w:tr>
      <w:tr>
        <w:trPr>
          <w:cantSplit w:val="true"/>
        </w:trPr>
        <w:tc>
          <w:tcPr>
            <w:tcW w:type="dxa" w:w="1020"/>
          </w:tcPr>
          <w:p>
            <w:pPr>
              <w:pStyle w:val="TableText"/>
            </w:pPr>
            <w:r/>
            <w:r>
              <w:t>OQ-08</w:t>
            </w:r>
          </w:p>
        </w:tc>
        <w:tc>
          <w:tcPr>
            <w:tcW w:type="dxa" w:w="6917"/>
          </w:tcPr>
          <w:p>
            <w:pPr>
              <w:pStyle w:val="TableText"/>
            </w:pPr>
            <w:r/>
            <w:r>
              <w:t>How are "first week" and "second week" counted?</w:t>
            </w:r>
          </w:p>
        </w:tc>
        <w:tc>
          <w:tcPr>
            <w:tcW w:type="dxa" w:w="1701"/>
          </w:tcPr>
          <w:p>
            <w:pPr>
              <w:pStyle w:val="TableText"/>
            </w:pPr>
            <w:r/>
            <w:r>
              <w:t>Silent</w:t>
            </w:r>
          </w:p>
        </w:tc>
      </w:tr>
      <w:tr>
        <w:trPr>
          <w:cantSplit w:val="true"/>
        </w:trPr>
        <w:tc>
          <w:tcPr>
            <w:tcW w:type="dxa" w:w="1020"/>
          </w:tcPr>
          <w:p>
            <w:pPr>
              <w:pStyle w:val="TableText"/>
            </w:pPr>
            <w:r/>
            <w:r>
              <w:t>OQ-09</w:t>
            </w:r>
          </w:p>
        </w:tc>
        <w:tc>
          <w:tcPr>
            <w:tcW w:type="dxa" w:w="6917"/>
          </w:tcPr>
          <w:p>
            <w:pPr>
              <w:pStyle w:val="TableText"/>
            </w:pPr>
            <w:r/>
            <w:r>
              <w:t>Leave of absence: length and number of leaves</w:t>
            </w:r>
          </w:p>
        </w:tc>
        <w:tc>
          <w:tcPr>
            <w:tcW w:type="dxa" w:w="1701"/>
          </w:tcPr>
          <w:p>
            <w:pPr>
              <w:pStyle w:val="TableText"/>
            </w:pPr>
            <w:r/>
            <w:r>
              <w:t>Conflict</w:t>
            </w:r>
          </w:p>
        </w:tc>
      </w:tr>
      <w:tr>
        <w:trPr>
          <w:cantSplit w:val="true"/>
        </w:trPr>
        <w:tc>
          <w:tcPr>
            <w:tcW w:type="dxa" w:w="1020"/>
          </w:tcPr>
          <w:p>
            <w:pPr>
              <w:pStyle w:val="TableText"/>
            </w:pPr>
            <w:r/>
            <w:r>
              <w:t>OQ-10</w:t>
            </w:r>
          </w:p>
        </w:tc>
        <w:tc>
          <w:tcPr>
            <w:tcW w:type="dxa" w:w="6917"/>
          </w:tcPr>
          <w:p>
            <w:pPr>
              <w:pStyle w:val="TableText"/>
            </w:pPr>
            <w:r/>
            <w:r>
              <w:t>Does leave of absence count toward maximum residence?</w:t>
            </w:r>
          </w:p>
        </w:tc>
        <w:tc>
          <w:tcPr>
            <w:tcW w:type="dxa" w:w="1701"/>
          </w:tcPr>
          <w:p>
            <w:pPr>
              <w:pStyle w:val="TableText"/>
            </w:pPr>
            <w:r/>
            <w:r>
              <w:t>Conflict</w:t>
            </w:r>
          </w:p>
        </w:tc>
      </w:tr>
      <w:tr>
        <w:trPr>
          <w:cantSplit w:val="true"/>
        </w:trPr>
        <w:tc>
          <w:tcPr>
            <w:tcW w:type="dxa" w:w="1020"/>
          </w:tcPr>
          <w:p>
            <w:pPr>
              <w:pStyle w:val="TableText"/>
            </w:pPr>
            <w:r/>
            <w:r>
              <w:t>OQ-11</w:t>
            </w:r>
          </w:p>
        </w:tc>
        <w:tc>
          <w:tcPr>
            <w:tcW w:type="dxa" w:w="6917"/>
          </w:tcPr>
          <w:p>
            <w:pPr>
              <w:pStyle w:val="TableText"/>
            </w:pPr>
            <w:r/>
            <w:r>
              <w:t>Leave of absence: filing deadline and start term</w:t>
            </w:r>
          </w:p>
        </w:tc>
        <w:tc>
          <w:tcPr>
            <w:tcW w:type="dxa" w:w="1701"/>
          </w:tcPr>
          <w:p>
            <w:pPr>
              <w:pStyle w:val="TableText"/>
            </w:pPr>
            <w:r/>
            <w:r>
              <w:t>Conflict</w:t>
            </w:r>
          </w:p>
        </w:tc>
      </w:tr>
      <w:tr>
        <w:trPr>
          <w:cantSplit w:val="true"/>
        </w:trPr>
        <w:tc>
          <w:tcPr>
            <w:tcW w:type="dxa" w:w="1020"/>
          </w:tcPr>
          <w:p>
            <w:pPr>
              <w:pStyle w:val="TableText"/>
            </w:pPr>
            <w:r/>
            <w:r>
              <w:t>OQ-12</w:t>
            </w:r>
          </w:p>
        </w:tc>
        <w:tc>
          <w:tcPr>
            <w:tcW w:type="dxa" w:w="6917"/>
          </w:tcPr>
          <w:p>
            <w:pPr>
              <w:pStyle w:val="TableText"/>
            </w:pPr>
            <w:r/>
            <w:r>
              <w:t>Written letter or structured form for leave, withdrawal and readmission; can a pending request be withdrawn?</w:t>
            </w:r>
          </w:p>
        </w:tc>
        <w:tc>
          <w:tcPr>
            <w:tcW w:type="dxa" w:w="1701"/>
          </w:tcPr>
          <w:p>
            <w:pPr>
              <w:pStyle w:val="TableText"/>
            </w:pPr>
            <w:r/>
            <w:r>
              <w:t>Silent</w:t>
            </w:r>
          </w:p>
        </w:tc>
      </w:tr>
      <w:tr>
        <w:trPr>
          <w:cantSplit w:val="true"/>
        </w:trPr>
        <w:tc>
          <w:tcPr>
            <w:tcW w:type="dxa" w:w="1020"/>
          </w:tcPr>
          <w:p>
            <w:pPr>
              <w:pStyle w:val="TableText"/>
            </w:pPr>
            <w:r/>
            <w:r>
              <w:t>OQ-13</w:t>
            </w:r>
          </w:p>
        </w:tc>
        <w:tc>
          <w:tcPr>
            <w:tcW w:type="dxa" w:w="6917"/>
          </w:tcPr>
          <w:p>
            <w:pPr>
              <w:pStyle w:val="TableText"/>
            </w:pPr>
            <w:r/>
            <w:r>
              <w:t>Readmission requirements</w:t>
            </w:r>
          </w:p>
        </w:tc>
        <w:tc>
          <w:tcPr>
            <w:tcW w:type="dxa" w:w="1701"/>
          </w:tcPr>
          <w:p>
            <w:pPr>
              <w:pStyle w:val="TableText"/>
            </w:pPr>
            <w:r/>
            <w:r>
              <w:t>Conflict</w:t>
            </w:r>
          </w:p>
        </w:tc>
      </w:tr>
      <w:tr>
        <w:trPr>
          <w:cantSplit w:val="true"/>
        </w:trPr>
        <w:tc>
          <w:tcPr>
            <w:tcW w:type="dxa" w:w="1020"/>
          </w:tcPr>
          <w:p>
            <w:pPr>
              <w:pStyle w:val="TableText"/>
            </w:pPr>
            <w:r/>
            <w:r>
              <w:t>OQ-14</w:t>
            </w:r>
          </w:p>
        </w:tc>
        <w:tc>
          <w:tcPr>
            <w:tcW w:type="dxa" w:w="6917"/>
          </w:tcPr>
          <w:p>
            <w:pPr>
              <w:pStyle w:val="TableText"/>
            </w:pPr>
            <w:r/>
            <w:r>
              <w:t>AWOL: who declares it and what follows</w:t>
            </w:r>
          </w:p>
        </w:tc>
        <w:tc>
          <w:tcPr>
            <w:tcW w:type="dxa" w:w="1701"/>
          </w:tcPr>
          <w:p>
            <w:pPr>
              <w:pStyle w:val="TableText"/>
            </w:pPr>
            <w:r/>
            <w:r>
              <w:t>Silent</w:t>
            </w:r>
          </w:p>
        </w:tc>
      </w:tr>
      <w:tr>
        <w:trPr>
          <w:cantSplit w:val="true"/>
        </w:trPr>
        <w:tc>
          <w:tcPr>
            <w:tcW w:type="dxa" w:w="1020"/>
          </w:tcPr>
          <w:p>
            <w:pPr>
              <w:pStyle w:val="TableText"/>
            </w:pPr>
            <w:r/>
            <w:r>
              <w:t>OQ-15</w:t>
            </w:r>
          </w:p>
        </w:tc>
        <w:tc>
          <w:tcPr>
            <w:tcW w:type="dxa" w:w="6917"/>
          </w:tcPr>
          <w:p>
            <w:pPr>
              <w:pStyle w:val="TableText"/>
            </w:pPr>
            <w:r/>
            <w:r>
              <w:t>Residency enrollment: fee, deadline and number of semesters</w:t>
            </w:r>
          </w:p>
        </w:tc>
        <w:tc>
          <w:tcPr>
            <w:tcW w:type="dxa" w:w="1701"/>
          </w:tcPr>
          <w:p>
            <w:pPr>
              <w:pStyle w:val="TableText"/>
            </w:pPr>
            <w:r/>
            <w:r>
              <w:t>Silent</w:t>
            </w:r>
          </w:p>
        </w:tc>
      </w:tr>
      <w:tr>
        <w:trPr>
          <w:cantSplit w:val="true"/>
        </w:trPr>
        <w:tc>
          <w:tcPr>
            <w:tcW w:type="dxa" w:w="1020"/>
          </w:tcPr>
          <w:p>
            <w:pPr>
              <w:pStyle w:val="TableText"/>
            </w:pPr>
            <w:r/>
            <w:r>
              <w:t>OQ-16</w:t>
            </w:r>
          </w:p>
        </w:tc>
        <w:tc>
          <w:tcPr>
            <w:tcW w:type="dxa" w:w="6917"/>
          </w:tcPr>
          <w:p>
            <w:pPr>
              <w:pStyle w:val="TableText"/>
            </w:pPr>
            <w:r/>
            <w:r>
              <w:t>Maximum residence: how it is measured and who approves the extension</w:t>
            </w:r>
          </w:p>
        </w:tc>
        <w:tc>
          <w:tcPr>
            <w:tcW w:type="dxa" w:w="1701"/>
          </w:tcPr>
          <w:p>
            <w:pPr>
              <w:pStyle w:val="TableText"/>
            </w:pPr>
            <w:r/>
            <w:r>
              <w:t>Silent</w:t>
            </w:r>
          </w:p>
        </w:tc>
      </w:tr>
      <w:tr>
        <w:trPr>
          <w:cantSplit w:val="true"/>
        </w:trPr>
        <w:tc>
          <w:tcPr>
            <w:tcW w:type="dxa" w:w="1020"/>
          </w:tcPr>
          <w:p>
            <w:pPr>
              <w:pStyle w:val="TableText"/>
            </w:pPr>
            <w:r/>
            <w:r>
              <w:t>OQ-17</w:t>
            </w:r>
          </w:p>
        </w:tc>
        <w:tc>
          <w:tcPr>
            <w:tcW w:type="dxa" w:w="6917"/>
          </w:tcPr>
          <w:p>
            <w:pPr>
              <w:pStyle w:val="TableText"/>
            </w:pPr>
            <w:r/>
            <w:r>
              <w:t>Comprehensive examination: before or after the title defense and the adviser?</w:t>
            </w:r>
          </w:p>
        </w:tc>
        <w:tc>
          <w:tcPr>
            <w:tcW w:type="dxa" w:w="1701"/>
          </w:tcPr>
          <w:p>
            <w:pPr>
              <w:pStyle w:val="TableText"/>
            </w:pPr>
            <w:r/>
            <w:r>
              <w:t>Conflict</w:t>
            </w:r>
          </w:p>
        </w:tc>
      </w:tr>
      <w:tr>
        <w:trPr>
          <w:cantSplit w:val="true"/>
        </w:trPr>
        <w:tc>
          <w:tcPr>
            <w:tcW w:type="dxa" w:w="1020"/>
          </w:tcPr>
          <w:p>
            <w:pPr>
              <w:pStyle w:val="TableText"/>
            </w:pPr>
            <w:r/>
            <w:r>
              <w:t>OQ-18</w:t>
            </w:r>
          </w:p>
        </w:tc>
        <w:tc>
          <w:tcPr>
            <w:tcW w:type="dxa" w:w="6917"/>
          </w:tcPr>
          <w:p>
            <w:pPr>
              <w:pStyle w:val="TableText"/>
            </w:pPr>
            <w:r/>
            <w:r>
              <w:t>Comprehensive examination: missing rule and evaluator</w:t>
            </w:r>
          </w:p>
        </w:tc>
        <w:tc>
          <w:tcPr>
            <w:tcW w:type="dxa" w:w="1701"/>
          </w:tcPr>
          <w:p>
            <w:pPr>
              <w:pStyle w:val="TableText"/>
            </w:pPr>
            <w:r/>
            <w:r>
              <w:t>Silent</w:t>
            </w:r>
          </w:p>
        </w:tc>
      </w:tr>
      <w:tr>
        <w:trPr>
          <w:cantSplit w:val="true"/>
        </w:trPr>
        <w:tc>
          <w:tcPr>
            <w:tcW w:type="dxa" w:w="1020"/>
          </w:tcPr>
          <w:p>
            <w:pPr>
              <w:pStyle w:val="TableText"/>
            </w:pPr>
            <w:r/>
            <w:r>
              <w:t>OQ-19</w:t>
            </w:r>
          </w:p>
        </w:tc>
        <w:tc>
          <w:tcPr>
            <w:tcW w:type="dxa" w:w="6917"/>
          </w:tcPr>
          <w:p>
            <w:pPr>
              <w:pStyle w:val="TableText"/>
            </w:pPr>
            <w:r/>
            <w:r>
              <w:t>Who approves the designation of the research adviser?</w:t>
            </w:r>
          </w:p>
        </w:tc>
        <w:tc>
          <w:tcPr>
            <w:tcW w:type="dxa" w:w="1701"/>
          </w:tcPr>
          <w:p>
            <w:pPr>
              <w:pStyle w:val="TableText"/>
            </w:pPr>
            <w:r/>
            <w:r>
              <w:t>Conflict</w:t>
            </w:r>
          </w:p>
        </w:tc>
      </w:tr>
      <w:tr>
        <w:trPr>
          <w:cantSplit w:val="true"/>
        </w:trPr>
        <w:tc>
          <w:tcPr>
            <w:tcW w:type="dxa" w:w="1020"/>
          </w:tcPr>
          <w:p>
            <w:pPr>
              <w:pStyle w:val="TableText"/>
            </w:pPr>
            <w:r/>
            <w:r>
              <w:t>OQ-20</w:t>
            </w:r>
          </w:p>
        </w:tc>
        <w:tc>
          <w:tcPr>
            <w:tcW w:type="dxa" w:w="6917"/>
          </w:tcPr>
          <w:p>
            <w:pPr>
              <w:pStyle w:val="TableText"/>
            </w:pPr>
            <w:r/>
            <w:r>
              <w:t>Adviser eligibility and the limit on advisees</w:t>
            </w:r>
          </w:p>
        </w:tc>
        <w:tc>
          <w:tcPr>
            <w:tcW w:type="dxa" w:w="1701"/>
          </w:tcPr>
          <w:p>
            <w:pPr>
              <w:pStyle w:val="TableText"/>
            </w:pPr>
            <w:r/>
            <w:r>
              <w:t>Conflict</w:t>
            </w:r>
          </w:p>
        </w:tc>
      </w:tr>
      <w:tr>
        <w:trPr>
          <w:cantSplit w:val="true"/>
        </w:trPr>
        <w:tc>
          <w:tcPr>
            <w:tcW w:type="dxa" w:w="1020"/>
          </w:tcPr>
          <w:p>
            <w:pPr>
              <w:pStyle w:val="TableText"/>
            </w:pPr>
            <w:r/>
            <w:r>
              <w:t>OQ-21</w:t>
            </w:r>
          </w:p>
        </w:tc>
        <w:tc>
          <w:tcPr>
            <w:tcW w:type="dxa" w:w="6917"/>
          </w:tcPr>
          <w:p>
            <w:pPr>
              <w:pStyle w:val="TableText"/>
            </w:pPr>
            <w:r/>
            <w:r>
              <w:t>Adviser nomination by the student and acceptance by faculty</w:t>
            </w:r>
          </w:p>
        </w:tc>
        <w:tc>
          <w:tcPr>
            <w:tcW w:type="dxa" w:w="1701"/>
          </w:tcPr>
          <w:p>
            <w:pPr>
              <w:pStyle w:val="TableText"/>
            </w:pPr>
            <w:r/>
            <w:r>
              <w:t>Practice differs</w:t>
            </w:r>
          </w:p>
        </w:tc>
      </w:tr>
      <w:tr>
        <w:trPr>
          <w:cantSplit w:val="true"/>
        </w:trPr>
        <w:tc>
          <w:tcPr>
            <w:tcW w:type="dxa" w:w="1020"/>
          </w:tcPr>
          <w:p>
            <w:pPr>
              <w:pStyle w:val="TableText"/>
            </w:pPr>
            <w:r/>
            <w:r>
              <w:t>OQ-22</w:t>
            </w:r>
          </w:p>
        </w:tc>
        <w:tc>
          <w:tcPr>
            <w:tcW w:type="dxa" w:w="6917"/>
          </w:tcPr>
          <w:p>
            <w:pPr>
              <w:pStyle w:val="TableText"/>
            </w:pPr>
            <w:r/>
            <w:r>
              <w:t>Who approves the external panel member?</w:t>
            </w:r>
          </w:p>
        </w:tc>
        <w:tc>
          <w:tcPr>
            <w:tcW w:type="dxa" w:w="1701"/>
          </w:tcPr>
          <w:p>
            <w:pPr>
              <w:pStyle w:val="TableText"/>
            </w:pPr>
            <w:r/>
            <w:r>
              <w:t>Conflict</w:t>
            </w:r>
          </w:p>
        </w:tc>
      </w:tr>
      <w:tr>
        <w:trPr>
          <w:cantSplit w:val="true"/>
        </w:trPr>
        <w:tc>
          <w:tcPr>
            <w:tcW w:type="dxa" w:w="1020"/>
          </w:tcPr>
          <w:p>
            <w:pPr>
              <w:pStyle w:val="TableText"/>
            </w:pPr>
            <w:r/>
            <w:r>
              <w:t>OQ-23</w:t>
            </w:r>
          </w:p>
        </w:tc>
        <w:tc>
          <w:tcPr>
            <w:tcW w:type="dxa" w:w="6917"/>
          </w:tcPr>
          <w:p>
            <w:pPr>
              <w:pStyle w:val="TableText"/>
            </w:pPr>
            <w:r/>
            <w:r>
              <w:t>Public final defense: five days or two weeks?</w:t>
            </w:r>
          </w:p>
        </w:tc>
        <w:tc>
          <w:tcPr>
            <w:tcW w:type="dxa" w:w="1701"/>
          </w:tcPr>
          <w:p>
            <w:pPr>
              <w:pStyle w:val="TableText"/>
            </w:pPr>
            <w:r/>
            <w:r>
              <w:t>Conflict</w:t>
            </w:r>
          </w:p>
        </w:tc>
      </w:tr>
      <w:tr>
        <w:trPr>
          <w:cantSplit w:val="true"/>
        </w:trPr>
        <w:tc>
          <w:tcPr>
            <w:tcW w:type="dxa" w:w="1020"/>
          </w:tcPr>
          <w:p>
            <w:pPr>
              <w:pStyle w:val="TableText"/>
            </w:pPr>
            <w:r/>
            <w:r>
              <w:t>OQ-24</w:t>
            </w:r>
          </w:p>
        </w:tc>
        <w:tc>
          <w:tcPr>
            <w:tcW w:type="dxa" w:w="6917"/>
          </w:tcPr>
          <w:p>
            <w:pPr>
              <w:pStyle w:val="TableText"/>
            </w:pPr>
            <w:r/>
            <w:r>
              <w:t>Public final defense: presentation and question time</w:t>
            </w:r>
          </w:p>
        </w:tc>
        <w:tc>
          <w:tcPr>
            <w:tcW w:type="dxa" w:w="1701"/>
          </w:tcPr>
          <w:p>
            <w:pPr>
              <w:pStyle w:val="TableText"/>
            </w:pPr>
            <w:r/>
            <w:r>
              <w:t>Conflict</w:t>
            </w:r>
          </w:p>
        </w:tc>
      </w:tr>
      <w:tr>
        <w:trPr>
          <w:cantSplit w:val="true"/>
        </w:trPr>
        <w:tc>
          <w:tcPr>
            <w:tcW w:type="dxa" w:w="1020"/>
          </w:tcPr>
          <w:p>
            <w:pPr>
              <w:pStyle w:val="TableText"/>
            </w:pPr>
            <w:r/>
            <w:r>
              <w:t>OQ-25</w:t>
            </w:r>
          </w:p>
        </w:tc>
        <w:tc>
          <w:tcPr>
            <w:tcW w:type="dxa" w:w="6917"/>
          </w:tcPr>
          <w:p>
            <w:pPr>
              <w:pStyle w:val="TableText"/>
            </w:pPr>
            <w:r/>
            <w:r>
              <w:t>Publication and dissemination requirements for graduation</w:t>
            </w:r>
          </w:p>
        </w:tc>
        <w:tc>
          <w:tcPr>
            <w:tcW w:type="dxa" w:w="1701"/>
          </w:tcPr>
          <w:p>
            <w:pPr>
              <w:pStyle w:val="TableText"/>
            </w:pPr>
            <w:r/>
            <w:r>
              <w:t>Conflict</w:t>
            </w:r>
          </w:p>
        </w:tc>
      </w:tr>
      <w:tr>
        <w:trPr>
          <w:cantSplit w:val="true"/>
        </w:trPr>
        <w:tc>
          <w:tcPr>
            <w:tcW w:type="dxa" w:w="1020"/>
          </w:tcPr>
          <w:p>
            <w:pPr>
              <w:pStyle w:val="TableText"/>
            </w:pPr>
            <w:r/>
            <w:r>
              <w:t>OQ-26</w:t>
            </w:r>
          </w:p>
        </w:tc>
        <w:tc>
          <w:tcPr>
            <w:tcW w:type="dxa" w:w="6917"/>
          </w:tcPr>
          <w:p>
            <w:pPr>
              <w:pStyle w:val="TableText"/>
            </w:pPr>
            <w:r/>
            <w:r>
              <w:t>Time allowed to send the completion documents</w:t>
            </w:r>
          </w:p>
        </w:tc>
        <w:tc>
          <w:tcPr>
            <w:tcW w:type="dxa" w:w="1701"/>
          </w:tcPr>
          <w:p>
            <w:pPr>
              <w:pStyle w:val="TableText"/>
            </w:pPr>
            <w:r/>
            <w:r>
              <w:t>Silent</w:t>
            </w:r>
          </w:p>
        </w:tc>
      </w:tr>
      <w:tr>
        <w:trPr>
          <w:cantSplit w:val="true"/>
        </w:trPr>
        <w:tc>
          <w:tcPr>
            <w:tcW w:type="dxa" w:w="1020"/>
          </w:tcPr>
          <w:p>
            <w:pPr>
              <w:pStyle w:val="TableText"/>
            </w:pPr>
            <w:r/>
            <w:r>
              <w:t>OQ-27</w:t>
            </w:r>
          </w:p>
        </w:tc>
        <w:tc>
          <w:tcPr>
            <w:tcW w:type="dxa" w:w="6917"/>
          </w:tcPr>
          <w:p>
            <w:pPr>
              <w:pStyle w:val="TableText"/>
            </w:pPr>
            <w:r/>
            <w:r>
              <w:t>Defense fee amounts</w:t>
            </w:r>
          </w:p>
        </w:tc>
        <w:tc>
          <w:tcPr>
            <w:tcW w:type="dxa" w:w="1701"/>
          </w:tcPr>
          <w:p>
            <w:pPr>
              <w:pStyle w:val="TableText"/>
            </w:pPr>
            <w:r/>
            <w:r>
              <w:t>Silent</w:t>
            </w:r>
          </w:p>
        </w:tc>
      </w:tr>
      <w:tr>
        <w:trPr>
          <w:cantSplit w:val="true"/>
        </w:trPr>
        <w:tc>
          <w:tcPr>
            <w:tcW w:type="dxa" w:w="1020"/>
          </w:tcPr>
          <w:p>
            <w:pPr>
              <w:pStyle w:val="TableText"/>
            </w:pPr>
            <w:r/>
            <w:r>
              <w:t>OQ-28</w:t>
            </w:r>
          </w:p>
        </w:tc>
        <w:tc>
          <w:tcPr>
            <w:tcW w:type="dxa" w:w="6917"/>
          </w:tcPr>
          <w:p>
            <w:pPr>
              <w:pStyle w:val="TableText"/>
            </w:pPr>
            <w:r/>
            <w:r>
              <w:t>Rescheduling a confirmed defense</w:t>
            </w:r>
          </w:p>
        </w:tc>
        <w:tc>
          <w:tcPr>
            <w:tcW w:type="dxa" w:w="1701"/>
          </w:tcPr>
          <w:p>
            <w:pPr>
              <w:pStyle w:val="TableText"/>
            </w:pPr>
            <w:r/>
            <w:r>
              <w:t>Silent</w:t>
            </w:r>
          </w:p>
        </w:tc>
      </w:tr>
      <w:tr>
        <w:trPr>
          <w:cantSplit w:val="true"/>
        </w:trPr>
        <w:tc>
          <w:tcPr>
            <w:tcW w:type="dxa" w:w="1020"/>
          </w:tcPr>
          <w:p>
            <w:pPr>
              <w:pStyle w:val="TableText"/>
            </w:pPr>
            <w:r/>
            <w:r>
              <w:t>OQ-29</w:t>
            </w:r>
          </w:p>
        </w:tc>
        <w:tc>
          <w:tcPr>
            <w:tcW w:type="dxa" w:w="6917"/>
          </w:tcPr>
          <w:p>
            <w:pPr>
              <w:pStyle w:val="TableText"/>
            </w:pPr>
            <w:r/>
            <w:r>
              <w:t>Practicum: programs, hours, documents and approvers</w:t>
            </w:r>
          </w:p>
        </w:tc>
        <w:tc>
          <w:tcPr>
            <w:tcW w:type="dxa" w:w="1701"/>
          </w:tcPr>
          <w:p>
            <w:pPr>
              <w:pStyle w:val="TableText"/>
            </w:pPr>
            <w:r/>
            <w:r>
              <w:t>Silent</w:t>
            </w:r>
          </w:p>
        </w:tc>
      </w:tr>
      <w:tr>
        <w:trPr>
          <w:cantSplit w:val="true"/>
        </w:trPr>
        <w:tc>
          <w:tcPr>
            <w:tcW w:type="dxa" w:w="1020"/>
          </w:tcPr>
          <w:p>
            <w:pPr>
              <w:pStyle w:val="TableText"/>
            </w:pPr>
            <w:r/>
            <w:r>
              <w:t>OQ-30</w:t>
            </w:r>
          </w:p>
        </w:tc>
        <w:tc>
          <w:tcPr>
            <w:tcW w:type="dxa" w:w="6917"/>
          </w:tcPr>
          <w:p>
            <w:pPr>
              <w:pStyle w:val="TableText"/>
            </w:pPr>
            <w:r/>
            <w:r>
              <w:t>Graduation review window</w:t>
            </w:r>
          </w:p>
        </w:tc>
        <w:tc>
          <w:tcPr>
            <w:tcW w:type="dxa" w:w="1701"/>
          </w:tcPr>
          <w:p>
            <w:pPr>
              <w:pStyle w:val="TableText"/>
            </w:pPr>
            <w:r/>
            <w:r>
              <w:t>Silent</w:t>
            </w:r>
          </w:p>
        </w:tc>
      </w:tr>
      <w:tr>
        <w:trPr>
          <w:cantSplit w:val="true"/>
        </w:trPr>
        <w:tc>
          <w:tcPr>
            <w:tcW w:type="dxa" w:w="1020"/>
          </w:tcPr>
          <w:p>
            <w:pPr>
              <w:pStyle w:val="TableText"/>
            </w:pPr>
            <w:r/>
            <w:r>
              <w:t>OQ-31</w:t>
            </w:r>
          </w:p>
        </w:tc>
        <w:tc>
          <w:tcPr>
            <w:tcW w:type="dxa" w:w="6917"/>
          </w:tcPr>
          <w:p>
            <w:pPr>
              <w:pStyle w:val="TableText"/>
            </w:pPr>
            <w:r/>
            <w:r>
              <w:t>Graduation document checklist</w:t>
            </w:r>
          </w:p>
        </w:tc>
        <w:tc>
          <w:tcPr>
            <w:tcW w:type="dxa" w:w="1701"/>
          </w:tcPr>
          <w:p>
            <w:pPr>
              <w:pStyle w:val="TableText"/>
            </w:pPr>
            <w:r/>
            <w:r>
              <w:t>Silent</w:t>
            </w:r>
          </w:p>
        </w:tc>
      </w:tr>
      <w:tr>
        <w:trPr>
          <w:cantSplit w:val="true"/>
        </w:trPr>
        <w:tc>
          <w:tcPr>
            <w:tcW w:type="dxa" w:w="1020"/>
          </w:tcPr>
          <w:p>
            <w:pPr>
              <w:pStyle w:val="TableText"/>
            </w:pPr>
            <w:r/>
            <w:r>
              <w:t>OQ-32</w:t>
            </w:r>
          </w:p>
        </w:tc>
        <w:tc>
          <w:tcPr>
            <w:tcW w:type="dxa" w:w="6917"/>
          </w:tcPr>
          <w:p>
            <w:pPr>
              <w:pStyle w:val="TableText"/>
            </w:pPr>
            <w:r/>
            <w:r>
              <w:t>Registrar acknowledgement and export formats</w:t>
            </w:r>
          </w:p>
        </w:tc>
        <w:tc>
          <w:tcPr>
            <w:tcW w:type="dxa" w:w="1701"/>
          </w:tcPr>
          <w:p>
            <w:pPr>
              <w:pStyle w:val="TableText"/>
            </w:pPr>
            <w:r/>
            <w:r>
              <w:t>Silent</w:t>
            </w:r>
          </w:p>
        </w:tc>
      </w:tr>
      <w:tr>
        <w:trPr>
          <w:cantSplit w:val="true"/>
        </w:trPr>
        <w:tc>
          <w:tcPr>
            <w:tcW w:type="dxa" w:w="1020"/>
          </w:tcPr>
          <w:p>
            <w:pPr>
              <w:pStyle w:val="TableText"/>
            </w:pPr>
            <w:r/>
            <w:r>
              <w:t>OQ-33</w:t>
            </w:r>
          </w:p>
        </w:tc>
        <w:tc>
          <w:tcPr>
            <w:tcW w:type="dxa" w:w="6917"/>
          </w:tcPr>
          <w:p>
            <w:pPr>
              <w:pStyle w:val="TableText"/>
            </w:pPr>
            <w:r/>
            <w:r>
              <w:t>Who imports the monitoring workbook, from what source and how often?</w:t>
            </w:r>
          </w:p>
        </w:tc>
        <w:tc>
          <w:tcPr>
            <w:tcW w:type="dxa" w:w="1701"/>
          </w:tcPr>
          <w:p>
            <w:pPr>
              <w:pStyle w:val="TableText"/>
            </w:pPr>
            <w:r/>
            <w:r>
              <w:t>Practice differs</w:t>
            </w:r>
          </w:p>
        </w:tc>
      </w:tr>
      <w:tr>
        <w:trPr>
          <w:cantSplit w:val="true"/>
        </w:trPr>
        <w:tc>
          <w:tcPr>
            <w:tcW w:type="dxa" w:w="1020"/>
          </w:tcPr>
          <w:p>
            <w:pPr>
              <w:pStyle w:val="TableText"/>
            </w:pPr>
            <w:r/>
            <w:r>
              <w:t>OQ-34</w:t>
            </w:r>
          </w:p>
        </w:tc>
        <w:tc>
          <w:tcPr>
            <w:tcW w:type="dxa" w:w="6917"/>
          </w:tcPr>
          <w:p>
            <w:pPr>
              <w:pStyle w:val="TableText"/>
            </w:pPr>
            <w:r/>
            <w:r>
              <w:t>Minimum class size: may a subject be opened for one student?</w:t>
            </w:r>
          </w:p>
        </w:tc>
        <w:tc>
          <w:tcPr>
            <w:tcW w:type="dxa" w:w="1701"/>
          </w:tcPr>
          <w:p>
            <w:pPr>
              <w:pStyle w:val="TableText"/>
            </w:pPr>
            <w:r/>
            <w:r>
              <w:t>Practice differs</w:t>
            </w:r>
          </w:p>
        </w:tc>
      </w:tr>
      <w:tr>
        <w:trPr>
          <w:cantSplit w:val="true"/>
        </w:trPr>
        <w:tc>
          <w:tcPr>
            <w:tcW w:type="dxa" w:w="1020"/>
          </w:tcPr>
          <w:p>
            <w:pPr>
              <w:pStyle w:val="TableText"/>
            </w:pPr>
            <w:r/>
            <w:r>
              <w:t>OQ-35</w:t>
            </w:r>
          </w:p>
        </w:tc>
        <w:tc>
          <w:tcPr>
            <w:tcW w:type="dxa" w:w="6917"/>
          </w:tcPr>
          <w:p>
            <w:pPr>
              <w:pStyle w:val="TableText"/>
            </w:pPr>
            <w:r/>
            <w:r>
              <w:t>Approval of the offering and assignment of professors</w:t>
            </w:r>
          </w:p>
        </w:tc>
        <w:tc>
          <w:tcPr>
            <w:tcW w:type="dxa" w:w="1701"/>
          </w:tcPr>
          <w:p>
            <w:pPr>
              <w:pStyle w:val="TableText"/>
            </w:pPr>
            <w:r/>
            <w:r>
              <w:t>Practice differs</w:t>
            </w:r>
          </w:p>
        </w:tc>
      </w:tr>
      <w:tr>
        <w:trPr>
          <w:cantSplit w:val="true"/>
        </w:trPr>
        <w:tc>
          <w:tcPr>
            <w:tcW w:type="dxa" w:w="1020"/>
          </w:tcPr>
          <w:p>
            <w:pPr>
              <w:pStyle w:val="TableText"/>
            </w:pPr>
            <w:r/>
            <w:r>
              <w:t>OQ-36</w:t>
            </w:r>
          </w:p>
        </w:tc>
        <w:tc>
          <w:tcPr>
            <w:tcW w:type="dxa" w:w="6917"/>
          </w:tcPr>
          <w:p>
            <w:pPr>
              <w:pStyle w:val="TableText"/>
            </w:pPr>
            <w:r/>
            <w:r>
              <w:t>Failures, incompletes and grade timing</w:t>
            </w:r>
          </w:p>
        </w:tc>
        <w:tc>
          <w:tcPr>
            <w:tcW w:type="dxa" w:w="1701"/>
          </w:tcPr>
          <w:p>
            <w:pPr>
              <w:pStyle w:val="TableText"/>
            </w:pPr>
            <w:r/>
            <w:r>
              <w:t>Silent</w:t>
            </w:r>
          </w:p>
        </w:tc>
      </w:tr>
      <w:tr>
        <w:trPr>
          <w:cantSplit w:val="true"/>
        </w:trPr>
        <w:tc>
          <w:tcPr>
            <w:tcW w:type="dxa" w:w="1020"/>
          </w:tcPr>
          <w:p>
            <w:pPr>
              <w:pStyle w:val="TableText"/>
            </w:pPr>
            <w:r/>
            <w:r>
              <w:t>OQ-37</w:t>
            </w:r>
          </w:p>
        </w:tc>
        <w:tc>
          <w:tcPr>
            <w:tcW w:type="dxa" w:w="6917"/>
          </w:tcPr>
          <w:p>
            <w:pPr>
              <w:pStyle w:val="TableText"/>
            </w:pPr>
            <w:r/>
            <w:r>
              <w:t>Alumni seminar, public seminar series and research conference</w:t>
            </w:r>
          </w:p>
        </w:tc>
        <w:tc>
          <w:tcPr>
            <w:tcW w:type="dxa" w:w="1701"/>
          </w:tcPr>
          <w:p>
            <w:pPr>
              <w:pStyle w:val="TableText"/>
            </w:pPr>
            <w:r/>
            <w:r>
              <w:t>Silent</w:t>
            </w:r>
          </w:p>
        </w:tc>
      </w:tr>
      <w:tr>
        <w:trPr>
          <w:cantSplit w:val="true"/>
        </w:trPr>
        <w:tc>
          <w:tcPr>
            <w:tcW w:type="dxa" w:w="1020"/>
          </w:tcPr>
          <w:p>
            <w:pPr>
              <w:pStyle w:val="TableText"/>
            </w:pPr>
            <w:r/>
            <w:r>
              <w:t>OQ-38</w:t>
            </w:r>
          </w:p>
        </w:tc>
        <w:tc>
          <w:tcPr>
            <w:tcW w:type="dxa" w:w="6917"/>
          </w:tcPr>
          <w:p>
            <w:pPr>
              <w:pStyle w:val="TableText"/>
            </w:pPr>
            <w:r/>
            <w:r>
              <w:t>Is the Handbook 2022-2023 still in force?</w:t>
            </w:r>
          </w:p>
        </w:tc>
        <w:tc>
          <w:tcPr>
            <w:tcW w:type="dxa" w:w="1701"/>
          </w:tcPr>
          <w:p>
            <w:pPr>
              <w:pStyle w:val="TableText"/>
            </w:pPr>
            <w:r/>
            <w:r>
              <w:t>Silent</w:t>
            </w:r>
          </w:p>
        </w:tc>
      </w:tr>
      <w:tr>
        <w:trPr>
          <w:cantSplit w:val="true"/>
        </w:trPr>
        <w:tc>
          <w:tcPr>
            <w:tcW w:type="dxa" w:w="1020"/>
          </w:tcPr>
          <w:p>
            <w:pPr>
              <w:pStyle w:val="TableText"/>
            </w:pPr>
            <w:r/>
            <w:r>
              <w:t>OQ-39</w:t>
            </w:r>
          </w:p>
        </w:tc>
        <w:tc>
          <w:tcPr>
            <w:tcW w:type="dxa" w:w="6917"/>
          </w:tcPr>
          <w:p>
            <w:pPr>
              <w:pStyle w:val="TableText"/>
            </w:pPr>
            <w:r/>
            <w:r>
              <w:t>Names of offices and mailboxes</w:t>
            </w:r>
          </w:p>
        </w:tc>
        <w:tc>
          <w:tcPr>
            <w:tcW w:type="dxa" w:w="1701"/>
          </w:tcPr>
          <w:p>
            <w:pPr>
              <w:pStyle w:val="TableText"/>
            </w:pPr>
            <w:r/>
            <w:r>
              <w:t>Conflict</w:t>
            </w:r>
          </w:p>
        </w:tc>
      </w:tr>
      <w:tr>
        <w:trPr>
          <w:cantSplit w:val="true"/>
        </w:trPr>
        <w:tc>
          <w:tcPr>
            <w:tcW w:type="dxa" w:w="1020"/>
          </w:tcPr>
          <w:p>
            <w:pPr>
              <w:pStyle w:val="TableText"/>
            </w:pPr>
            <w:r/>
            <w:r>
              <w:t>OQ-40</w:t>
            </w:r>
          </w:p>
        </w:tc>
        <w:tc>
          <w:tcPr>
            <w:tcW w:type="dxa" w:w="6917"/>
          </w:tcPr>
          <w:p>
            <w:pPr>
              <w:pStyle w:val="TableText"/>
            </w:pPr>
            <w:r/>
            <w:r>
              <w:t>Which date decides between the closed-door-only track and the public defense track?</w:t>
            </w:r>
          </w:p>
        </w:tc>
        <w:tc>
          <w:tcPr>
            <w:tcW w:type="dxa" w:w="1701"/>
          </w:tcPr>
          <w:p>
            <w:pPr>
              <w:pStyle w:val="TableText"/>
            </w:pPr>
            <w:r/>
            <w:r>
              <w:t>Conflict</w:t>
            </w:r>
          </w:p>
        </w:tc>
      </w:tr>
      <w:tr>
        <w:trPr>
          <w:cantSplit w:val="true"/>
        </w:trPr>
        <w:tc>
          <w:tcPr>
            <w:tcW w:type="dxa" w:w="1020"/>
          </w:tcPr>
          <w:p>
            <w:pPr>
              <w:pStyle w:val="TableText"/>
            </w:pPr>
            <w:r/>
            <w:r>
              <w:t>OQ-41</w:t>
            </w:r>
          </w:p>
        </w:tc>
        <w:tc>
          <w:tcPr>
            <w:tcW w:type="dxa" w:w="6917"/>
          </w:tcPr>
          <w:p>
            <w:pPr>
              <w:pStyle w:val="TableText"/>
            </w:pPr>
            <w:r/>
            <w:r>
              <w:t>Research time limits: what happens when they are exceeded?</w:t>
            </w:r>
          </w:p>
        </w:tc>
        <w:tc>
          <w:tcPr>
            <w:tcW w:type="dxa" w:w="1701"/>
          </w:tcPr>
          <w:p>
            <w:pPr>
              <w:pStyle w:val="TableText"/>
            </w:pPr>
            <w:r/>
            <w:r>
              <w:t>Silent</w:t>
            </w:r>
          </w:p>
        </w:tc>
      </w:tr>
      <w:tr>
        <w:trPr>
          <w:cantSplit w:val="true"/>
        </w:trPr>
        <w:tc>
          <w:tcPr>
            <w:tcW w:type="dxa" w:w="1020"/>
          </w:tcPr>
          <w:p>
            <w:pPr>
              <w:pStyle w:val="TableText"/>
            </w:pPr>
            <w:r/>
            <w:r>
              <w:t>OQ-42</w:t>
            </w:r>
          </w:p>
        </w:tc>
        <w:tc>
          <w:tcPr>
            <w:tcW w:type="dxa" w:w="6917"/>
          </w:tcPr>
          <w:p>
            <w:pPr>
              <w:pStyle w:val="TableText"/>
            </w:pPr>
            <w:r/>
            <w:r>
              <w:t>Project paper panel: external member?</w:t>
            </w:r>
          </w:p>
        </w:tc>
        <w:tc>
          <w:tcPr>
            <w:tcW w:type="dxa" w:w="1701"/>
          </w:tcPr>
          <w:p>
            <w:pPr>
              <w:pStyle w:val="TableText"/>
            </w:pPr>
            <w:r/>
            <w:r>
              <w:t>Conflict</w:t>
            </w:r>
          </w:p>
        </w:tc>
      </w:tr>
      <w:tr>
        <w:trPr>
          <w:cantSplit w:val="true"/>
        </w:trPr>
        <w:tc>
          <w:tcPr>
            <w:tcW w:type="dxa" w:w="1020"/>
          </w:tcPr>
          <w:p>
            <w:pPr>
              <w:pStyle w:val="TableText"/>
            </w:pPr>
            <w:r/>
            <w:r>
              <w:t>OQ-43</w:t>
            </w:r>
          </w:p>
        </w:tc>
        <w:tc>
          <w:tcPr>
            <w:tcW w:type="dxa" w:w="6917"/>
          </w:tcPr>
          <w:p>
            <w:pPr>
              <w:pStyle w:val="TableText"/>
            </w:pPr>
            <w:r/>
            <w:r>
              <w:t>Waivers of the two-week rules</w:t>
            </w:r>
          </w:p>
        </w:tc>
        <w:tc>
          <w:tcPr>
            <w:tcW w:type="dxa" w:w="1701"/>
          </w:tcPr>
          <w:p>
            <w:pPr>
              <w:pStyle w:val="TableText"/>
            </w:pPr>
            <w:r/>
            <w:r>
              <w:t>Silent</w:t>
            </w:r>
          </w:p>
        </w:tc>
      </w:tr>
      <w:tr>
        <w:trPr>
          <w:cantSplit w:val="true"/>
        </w:trPr>
        <w:tc>
          <w:tcPr>
            <w:tcW w:type="dxa" w:w="1020"/>
          </w:tcPr>
          <w:p>
            <w:pPr>
              <w:pStyle w:val="TableText"/>
            </w:pPr>
            <w:r/>
            <w:r>
              <w:t>OQ-44</w:t>
            </w:r>
          </w:p>
        </w:tc>
        <w:tc>
          <w:tcPr>
            <w:tcW w:type="dxa" w:w="6917"/>
          </w:tcPr>
          <w:p>
            <w:pPr>
              <w:pStyle w:val="TableText"/>
            </w:pPr>
            <w:r/>
            <w:r>
              <w:t>Are there course prerequisites?</w:t>
            </w:r>
          </w:p>
        </w:tc>
        <w:tc>
          <w:tcPr>
            <w:tcW w:type="dxa" w:w="1701"/>
          </w:tcPr>
          <w:p>
            <w:pPr>
              <w:pStyle w:val="TableText"/>
            </w:pPr>
            <w:r/>
            <w:r>
              <w:t>Conflict</w:t>
            </w:r>
          </w:p>
        </w:tc>
      </w:tr>
    </w:tbl>
    <w:p>
      <w:pPr>
        <w:spacing w:after="80" w:before="0"/>
      </w:pPr>
    </w:p>
    <w:p>
      <w:pPr>
        <w:pStyle w:val="Heading2"/>
      </w:pPr>
      <w:r>
        <w:t>6.2 Questions in detail</w:t>
      </w: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OQ-01  Withdrawal of subject: how long is it allowed and what does it cost?</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pp. 49, 51: a student may withdraw subjects until the second week from the start of classes; 10% of the total amount due for the term is charged in the first week and 20% in the second week.</w:t>
            </w:r>
          </w:p>
          <w:p>
            <w:pPr>
              <w:pStyle w:val="TableText"/>
            </w:pPr>
            <w:r>
              <w:t>• Consultation 29 July 2026 (the group's account of the Associate Dean's answer): withdrawal is possible before classes start or in the first week; Consultation 21 July 2026 describes withdrawal as the official, no-mark kind of leaving a subject.</w:t>
            </w:r>
          </w:p>
          <w:p>
            <w:pPr>
              <w:pStyle w:val="TableText"/>
            </w:pPr>
            <w:r>
              <w:t>• Platform now (implements option A): a withdrawal is accepted before classes begin and until the end of the second week (14 calendar days from the semester start date); the fee tier for the date of the request is shown as information only (10% in the first week, 20% in the second, full fees after the window); the Business Office collects. The earlier build's seven-day, no-penalty rule came from the consultation account and was replaced.</w:t>
            </w:r>
          </w:p>
          <w:p>
            <w:pPr>
              <w:pStyle w:val="TableText"/>
            </w:pPr>
            <w:r>
              <w:t>• Owner's ruling for this revision: the Graduate School Handbook 2022-2023 is in force, so the platform follows it wherever it is explicit. The question stays so that the Graduate School can confirm the rule or choose another.</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Which window and which fee apply to a withdrawal of a subject?</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The Handbook as written: until the end of the second week, 10% in week 1 and 20% in week 2.</w:t>
            </w:r>
          </w:p>
          <w:p>
            <w:pPr>
              <w:pStyle w:val="TableText"/>
            </w:pPr>
            <w:r>
              <w:t>B. Before classes begin and the first week only, with the fee to be stated by the Graduate School.</w:t>
            </w:r>
          </w:p>
          <w:p>
            <w:pPr>
              <w:pStyle w:val="TableText"/>
            </w:pPr>
            <w:r>
              <w:t>C. Two steps: no academic mark in the first seven days, and the Handbook's 10% and 20% fees through the second week.</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WD-01, WD-02, WD-13, WD-14</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OQ-02  What does a withdrawal before the first day of classes cost?</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pp. 49, 51: states a 10% charge "within the first week of classes" but nothing about a request made before classes begin.</w:t>
            </w:r>
          </w:p>
          <w:p>
            <w:pPr>
              <w:pStyle w:val="TableText"/>
            </w:pPr>
            <w:r>
              <w:t>• Platform now: a request before classes begin is accepted and no amount is shown; the screen says that the Handbook states none and that the Business Office confirms it.</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Is there a charge when a student withdraws a subject after enrolling but before classes start?</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No charge.</w:t>
            </w:r>
          </w:p>
          <w:p>
            <w:pPr>
              <w:pStyle w:val="TableText"/>
            </w:pPr>
            <w:r>
              <w:t>B. 10% as in the first week.</w:t>
            </w:r>
          </w:p>
          <w:p>
            <w:pPr>
              <w:pStyle w:val="TableText"/>
            </w:pPr>
            <w:r>
              <w:t>C. The Business Office decides case by case.</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WD-02, WD-14</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OQ-03  After the second week: may a student still withdraw from one subject, and what is it called and marked?</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49: "The student retains the right to withdraw all subjects at any time of the semester thereafter but will pay the full enrolment fees." It speaks of all subjects, not one.</w:t>
            </w:r>
          </w:p>
          <w:p>
            <w:pPr>
              <w:pStyle w:val="TableText"/>
            </w:pPr>
            <w:r>
              <w:t>• Handbook 2022-2023, p. 53: grade symbols W (Withdrawn) and D (Dropped); a leave taken in the second half of the semester gives W for all courses.</w:t>
            </w:r>
          </w:p>
          <w:p>
            <w:pPr>
              <w:pStyle w:val="TableText"/>
            </w:pPr>
            <w:r>
              <w:t>• Consultation 21 July 2026: dropping is leaving a subject in the middle of the semester; withdrawal is the official, earlier kind.</w:t>
            </w:r>
          </w:p>
          <w:p>
            <w:pPr>
              <w:pStyle w:val="TableText"/>
            </w:pPr>
            <w:r>
              <w:t>• Platform now (implements option A): after the second week a single subject cannot be withdrawn; the message tells the student that all subjects may still be withdrawn at full fees, or a leave of absence filed.</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After the second week, what may a student do with a single subject, and what mark and fee apply?</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Only a leave of absence or withdrawal of all subjects; single subjects cannot be withdrawn.</w:t>
            </w:r>
          </w:p>
          <w:p>
            <w:pPr>
              <w:pStyle w:val="TableText"/>
            </w:pPr>
            <w:r>
              <w:t>B. A single subject may be dropped (mark D) with full fees.</w:t>
            </w:r>
          </w:p>
          <w:p>
            <w:pPr>
              <w:pStyle w:val="TableText"/>
            </w:pPr>
            <w:r>
              <w:t>C. A single subject may be withdrawn (mark W) with full fees, or fees to the last month of attendance for a justifiable reason.</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WD-03, WD-04, DRP-10</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OQ-04  Does a withdrawal or a drop need approval, and may it be refused?</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49: for a withdrawal the student writes a letter and seeks approval from the Dean.</w:t>
            </w:r>
          </w:p>
          <w:p>
            <w:pPr>
              <w:pStyle w:val="TableText"/>
            </w:pPr>
            <w:r>
              <w:t>• Consultation 29 July 2026 (account of the Associate Dean): the Dean decides with discretion; usual reasons to deny are a late request or an unsupported reason.</w:t>
            </w:r>
          </w:p>
          <w:p>
            <w:pPr>
              <w:pStyle w:val="TableText"/>
            </w:pPr>
            <w:r>
              <w:t>• Consultation 15 and 29 July 2026 (capstone adviser sessions, not Graduate School staff): dropping and withdrawing are a student's right and are not denied.</w:t>
            </w:r>
          </w:p>
          <w:p>
            <w:pPr>
              <w:pStyle w:val="TableText"/>
            </w:pPr>
            <w:r>
              <w:t>• Consultation 21 July 2026: for dropping, the student talks to the Academic Coordinator and, once agreed, the subject is tagged dropped.</w:t>
            </w:r>
          </w:p>
          <w:p>
            <w:pPr>
              <w:pStyle w:val="TableText"/>
            </w:pPr>
            <w:r>
              <w:t>• Platform now: the Dean approves or denies every withdrawal (a denial needs a reason); a drop is recorded by the Academic Coordinator without an approval step, and only when the unexcused absences entered are above 20%.</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Who approves a withdrawal, who approves a drop, and on what grounds may a request be refused?</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The Dean approves every withdrawal and may refuse; a drop needs no approval.</w:t>
            </w:r>
          </w:p>
          <w:p>
            <w:pPr>
              <w:pStyle w:val="TableText"/>
            </w:pPr>
            <w:r>
              <w:t>B. Neither needs approval; the Graduate School only records them.</w:t>
            </w:r>
          </w:p>
          <w:p>
            <w:pPr>
              <w:pStyle w:val="TableText"/>
            </w:pPr>
            <w:r>
              <w:t>C. Withdrawal needs the Dean's approval; a drop needs the Academic Coordinator's agreement.</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WD-06, WD-13, DRP-07, DRP-09</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OQ-05  Dropping: procedure, forms, and how the Graduate School finds out</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the only dropping rule is the automatic drop for absences (p. 52); no student-requested drop procedure or form is described; the Withdrawal Form is named (p. 49) but not supplied.</w:t>
            </w:r>
          </w:p>
          <w:p>
            <w:pPr>
              <w:pStyle w:val="TableText"/>
            </w:pPr>
            <w:r>
              <w:t>• Consultation 21 July 2026: the student talks or writes to the Academic Coordinator; the Graduate School drops in AIMS as well as in its own record.</w:t>
            </w:r>
          </w:p>
          <w:p>
            <w:pPr>
              <w:pStyle w:val="TableText"/>
            </w:pPr>
            <w:r>
              <w:t>• Platform now: there is no student drop request; the Academic Coordinator records the drop with the absence percentage, a note and a date; nothing is sent to AIMS.</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What is the drop procedure, which form (if any) is used, who informs the professor and who records the drop in AIMS? How is the Graduate School informed if a student stops attending without telling anyone?</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Email or conversation with the Academic Coordinator only; no form.</w:t>
            </w:r>
          </w:p>
          <w:p>
            <w:pPr>
              <w:pStyle w:val="TableText"/>
            </w:pPr>
            <w:r>
              <w:t>B. A written form, to be supplied by the Graduate School.</w:t>
            </w:r>
          </w:p>
          <w:p>
            <w:pPr>
              <w:pStyle w:val="TableText"/>
            </w:pPr>
            <w:r>
              <w:t>C. The professor reports drops to the Academic Coordinator.</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DRP-07, DRP-08, DRP-09</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OQ-06  DRP grade and program consequences</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52: an automatic drop for absences gives the grade DRP with a 5.0.</w:t>
            </w:r>
          </w:p>
          <w:p>
            <w:pPr>
              <w:pStyle w:val="TableText"/>
            </w:pPr>
            <w:r>
              <w:t>• Handbook 2022-2023, p. 53: the grading table lists D (Dropped), not DRP.</w:t>
            </w:r>
          </w:p>
          <w:p>
            <w:pPr>
              <w:pStyle w:val="TableText"/>
            </w:pPr>
            <w:r>
              <w:t>• Handbook 2022-2023, p. 54: a 5.0 means the student is automatically dropped from the program; failure in any subject means no re-admission.</w:t>
            </w:r>
          </w:p>
          <w:p>
            <w:pPr>
              <w:pStyle w:val="TableText"/>
            </w:pPr>
            <w:r>
              <w:t>• Platform now: it does not produce the DRP grade or apply the retention rule; both are kept in the register as documented only.</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Is DRP the same as D? Does a DRP with 5.0 count as a failure that drops the student from the program?</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DRP is a failure; the retention rule applies.</w:t>
            </w:r>
          </w:p>
          <w:p>
            <w:pPr>
              <w:pStyle w:val="TableText"/>
            </w:pPr>
            <w:r>
              <w:t>B. DRP is recorded as a drop only; the retention rule does not apply.</w:t>
            </w:r>
          </w:p>
          <w:p>
            <w:pPr>
              <w:pStyle w:val="TableText"/>
            </w:pPr>
            <w:r>
              <w:t>C. To be decided by the Dean case by case.</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DRP-03, DRP-05, DRP-06</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OQ-07  Change or add of subject after the first week</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pp. 48-49: change of subject and adding of subjects are allowed during the first week only; no fee or exception is stated.</w:t>
            </w:r>
          </w:p>
          <w:p>
            <w:pPr>
              <w:pStyle w:val="TableText"/>
            </w:pPr>
            <w:r>
              <w:t>• Platform now: after the first week (7 calendar days from the semester start date) an addition or change is flagged and staff can save it only with a documented exception (the Associate Dean's written approval for an addition; subject dissolved, schedule conflict or failed prerequisite for a change); a student cannot do it in the portal.</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Is any exception possible after the first week, who may grant it, and is there a fee for changing or adding?</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No exception.</w:t>
            </w:r>
          </w:p>
          <w:p>
            <w:pPr>
              <w:pStyle w:val="TableText"/>
            </w:pPr>
            <w:r>
              <w:t>B. The Dean may allow an exception for a stated reason.</w:t>
            </w:r>
          </w:p>
          <w:p>
            <w:pPr>
              <w:pStyle w:val="TableText"/>
            </w:pPr>
            <w:r>
              <w:t>C. Fees to be stated by the Business Office.</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CRS-01, CRS-02, CRS-03</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OQ-08  How are "first week" and "second week" counted?</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pp. 49, 52: "first week of classes", "second week" and "attendance counted from the first regular class meeting"; no calendar rule is given.</w:t>
            </w:r>
          </w:p>
          <w:p>
            <w:pPr>
              <w:pStyle w:val="TableText"/>
            </w:pPr>
            <w:r>
              <w:t>• Platform now: calendar days from the start date of the semester: 7 for the first week (the fee tier and the add or change window) and 14 for the withdrawal window.</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Are the weeks counted from the first day of classes of the semester, or from each subject's first class meeting? Do summer terms follow the same weeks?</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Calendar days from the official first day of classes.</w:t>
            </w:r>
          </w:p>
          <w:p>
            <w:pPr>
              <w:pStyle w:val="TableText"/>
            </w:pPr>
            <w:r>
              <w:t>B. From the first class meeting of each subject.</w:t>
            </w:r>
          </w:p>
          <w:p>
            <w:pPr>
              <w:pStyle w:val="TableText"/>
            </w:pPr>
            <w:r>
              <w:t>C. Another rule, to be stated.</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WD-01, WD-02, CRS-01, CRS-02, ENR-03</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OQ-09  Leave of absence: length and number of leaves</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52: a leave may be approved for one year and renewed for at most another year.</w:t>
            </w:r>
          </w:p>
          <w:p>
            <w:pPr>
              <w:pStyle w:val="TableText"/>
            </w:pPr>
            <w:r>
              <w:t>• Platform now (implements option A in part): up to two semesters per request and four semesters in total with renewals; the number of leaves is not limited; a semester is counted by its position in the list of semesters set up in the platform.</w:t>
            </w:r>
          </w:p>
          <w:p>
            <w:pPr>
              <w:pStyle w:val="TableText"/>
            </w:pPr>
            <w:r>
              <w:t>• Owner's ruling for this revision: the Graduate School Handbook 2022-2023 is in force, so the platform follows it wherever it is explicit. The question stays so that the Graduate School can confirm the rule or choose another.</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How long may a leave be, is the two-year limit counted per leave or over the whole program, is a year two semesters or three terms, and is there a maximum number of leaves?</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One year, renewable once for another year, per leave; no limit on the number of leaves.</w:t>
            </w:r>
          </w:p>
          <w:p>
            <w:pPr>
              <w:pStyle w:val="TableText"/>
            </w:pPr>
            <w:r>
              <w:t>B. A total of two years over the whole program.</w:t>
            </w:r>
          </w:p>
          <w:p>
            <w:pPr>
              <w:pStyle w:val="TableText"/>
            </w:pPr>
            <w:r>
              <w:t>C. Two semesters, renewable once, with a maximum number of leaves to be stated.</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LOA-03, LOA-13</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OQ-10  Does leave of absence count toward maximum residence?</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55: a master's program must be finished within seven academic years including leave of absence; a doctorate within nine including leave.</w:t>
            </w:r>
          </w:p>
          <w:p>
            <w:pPr>
              <w:pStyle w:val="TableText"/>
            </w:pPr>
            <w:r>
              <w:t>• Platform now (implements option A): time on leave counts; the residency clock is never paused (register value residency.includes_loa).</w:t>
            </w:r>
          </w:p>
          <w:p>
            <w:pPr>
              <w:pStyle w:val="TableText"/>
            </w:pPr>
            <w:r>
              <w:t>• Owner's ruling for this revision: the Graduate School Handbook 2022-2023 is in force, so the platform follows it wherever it is explicit. The question stays so that the Graduate School can confirm the rule or choose another.</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Is the leave included in the maximum residence as the Handbook says?</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Yes, included (Handbook).</w:t>
            </w:r>
          </w:p>
          <w:p>
            <w:pPr>
              <w:pStyle w:val="TableText"/>
            </w:pPr>
            <w:r>
              <w:t>B. No, the clock is paused.</w:t>
            </w:r>
          </w:p>
          <w:p>
            <w:pPr>
              <w:pStyle w:val="TableText"/>
            </w:pPr>
            <w:r>
              <w:t>C. The first year of a leave is excluded.</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LOA-10, RES-07, RES-09</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OQ-11  Leave of absence: filing deadline and start term</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52: "LOA must be done on or before the deadline" (no date is given).</w:t>
            </w:r>
          </w:p>
          <w:p>
            <w:pPr>
              <w:pStyle w:val="TableText"/>
            </w:pPr>
            <w:r>
              <w:t>• Handbook 2022-2023, p. 53: a leave is allowed in the second half of a semester (class standing W, no refund) but not within two weeks before the last day of classes.</w:t>
            </w:r>
          </w:p>
          <w:p>
            <w:pPr>
              <w:pStyle w:val="TableText"/>
            </w:pPr>
            <w:r>
              <w:t>• Platform now (implements option B in part): a leave may start in a running semester until 14 days before its last day of classes; in the second half the courses become W with no refund (shown as a note only); a semester already over is refused. The student form still lists only future semesters.</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What is the deadline to file a leave, and may a leave start in the semester already running?</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Deadline is the end of the enrollment period; the leave starts in a future term only.</w:t>
            </w:r>
          </w:p>
          <w:p>
            <w:pPr>
              <w:pStyle w:val="TableText"/>
            </w:pPr>
            <w:r>
              <w:t>B. As in the Handbook: a leave may start during the semester until two weeks before the last day of classes, with W and no refund in the second half.</w:t>
            </w:r>
          </w:p>
          <w:p>
            <w:pPr>
              <w:pStyle w:val="TableText"/>
            </w:pPr>
            <w:r>
              <w:t>C. Another rule.</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LOA-04, LOA-08, LOA-09, LOA-13</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OQ-12  Written letter or structured form for leave, withdrawal and readmission; can a pending request be withdrawn?</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pp. 49, 52-53: the requests are letters to the Dean or the Registrar.</w:t>
            </w:r>
          </w:p>
          <w:p>
            <w:pPr>
              <w:pStyle w:val="TableText"/>
            </w:pPr>
            <w:r>
              <w:t>• Platform: structured forms with a reference; the student can withdraw a pending leave request while it is Submitted or in Dean Review, as the adviser suggested (Consultation 20 July 2026).</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May a structured form replace the letter, and may a student withdraw a pending request?</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Letter only.</w:t>
            </w:r>
          </w:p>
          <w:p>
            <w:pPr>
              <w:pStyle w:val="TableText"/>
            </w:pPr>
            <w:r>
              <w:t>B. The platform form is accepted as the written request.</w:t>
            </w:r>
          </w:p>
          <w:p>
            <w:pPr>
              <w:pStyle w:val="TableText"/>
            </w:pPr>
            <w:r>
              <w:t>C. Form plus a signed letter attached.</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LOA-02, LOA-12, WD-06, RDM-01</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OQ-13  Readmission requirements</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45: clearance from the Business Office, an interview (reason for delay, residency requirements), evaluation of subject and grade requirements, and an Advise Slip from the Dean.</w:t>
            </w:r>
          </w:p>
          <w:p>
            <w:pPr>
              <w:pStyle w:val="TableText"/>
            </w:pPr>
            <w:r>
              <w:t>• Platform: structured return intention, updated study plan, program or adviser consultation, and no pending accountability.</w:t>
            </w:r>
          </w:p>
          <w:p>
            <w:pPr>
              <w:pStyle w:val="TableText"/>
            </w:pPr>
            <w:r>
              <w:t>• Consultation 20 July 2026: the adviser asked whether a readmitted student is automatically eligible to enroll; no answer is recorded.</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Which list applies, who interviews and evaluates, and is a readmitted student automatically cleared to enroll?</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The Handbook's four requirements only.</w:t>
            </w:r>
          </w:p>
          <w:p>
            <w:pPr>
              <w:pStyle w:val="TableText"/>
            </w:pPr>
            <w:r>
              <w:t>B. The platform's four items only.</w:t>
            </w:r>
          </w:p>
          <w:p>
            <w:pPr>
              <w:pStyle w:val="TableText"/>
            </w:pPr>
            <w:r>
              <w:t>C. Both lists; the interview and evaluation by the Academic Coordinator.</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RDM-02, RDM-05</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OQ-14  AWOL: who declares it and what follows</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53: a student who withdraws without a formal leave is AWOL, and registration privileges are curtailed or withdrawn; nothing is said about who declares it, when, or whether AWOL counts toward maximum residence.</w:t>
            </w:r>
          </w:p>
          <w:p>
            <w:pPr>
              <w:pStyle w:val="TableText"/>
            </w:pPr>
            <w:r>
              <w:t>• Platform now: AWOL is flagged from source evidence (an imported AWOL standing, or a semester marked Withdrawn with no leave and no resolved return) and cannot be declared manually; the AWOL period counts toward maximum residence because the clock is never paused.</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Who declares AWOL, after how long, is the Registrar told, and does the AWOL period count toward maximum residence?</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The Dean declares it after one semester with no enrollment and no approved leave; the period counts toward maximum residence.</w:t>
            </w:r>
          </w:p>
          <w:p>
            <w:pPr>
              <w:pStyle w:val="TableText"/>
            </w:pPr>
            <w:r>
              <w:t>B. The Registrar's record is the only basis; the Graduate School only records it.</w:t>
            </w:r>
          </w:p>
          <w:p>
            <w:pPr>
              <w:pStyle w:val="TableText"/>
            </w:pPr>
            <w:r>
              <w:t>C. Another rule.</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AWL-01, AWL-04, AWL-05, AWL-06</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OQ-15  Residency enrollment: fee, deadline and number of semesters</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pp. 48, 56: registration for residence is done within the semester; no fee and no maximum number of residency semesters is stated.</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What is the fee, what is the registration deadline, and how many residency semesters may a student take?</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As for a regular semester; no limit other than maximum residence.</w:t>
            </w:r>
          </w:p>
          <w:p>
            <w:pPr>
              <w:pStyle w:val="TableText"/>
            </w:pPr>
            <w:r>
              <w:t>B. A fixed number of semesters per purpose, to be stated.</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RES-01, RES-02, RES-04</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OQ-16  Maximum residence: how it is measured and who approves the extension</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pp. 54-55: candidacy within three (master's) or five (doctorate) academic years from admission, completion within five or seven, an extension of up to two years with a graded six-unit refresher course, and absolute limits of seven and nine academic years; no rule says whether summer terms count or who approves an extension.</w:t>
            </w:r>
          </w:p>
          <w:p>
            <w:pPr>
              <w:pStyle w:val="TableText"/>
            </w:pPr>
            <w:r>
              <w:t>• Platform now: counts academic years from the entry academic year (year 1), stepping up each June, never reduced by leave; this can differ by up to a year from a count from the date of admission.</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How is an academic year counted (summer terms?), and who approves an extension and the refresher course?</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Academic years from the date of admission; the Dean approves the extension.</w:t>
            </w:r>
          </w:p>
          <w:p>
            <w:pPr>
              <w:pStyle w:val="TableText"/>
            </w:pPr>
            <w:r>
              <w:t>B. Academic years from the date of first enrollment; the Academic Coordinator recommends and the Dean approves.</w:t>
            </w:r>
          </w:p>
          <w:p>
            <w:pPr>
              <w:pStyle w:val="TableText"/>
            </w:pPr>
            <w:r>
              <w:t>C. Another rule.</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RES-05, RES-06, RES-07, RES-08, RES-09</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OQ-17  Comprehensive examination: before or after the title defense and the adviser?</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57: after the student passes the comprehensive examination the student confers with the Dean for an adviser and is advanced to candidacy.</w:t>
            </w:r>
          </w:p>
          <w:p>
            <w:pPr>
              <w:pStyle w:val="TableText"/>
            </w:pPr>
            <w:r>
              <w:t>• Handbook 2022-2023, p. 58: an adviser may be assigned while the student is still taking courses.</w:t>
            </w:r>
          </w:p>
          <w:p>
            <w:pPr>
              <w:pStyle w:val="TableText"/>
            </w:pPr>
            <w:r>
              <w:t>• Research Protocol AY2024-2025: silent on the comprehensive examination.</w:t>
            </w:r>
          </w:p>
          <w:p>
            <w:pPr>
              <w:pStyle w:val="TableText"/>
            </w:pPr>
            <w:r>
              <w:t>• Platform now: all research stages from the title defense onward stay locked until the examination is Passed and all curriculum subjects are complete; the Graduate School can switch the examination requirement off in the register.</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In what order must the comprehensive examination, the adviser designation and the title defense happen, and does it differ for thesis and non-thesis tracks?</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The examination must be passed before the title defense and the adviser.</w:t>
            </w:r>
          </w:p>
          <w:p>
            <w:pPr>
              <w:pStyle w:val="TableText"/>
            </w:pPr>
            <w:r>
              <w:t>B. An adviser and the title defense may come during coursework; the examination only before the final defense.</w:t>
            </w:r>
          </w:p>
          <w:p>
            <w:pPr>
              <w:pStyle w:val="TableText"/>
            </w:pPr>
            <w:r>
              <w:t>C. Different order for thesis and non-thesis students.</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CEX-10, CEX-13, ADV-08</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OQ-18  Comprehensive examination: missing rule and evaluator</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57: the sentence beginning "The student who failed to take the Comprehensive Exam on the scheduled dates within the semester" is cut off in the copy supplied.</w:t>
            </w:r>
          </w:p>
          <w:p>
            <w:pPr>
              <w:pStyle w:val="TableText"/>
            </w:pPr>
            <w:r>
              <w:t>• Handbook 2022-2023, p. 56: master's students are evaluated by the Graduate School Academic Coordinators; doctorate students by the College Deans.</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What is the consequence of not taking the examination on the scheduled dates, and who evaluates doctorate students for eligibility?</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The fee is forfeited and the student re-enrolls in residency for the next examination.</w:t>
            </w:r>
          </w:p>
          <w:p>
            <w:pPr>
              <w:pStyle w:val="TableText"/>
            </w:pPr>
            <w:r>
              <w:t>B. Doctorate students are evaluated by the Graduate School Dean.</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CEX-03, CEX-07</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OQ-19  Who approves the designation of the research adviser?</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58: the Dean appoints the adviser, with the approval of the program adviser and the Dean, giving primary importance to the student's choice.</w:t>
            </w:r>
          </w:p>
          <w:p>
            <w:pPr>
              <w:pStyle w:val="TableText"/>
            </w:pPr>
            <w:r>
              <w:t>• Handbook 2022-2023, p. 59: the Dean, the Associate Dean and the Research Coordinator make the final decision.</w:t>
            </w:r>
          </w:p>
          <w:p>
            <w:pPr>
              <w:pStyle w:val="TableText"/>
            </w:pPr>
            <w:r>
              <w:t>• Research Protocol AY2024-2025, Designation of the Research Adviser: the Research Coordinator emails Form 3 to the Dean for deliberation; the Research Coordinator, Associate Dean and Dean sign.</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Who decides, and who signs: the Dean alone, or the Dean, Associate Dean and Research Coordinator together? Is the program adviser's approval needed?</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The Dean, Associate Dean and Research Coordinator decide together; the program adviser is consulted.</w:t>
            </w:r>
          </w:p>
          <w:p>
            <w:pPr>
              <w:pStyle w:val="TableText"/>
            </w:pPr>
            <w:r>
              <w:t>B. The Dean decides on the Research Coordinator's recommendation.</w:t>
            </w:r>
          </w:p>
          <w:p>
            <w:pPr>
              <w:pStyle w:val="TableText"/>
            </w:pPr>
            <w:r>
              <w:t>C. Another route.</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ADV-05, ADV-06, ADV-09</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OQ-20  Adviser eligibility and the limit on advisees</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58: a Graduate School faculty with a doctoral degree aligned with the discipline and at least one refereed publication or recognized output; more than five advisees only with the Dean's approval.</w:t>
            </w:r>
          </w:p>
          <w:p>
            <w:pPr>
              <w:pStyle w:val="TableText"/>
            </w:pPr>
            <w:r>
              <w:t>• Handbook 2022-2023, p. 59: a maximum of five advisees per semester.</w:t>
            </w:r>
          </w:p>
          <w:p>
            <w:pPr>
              <w:pStyle w:val="TableText"/>
            </w:pPr>
            <w:r>
              <w:t>• Research Protocol AY2024-2025: a PhD for PhD students and at least PhD units for MA students; a maximum of five active advisees for the current academic year.</w:t>
            </w:r>
          </w:p>
          <w:p>
            <w:pPr>
              <w:pStyle w:val="TableText"/>
            </w:pPr>
            <w:r>
              <w:t>• Platform now: the five-advisee limit is in the register as a documented rule only; the platform does not count advisees or check qualifications.</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Which eligibility rule applies to MA advisers, and is the limit five per semester or five active advisees per academic year?</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The Protocol (more recent).</w:t>
            </w:r>
          </w:p>
          <w:p>
            <w:pPr>
              <w:pStyle w:val="TableText"/>
            </w:pPr>
            <w:r>
              <w:t>B. The Handbook.</w:t>
            </w:r>
          </w:p>
          <w:p>
            <w:pPr>
              <w:pStyle w:val="TableText"/>
            </w:pPr>
            <w:r>
              <w:t>C. Both apply.</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ADV-02, ADV-03, ADV-04, ADV-05</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OQ-21  Adviser nomination by the student and acceptance by faculty</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Practice differs</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Consultation 21 July 2026: the student nominates three faculty and each can accept or decline.</w:t>
            </w:r>
          </w:p>
          <w:p>
            <w:pPr>
              <w:pStyle w:val="TableText"/>
            </w:pPr>
            <w:r>
              <w:t>• Handbook 2022-2023 and Research Protocol AY2024-2025: Form 3 names an adviser; neither mentions three nominees or faculty acceptance before the application.</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Is the three-nominee and accept-or-decline step the office's practice? Is it written on Form 3?</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Yes, it is practice and should be written into the Protocol.</w:t>
            </w:r>
          </w:p>
          <w:p>
            <w:pPr>
              <w:pStyle w:val="TableText"/>
            </w:pPr>
            <w:r>
              <w:t>B. No, Form 3 names one adviser who has already agreed.</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ADV-16, ADV-17</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OQ-22  Who approves the external panel member?</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63: the adviser's recommendation is subject to the approval of the GS office.</w:t>
            </w:r>
          </w:p>
          <w:p>
            <w:pPr>
              <w:pStyle w:val="TableText"/>
            </w:pPr>
            <w:r>
              <w:t>• Research Protocol AY2024-2025, Proposal Defense, Part I: subject to the approval of the GS Research Committee (Dean, Associate Dean, Academic Coordinator, Research Coordinator).</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Which body approves the external panel member?</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GS Research Committee.</w:t>
            </w:r>
          </w:p>
          <w:p>
            <w:pPr>
              <w:pStyle w:val="TableText"/>
            </w:pPr>
            <w:r>
              <w:t>B. GS Office.</w:t>
            </w:r>
          </w:p>
          <w:p>
            <w:pPr>
              <w:pStyle w:val="TableText"/>
            </w:pPr>
            <w:r>
              <w:t>C. The Research Coordinator on the Dean's behalf.</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PRP-04, TTL-02</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OQ-23  Public final defense: five days or two weeks?</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pp. 72-73 and Research Protocol AY2024-2025, Closed-door Final Defense, Part IV and Public Defense, Part I: application (Form 4.3) "must be done 5 days before the preferred schedule for GS posting purposes"; the same section says "This must be done at least 2 weeks before the date of defense."</w:t>
            </w:r>
          </w:p>
          <w:p>
            <w:pPr>
              <w:pStyle w:val="TableText"/>
            </w:pPr>
            <w:r>
              <w:t>• Platform now: a public final defense cannot be booked, so neither period is applied; the closed-door final defense has a 14-day notice that staff may override with a recorded reason.</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What is the lead time for Form 4.3?</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Five days for posting, and two weeks for the panel to have the manuscript (the 14-Day Rule), both apply.</w:t>
            </w:r>
          </w:p>
          <w:p>
            <w:pPr>
              <w:pStyle w:val="TableText"/>
            </w:pPr>
            <w:r>
              <w:t>B. Five days only.</w:t>
            </w:r>
          </w:p>
          <w:p>
            <w:pPr>
              <w:pStyle w:val="TableText"/>
            </w:pPr>
            <w:r>
              <w:t>C. Two weeks only.</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FIN-14, SCH-03, SCH-04</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OQ-24  Public final defense: presentation and question time</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73: the student is given 30 minutes to present, followed by another 30 minutes for questions and answers.</w:t>
            </w:r>
          </w:p>
          <w:p>
            <w:pPr>
              <w:pStyle w:val="TableText"/>
            </w:pPr>
            <w:r>
              <w:t>• Research Protocol AY2024-2025, Public Defense, Part II: 30 minutes to present, followed by the deliberation by the panel.</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Is the question time part of the thirty minutes, separate, or not limited?</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30 minutes present, 30 minutes questions.</w:t>
            </w:r>
          </w:p>
          <w:p>
            <w:pPr>
              <w:pStyle w:val="TableText"/>
            </w:pPr>
            <w:r>
              <w:t>B. 30 minutes present, questions until the panel is ready to deliberate.</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FIN-17</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OQ-25  Publication and dissemination requirements for graduation</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75: Forms 11, 12 and 13; a student can only be declared a graduate and join the ceremony once Form 13 and proof of publication are submitted; Scopus, ISI and Web of Science for PhD, peer-reviewed for MA.</w:t>
            </w:r>
          </w:p>
          <w:p>
            <w:pPr>
              <w:pStyle w:val="TableText"/>
            </w:pPr>
            <w:r>
              <w:t>• Handbook 2022-2023, p. 77: publication in a Scopus-indexed, Web of Science and ISI journal for those enrolled from AY 2022-2023 onwards; presentation in a public seminar series.</w:t>
            </w:r>
          </w:p>
          <w:p>
            <w:pPr>
              <w:pStyle w:val="TableText"/>
            </w:pPr>
            <w:r>
              <w:t>• Handbook 2022-2023, pp. 68-69, 74: presentation at a research conference.</w:t>
            </w:r>
          </w:p>
          <w:p>
            <w:pPr>
              <w:pStyle w:val="TableText"/>
            </w:pPr>
            <w:r>
              <w:t>• Research Protocol AY2024-2025 copy: "without publication protocol".</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Who must publish, in what kind of journal, and what happens to students enrolled before AY 2022-2023 and to MA students? Is the conference and the public seminar series one requirement or two?</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Publication required for all; Scopus/ISI/WoS for PhD and peer-reviewed for MA.</w:t>
            </w:r>
          </w:p>
          <w:p>
            <w:pPr>
              <w:pStyle w:val="TableText"/>
            </w:pPr>
            <w:r>
              <w:t>B. Publication required only for those enrolled from AY 2022-2023 onwards; earlier students only present at a conference.</w:t>
            </w:r>
          </w:p>
          <w:p>
            <w:pPr>
              <w:pStyle w:val="TableText"/>
            </w:pPr>
            <w:r>
              <w:t>C. Another rule.</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CMP-08, CMP-09, CMP-10, GRD-08, GRD-09</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OQ-26  Time allowed to send the completion documents</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68: the student sends the soft copy and documents "within the period set by the office"; no period is stated.</w:t>
            </w:r>
          </w:p>
          <w:p>
            <w:pPr>
              <w:pStyle w:val="TableText"/>
            </w:pPr>
            <w:r>
              <w:t>• No time limit is stated for revisions after a pass with minor revisions.</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What period has the office set for sending the completion documents, and for revisions after a pass with minor revisions?</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A number of days after the defense, to be stated.</w:t>
            </w:r>
          </w:p>
          <w:p>
            <w:pPr>
              <w:pStyle w:val="TableText"/>
            </w:pPr>
            <w:r>
              <w:t>B. By the graduation review window.</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CMP-05, FIN-07</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OQ-27  Defense fee amounts</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Research Protocol AY2024-2025 copy: the fee tables for title, proposal and final defense (chair, members, adviser, total) are blank; the Handbook does not state amounts.</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What are the fees per role (chair, panel member, adviser), per program type (project paper, thesis, dissertation) and per defense (title, proposal, closed-door final, public, re-defense)?</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Amounts to be supplied by the Graduate School.</w:t>
            </w:r>
          </w:p>
          <w:p>
            <w:pPr>
              <w:pStyle w:val="TableText"/>
            </w:pPr>
            <w:r>
              <w:t>B. Amounts are set each year by the Business Office.</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TTL-08, PRP-09, FIN-06</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OQ-28  Rescheduling a confirmed defense</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and Research Protocol AY2024-2025: nothing on rescheduling apart from re-defense following the same protocol.</w:t>
            </w:r>
          </w:p>
          <w:p>
            <w:pPr>
              <w:pStyle w:val="TableText"/>
            </w:pPr>
            <w:r>
              <w:t>• Group process model: the student may ask for a schedule revision before confirmation.</w:t>
            </w:r>
          </w:p>
          <w:p>
            <w:pPr>
              <w:pStyle w:val="TableText"/>
            </w:pPr>
            <w:r>
              <w:t>• Platform now: staff and the Research Coordinator can reschedule or cancel a booking with a required reason and the name of who asked; no notice period is applied; a reschedule runs every booking check again.</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What is the notice period to reschedule, who approves, how many times, what happens to the fee, and what if a panel member withdraws?</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Reschedule allowed by the Research Coordinator with at least the lead time.</w:t>
            </w:r>
          </w:p>
          <w:p>
            <w:pPr>
              <w:pStyle w:val="TableText"/>
            </w:pPr>
            <w:r>
              <w:t>B. Rescheduling needs the Dean's approval.</w:t>
            </w:r>
          </w:p>
          <w:p>
            <w:pPr>
              <w:pStyle w:val="TableText"/>
            </w:pPr>
            <w:r>
              <w:t>C. Another rule.</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SCH-07, SCH-09</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OQ-29  Practicum: programs, hours, documents and approvers</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pp. 48, 56: practicum appears only in residency enrollment and in the integrating courses of the Education non-thesis track; no hours or documents are given.</w:t>
            </w:r>
          </w:p>
          <w:p>
            <w:pPr>
              <w:pStyle w:val="TableText"/>
            </w:pPr>
            <w:r>
              <w:t>• Platform and the group's notes: Psychology programs and MSGC only; 200 hours; Basic 6, Major 9, Cognate 6 and total 21 units before practicum; MOA and certificates; Academic Coordinator verifies; Dean reviews.</w:t>
            </w:r>
          </w:p>
          <w:p>
            <w:pPr>
              <w:pStyle w:val="TableText"/>
            </w:pPr>
            <w:r>
              <w:t>• Group notes: a PhD in Psychology curriculum lists DPSY330 Internship, six units.</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Which programs have a practicum, how many hours does each require, what must be completed first, what documents prove it, and who verifies and accepts it? Should start and end dates and schedules be recorded?</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Psychology programs and MSGC, 200 hours each, as in the platform.</w:t>
            </w:r>
          </w:p>
          <w:p>
            <w:pPr>
              <w:pStyle w:val="TableText"/>
            </w:pPr>
            <w:r>
              <w:t>B. Hours and prerequisites differ by program and will be supplied.</w:t>
            </w:r>
          </w:p>
          <w:p>
            <w:pPr>
              <w:pStyle w:val="TableText"/>
            </w:pPr>
            <w:r>
              <w:t>C. Other programs also have a practicum.</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PRC-03, PRC-04, PRC-05, PRC-07, PRC-09</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OQ-30  Graduation review window</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Platform: limits graduation selection to the active school year; no opening or closing dates.</w:t>
            </w:r>
          </w:p>
          <w:p>
            <w:pPr>
              <w:pStyle w:val="TableText"/>
            </w:pPr>
            <w:r>
              <w:t>• Handbook 2022-2023, p. 77: the student must be officially enrolled in the semester of application for graduation; no dates.</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When does the graduation review window open and close, how are late applicants treated, and what happens to an eligible student who misses the window?</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A fixed window each semester, dates to be supplied.</w:t>
            </w:r>
          </w:p>
          <w:p>
            <w:pPr>
              <w:pStyle w:val="TableText"/>
            </w:pPr>
            <w:r>
              <w:t>B. Open for the whole school year; the Registrar's deadline governs.</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GRD-02, GRD-15</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OQ-31  Graduation document checklist</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77: lists the requirements; Forms 9 and 10 and the Turnitin certificate are completion documents (p. 68).</w:t>
            </w:r>
          </w:p>
          <w:p>
            <w:pPr>
              <w:pStyle w:val="TableText"/>
            </w:pPr>
            <w:r>
              <w:t>• Platform: checks the research evidence and a signed application PDF.</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Which documents are always required, is Form 9 or Form 10 always required, does every program need a Turnitin certificate, what clearances apply, is there an official graduation application form, and which office verifies each?</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All documents in the Handbook's completion list for every program.</w:t>
            </w:r>
          </w:p>
          <w:p>
            <w:pPr>
              <w:pStyle w:val="TableText"/>
            </w:pPr>
            <w:r>
              <w:t>B. A program-specific list to be supplied.</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GRD-06, GRD-13, GRD-14</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OQ-32  Registrar acknowledgement and export formats</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Platform: exports a file and records that it is ready to send; does not record receipt.</w:t>
            </w:r>
          </w:p>
          <w:p>
            <w:pPr>
              <w:pStyle w:val="TableText"/>
            </w:pPr>
            <w:r>
              <w:t>• Group notes: two options are open: A. leave acknowledgement outside the platform; B. record a manual acknowledgement with reference number, date and office.</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Should the Graduate School record the Registrar's acknowledgement? What columns, file names and formats does the Registrar accept for withdrawals and graduation?</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Keep acknowledgement outside the platform.</w:t>
            </w:r>
          </w:p>
          <w:p>
            <w:pPr>
              <w:pStyle w:val="TableText"/>
            </w:pPr>
            <w:r>
              <w:t>B. Record a manual acknowledgement with a reference number and date.</w:t>
            </w:r>
          </w:p>
          <w:p>
            <w:pPr>
              <w:pStyle w:val="TableText"/>
            </w:pPr>
            <w:r>
              <w:t>C. Formats to be supplied by the Registrar.</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HND-09, HND-10, GRD-16</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OQ-33  Who imports the monitoring workbook, from what source and how often?</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Practice differs</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Group process model: the Registrar sends a file to GS staff, who import it (BPM accurate flow, section 1).</w:t>
            </w:r>
          </w:p>
          <w:p>
            <w:pPr>
              <w:pStyle w:val="TableText"/>
            </w:pPr>
            <w:r>
              <w:t>• Consultation 29 July 2026 (adviser): if the Academic Coordinator and GS staff work in the same office, the person who holds the file should upload it.</w:t>
            </w:r>
          </w:p>
          <w:p>
            <w:pPr>
              <w:pStyle w:val="TableText"/>
            </w:pPr>
            <w:r>
              <w:t>• Consultation 21 July 2026: AIMS cannot be integrated; the office can ask ITS for an Excel export; the Academic Coordinator tags enrolled subjects as students are advised.</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Who imports or updates the monitoring workbook, what is its source (Registrar file, ITS export, the Academic Coordinator's own sheet), and how often is it updated?</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GS staff, each term, from the Registrar's or ITS's file.</w:t>
            </w:r>
          </w:p>
          <w:p>
            <w:pPr>
              <w:pStyle w:val="TableText"/>
            </w:pPr>
            <w:r>
              <w:t>B. The Academic Coordinator, from the AIMS export.</w:t>
            </w:r>
          </w:p>
          <w:p>
            <w:pPr>
              <w:pStyle w:val="TableText"/>
            </w:pPr>
            <w:r>
              <w:t>C. Both, with daily updates by tagging.</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ADM-09, ADM-11, ADM-12, ENR-08</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OQ-34  Minimum class size: may a subject be opened for one student?</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Practice differs</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Consultation notes (answer attributed to the Associate Dean): the subject-demand cutoff is one student; a need is not automatically an offering.</w:t>
            </w:r>
          </w:p>
          <w:p>
            <w:pPr>
              <w:pStyle w:val="TableText"/>
            </w:pPr>
            <w:r>
              <w:t>• Consultation 29 July 2026 (adviser): a school does not open a class for one student; minimum demand means the minimum for the course to open.</w:t>
            </w:r>
          </w:p>
          <w:p>
            <w:pPr>
              <w:pStyle w:val="TableText"/>
            </w:pPr>
            <w:r>
              <w:t>• Handbook 2022-2023, p. 48: an undersized class is treated as a special class; the Dean ensures each new batch reaches the minimum number of enrollees.</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What is the minimum number of students to open a subject, and how is a smaller class handled?</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One student counts as a need; the Academic Coordinator decides; a small class is a special class.</w:t>
            </w:r>
          </w:p>
          <w:p>
            <w:pPr>
              <w:pStyle w:val="TableText"/>
            </w:pPr>
            <w:r>
              <w:t>B. A minimum number to be stated; below it a special class or deferral.</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CRS-04, CRS-08</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OQ-35  Approval of the offering and assignment of professors</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Practice differs</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Group process model: the Dean approves the offering plan (BPM accurate flow, section 3).</w:t>
            </w:r>
          </w:p>
          <w:p>
            <w:pPr>
              <w:pStyle w:val="TableText"/>
            </w:pPr>
            <w:r>
              <w:t>• Consultation 21 July 2026: the Academic Coordinator decides what to offer and who teaches it, using the faculty profile and CV; no mention of the Dean.</w:t>
            </w:r>
          </w:p>
          <w:p>
            <w:pPr>
              <w:pStyle w:val="TableText"/>
            </w:pPr>
            <w:r>
              <w:t>• Handbook 2022-2023, p. 48: a special class goes through the Dean to the Vice Chancellor for Academic Affairs.</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Does the Dean approve the offering? How and when does the office learn the professors' availability and preferred subjects?</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The Academic Coordinator decides; the Dean is informed.</w:t>
            </w:r>
          </w:p>
          <w:p>
            <w:pPr>
              <w:pStyle w:val="TableText"/>
            </w:pPr>
            <w:r>
              <w:t>B. The Dean approves every offering plan.</w:t>
            </w:r>
          </w:p>
          <w:p>
            <w:pPr>
              <w:pStyle w:val="TableText"/>
            </w:pPr>
            <w:r>
              <w:t>C. Approval only for special classes.</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CRS-07, CRS-10, CRS-12</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OQ-36  Failures, incompletes and grade timing</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pp. 49, 54: professors submit grades within one year; an INC is removed within one academic year by submitting the Incomplete Grade Removal Form to the Graduate School Office; all INC means dropped from the rolls.</w:t>
            </w:r>
          </w:p>
          <w:p>
            <w:pPr>
              <w:pStyle w:val="TableText"/>
            </w:pPr>
            <w:r>
              <w:t>• Consultation 21 July 2026: failures and incompletes are rare and are reported by faculty to the Academic Coordinator, who tags the status.</w:t>
            </w:r>
          </w:p>
          <w:p>
            <w:pPr>
              <w:pStyle w:val="TableText"/>
            </w:pPr>
            <w:r>
              <w:t>• Group notes: grades are visible in AIMS; when they become visible is not known.</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How do failures and incompletes reach the Academic Coordinator, and when in the term break are grades available in AIMS?</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Faculty email the Academic Coordinator; grades are visible before the offering planning.</w:t>
            </w:r>
          </w:p>
          <w:p>
            <w:pPr>
              <w:pStyle w:val="TableText"/>
            </w:pPr>
            <w:r>
              <w:t>B. The Registrar sends a list.</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ENR-12, DRP-12</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OQ-37  Alumni seminar, public seminar series and research conference</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80: graduating students must attend the Alumni seminar; p. 77: presentation in a public seminar series; pp. 68-69, 74: presentation at a research conference.</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Are the public seminar series and the research conference the same event? When must each be completed relative to the ceremony?</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The same event.</w:t>
            </w:r>
          </w:p>
          <w:p>
            <w:pPr>
              <w:pStyle w:val="TableText"/>
            </w:pPr>
            <w:r>
              <w:t>B. Separate requirements.</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GRD-08, GRD-10, CMP-08</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OQ-38  Is the Handbook 2022-2023 still in force?</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The only Handbook supplied is 2022-2023. The Protocol is for AY 2024-2025.</w:t>
            </w:r>
          </w:p>
          <w:p>
            <w:pPr>
              <w:pStyle w:val="TableText"/>
            </w:pPr>
            <w:r>
              <w:t>• Owner's ruling for this revision: the Handbook 2022-2023 is in force, and the platform was changed to follow it wherever it is explicit (withdrawal window and fees, length of leave, leave counted in maximum residence, panel sizes, lead times).</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Is there a later Handbook or any memorandum that changes withdrawal, leave, residency, or the defense rules?</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The 2022-2023 Handbook is in force without changes.</w:t>
            </w:r>
          </w:p>
          <w:p>
            <w:pPr>
              <w:pStyle w:val="TableText"/>
            </w:pPr>
            <w:r>
              <w:t>B. A later edition or memos exist and will be supplied.</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None</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OQ-39  Names of offices and mailboxes</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pp. 23, 65, 68: the Social Research Ethics Committee and Office; one email address is given for ethics review.</w:t>
            </w:r>
          </w:p>
          <w:p>
            <w:pPr>
              <w:pStyle w:val="TableText"/>
            </w:pPr>
            <w:r>
              <w:t>• Research Protocol AY2024-2025: RERC and RERO with a different email address; the GS Research mailbox and a separate Turnitin mailbox.</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What is the correct name of the research ethics office and what are the correct mailboxes for ethics review, Turnitin and the Graduate School Office?</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The Protocol's names and addresses are current.</w:t>
            </w:r>
          </w:p>
          <w:p>
            <w:pPr>
              <w:pStyle w:val="TableText"/>
            </w:pPr>
            <w:r>
              <w:t>B. The Handbook's are current.</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PRP-08, CMP-05</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OQ-40  Which date decides between the closed-door-only track and the public defense track?</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pp. 65, 69: students "admitted before August 2020" have no public defense.</w:t>
            </w:r>
          </w:p>
          <w:p>
            <w:pPr>
              <w:pStyle w:val="TableText"/>
            </w:pPr>
            <w:r>
              <w:t>• Research Protocol AY2024-2025: students "enrolled prior to August 2020".</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Is the date that of admission or of first enrollment?</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Date of admission.</w:t>
            </w:r>
          </w:p>
          <w:p>
            <w:pPr>
              <w:pStyle w:val="TableText"/>
            </w:pPr>
            <w:r>
              <w:t>B. Date of first enrollment.</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FIN-16</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OQ-41  Research time limits: what happens when they are exceeded?</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58: one year from the title defense to defend the proposal; thesis or project paper writing within two years; dissertation within three years; no consequence or extension is stated.</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What is the consequence of exceeding these limits, who may extend them, and how do they relate to the maximum residence?</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The title defense is repeated.</w:t>
            </w:r>
          </w:p>
          <w:p>
            <w:pPr>
              <w:pStyle w:val="TableText"/>
            </w:pPr>
            <w:r>
              <w:t>B. The Dean may extend once.</w:t>
            </w:r>
          </w:p>
          <w:p>
            <w:pPr>
              <w:pStyle w:val="TableText"/>
            </w:pPr>
            <w:r>
              <w:t>C. Another rule.</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TTL-09, RES-10</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OQ-42  Project paper panel: external member?</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60 and Research Protocol AY2024-2025: a project paper panel is the chair and two members (content and method); an external panel member applies to theses and dissertations.</w:t>
            </w:r>
          </w:p>
          <w:p>
            <w:pPr>
              <w:pStyle w:val="TableText"/>
            </w:pPr>
            <w:r>
              <w:t>• Platform now (implements option A): a project paper panel is the chair and two members with no external seat; the external seat is added for theses and dissertations from the proposal defense.</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Does a project paper panel include an external member?</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No (Handbook and Protocol).</w:t>
            </w:r>
          </w:p>
          <w:p>
            <w:pPr>
              <w:pStyle w:val="TableText"/>
            </w:pPr>
            <w:r>
              <w:t>B. Yes, for some programs.</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TTL-03</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OQ-43  Waivers of the two-week rules</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Silent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pp. 59, 63, 65 and Research Protocol AY2024-2025: applications must be made at least two weeks before the defense; no waiver is described.</w:t>
            </w:r>
          </w:p>
          <w:p>
            <w:pPr>
              <w:pStyle w:val="TableText"/>
            </w:pPr>
            <w:r>
              <w:t>• Platform now: a 14-day lead time applies to the title, proposal and final defenses; it is a warning, and staff can proceed with an override and a recorded reason.</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May the Research Coordinator or the Dean accept an application with less notice, and on what grounds?</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No waivers.</w:t>
            </w:r>
          </w:p>
          <w:p>
            <w:pPr>
              <w:pStyle w:val="TableText"/>
            </w:pPr>
            <w:r>
              <w:t>B. The Dean may waive for a stated reason.</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TTL-01, PRP-02, SCH-03</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60" w:type="dxa"/>
          <w:bottom w:w="25" w:type="dxa"/>
          <w:right w:w="60" w:type="dxa"/>
        </w:tblCellMar>
        <w:tblLook w:firstColumn="1" w:firstRow="1" w:lastColumn="0" w:lastRow="0" w:noHBand="0" w:noVBand="1" w:val="04A0"/>
      </w:tblPr>
      <w:tblGrid>
        <w:gridCol w:w="1927"/>
        <w:gridCol w:w="7711"/>
      </w:tblGrid>
      <w:tr>
        <w:trPr>
          <w:tblHeader w:val="true"/>
        </w:trPr>
        <w:tc>
          <w:tcPr>
            <w:tcW w:type="dxa" w:w="7710"/>
            <w:gridSpan w:val="2"/>
            <w:shd w:val="clear" w:color="auto" w:fill="1F4E3D"/>
          </w:tcPr>
          <w:p>
            <w:pPr>
              <w:pStyle w:val="TableHead"/>
              <w:keepNext/>
            </w:pPr>
            <w:r/>
            <w:r>
              <w:t>OQ-44  Are there course prerequisites?</w:t>
            </w:r>
          </w:p>
        </w:tc>
      </w:tr>
      <w:tr>
        <w:trPr>
          <w:cantSplit w:val="true"/>
        </w:trPr>
        <w:tc>
          <w:tcPr>
            <w:tcW w:type="dxa" w:w="1928"/>
            <w:shd w:val="clear" w:color="auto" w:fill="F2F2F2"/>
          </w:tcPr>
          <w:p>
            <w:pPr>
              <w:pStyle w:val="TableText"/>
              <w:keepNext/>
            </w:pPr>
            <w:r/>
            <w:r>
              <w:rPr>
                <w:b/>
              </w:rPr>
              <w:t>Kind</w:t>
            </w:r>
          </w:p>
        </w:tc>
        <w:tc>
          <w:tcPr>
            <w:tcW w:type="dxa" w:w="7710"/>
          </w:tcPr>
          <w:p>
            <w:pPr>
              <w:pStyle w:val="TableText"/>
              <w:keepNext/>
            </w:pPr>
            <w:r/>
            <w:r>
              <w:t>Conflict</w:t>
            </w:r>
          </w:p>
        </w:tc>
      </w:tr>
      <w:tr>
        <w:trPr>
          <w:cantSplit w:val="true"/>
        </w:trPr>
        <w:tc>
          <w:tcPr>
            <w:tcW w:type="dxa" w:w="1928"/>
            <w:shd w:val="clear" w:color="auto" w:fill="F2F2F2"/>
          </w:tcPr>
          <w:p>
            <w:pPr>
              <w:pStyle w:val="TableText"/>
            </w:pPr>
            <w:r/>
            <w:r>
              <w:rPr>
                <w:b/>
              </w:rPr>
              <w:t>What the sources say</w:t>
            </w:r>
          </w:p>
        </w:tc>
        <w:tc>
          <w:tcPr>
            <w:tcW w:type="dxa" w:w="7710"/>
          </w:tcPr>
          <w:p>
            <w:pPr>
              <w:pStyle w:val="TableText"/>
            </w:pPr>
            <w:r/>
            <w:r>
              <w:t>• Handbook 2022-2023, p. 49: a subject may be changed in the first week if the student fails in the "prerequisite subject".</w:t>
            </w:r>
          </w:p>
          <w:p>
            <w:pPr>
              <w:pStyle w:val="TableText"/>
            </w:pPr>
            <w:r>
              <w:t>• Group notes, July 20 checklist, items 16 and 75 (stakeholder-confirmed answer): there are no ordinary course-to-course prerequisites; eligibility rules apply mainly to the comprehensive examination and the thesis or dissertation.</w:t>
            </w:r>
          </w:p>
        </w:tc>
      </w:tr>
      <w:tr>
        <w:trPr>
          <w:cantSplit w:val="true"/>
        </w:trPr>
        <w:tc>
          <w:tcPr>
            <w:tcW w:type="dxa" w:w="1928"/>
            <w:shd w:val="clear" w:color="auto" w:fill="F2F2F2"/>
          </w:tcPr>
          <w:p>
            <w:pPr>
              <w:pStyle w:val="TableText"/>
            </w:pPr>
            <w:r/>
            <w:r>
              <w:rPr>
                <w:b/>
              </w:rPr>
              <w:t>Question</w:t>
            </w:r>
          </w:p>
        </w:tc>
        <w:tc>
          <w:tcPr>
            <w:tcW w:type="dxa" w:w="7710"/>
          </w:tcPr>
          <w:p>
            <w:pPr>
              <w:pStyle w:val="TableText"/>
            </w:pPr>
            <w:r/>
            <w:r>
              <w:t>Do any subjects have prerequisites, and if so where are they listed?</w:t>
            </w:r>
          </w:p>
        </w:tc>
      </w:tr>
      <w:tr>
        <w:trPr>
          <w:cantSplit w:val="true"/>
        </w:trPr>
        <w:tc>
          <w:tcPr>
            <w:tcW w:type="dxa" w:w="1928"/>
            <w:shd w:val="clear" w:color="auto" w:fill="F2F2F2"/>
          </w:tcPr>
          <w:p>
            <w:pPr>
              <w:pStyle w:val="TableText"/>
            </w:pPr>
            <w:r/>
            <w:r>
              <w:rPr>
                <w:b/>
              </w:rPr>
              <w:t>Options</w:t>
            </w:r>
          </w:p>
        </w:tc>
        <w:tc>
          <w:tcPr>
            <w:tcW w:type="dxa" w:w="7710"/>
          </w:tcPr>
          <w:p>
            <w:pPr>
              <w:pStyle w:val="TableText"/>
            </w:pPr>
            <w:r/>
            <w:r>
              <w:t>A. No ordinary prerequisites; the Handbook's reference is to a program-specific case, to be named.</w:t>
            </w:r>
          </w:p>
          <w:p>
            <w:pPr>
              <w:pStyle w:val="TableText"/>
            </w:pPr>
            <w:r>
              <w:t>B. Some programs list prerequisites in their curriculum; the lists will be supplied.</w:t>
            </w:r>
          </w:p>
        </w:tc>
      </w:tr>
      <w:tr>
        <w:trPr>
          <w:cantSplit w:val="true"/>
        </w:trPr>
        <w:tc>
          <w:tcPr>
            <w:tcW w:type="dxa" w:w="1928"/>
            <w:shd w:val="clear" w:color="auto" w:fill="F2F2F2"/>
          </w:tcPr>
          <w:p>
            <w:pPr>
              <w:pStyle w:val="TableText"/>
            </w:pPr>
            <w:r/>
            <w:r>
              <w:rPr>
                <w:b/>
              </w:rPr>
              <w:t>Affects rules</w:t>
            </w:r>
          </w:p>
        </w:tc>
        <w:tc>
          <w:tcPr>
            <w:tcW w:type="dxa" w:w="7710"/>
          </w:tcPr>
          <w:p>
            <w:pPr>
              <w:pStyle w:val="TableText"/>
            </w:pPr>
            <w:r/>
            <w:r>
              <w:t>ENR-09, CRS-01</w:t>
            </w:r>
          </w:p>
        </w:tc>
      </w:tr>
      <w:tr>
        <w:trPr>
          <w:cantSplit w:val="true"/>
          <w:trHeight w:val="1020" w:hRule="atLeast"/>
        </w:trPr>
        <w:tc>
          <w:tcPr>
            <w:tcW w:type="dxa" w:w="1928"/>
            <w:shd w:val="clear" w:color="auto" w:fill="F2F2F2"/>
          </w:tcPr>
          <w:p>
            <w:pPr>
              <w:pStyle w:val="TableText"/>
            </w:pPr>
            <w:r/>
            <w:r>
              <w:rPr>
                <w:b/>
              </w:rPr>
              <w:t>Stakeholder's answer</w:t>
            </w:r>
          </w:p>
        </w:tc>
        <w:tc>
          <w:tcPr>
            <w:tcW w:type="dxa" w:w="7710"/>
          </w:tcPr>
          <w:p>
            <w:pPr>
              <w:pStyle w:val="TableText"/>
            </w:pPr>
            <w:r/>
            <w:r/>
          </w:p>
        </w:tc>
      </w:tr>
      <w:tr>
        <w:trPr>
          <w:cantSplit w:val="true"/>
          <w:trHeight w:val="396" w:hRule="atLeast"/>
        </w:trPr>
        <w:tc>
          <w:tcPr>
            <w:tcW w:type="dxa" w:w="1928"/>
            <w:shd w:val="clear" w:color="auto" w:fill="F2F2F2"/>
          </w:tcPr>
          <w:p>
            <w:pPr>
              <w:pStyle w:val="TableText"/>
            </w:pPr>
            <w:r/>
            <w:r>
              <w:rPr>
                <w:b/>
              </w:rPr>
              <w:t>Decided by / date</w:t>
            </w:r>
          </w:p>
        </w:tc>
        <w:tc>
          <w:tcPr>
            <w:tcW w:type="dxa" w:w="7710"/>
          </w:tcPr>
          <w:p>
            <w:pPr>
              <w:pStyle w:val="TableText"/>
            </w:pPr>
            <w:r/>
            <w:r/>
          </w:p>
        </w:tc>
      </w:tr>
    </w:tbl>
    <w:p>
      <w:pPr>
        <w:spacing w:after="120"/>
      </w:pPr>
    </w:p>
    <w:p>
      <w:pPr>
        <w:pStyle w:val="Heading1"/>
      </w:pPr>
      <w:r>
        <w:t>7 Validation and sign-off</w:t>
      </w:r>
    </w:p>
    <w:p>
      <w:r>
        <w:rPr>
          <w:b w:val="0"/>
          <w:i w:val="0"/>
        </w:rPr>
        <w:t>By signing below the reviewer confirms that they have read this manual, have corrected or confirmed every rule marked Practice or Proposed, and have answered the questions in Chapter 6 (or recorded why not). Until this page is signed by the Graduate School Dean, this manual is a draft and not an official USLS document.</w:t>
      </w:r>
    </w:p>
    <w:p>
      <w:pPr>
        <w:pStyle w:val="Heading2"/>
      </w:pPr>
      <w:r>
        <w:t>7.1 Sign-off</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2041"/>
        <w:gridCol w:w="1814"/>
        <w:gridCol w:w="1247"/>
        <w:gridCol w:w="1927"/>
        <w:gridCol w:w="2608"/>
      </w:tblGrid>
      <w:tr>
        <w:trPr>
          <w:tblHeader w:val="true"/>
          <w:cantSplit w:val="true"/>
        </w:trPr>
        <w:tc>
          <w:tcPr>
            <w:tcW w:type="dxa" w:w="2041"/>
            <w:shd w:val="clear" w:color="auto" w:fill="1F4E3D"/>
          </w:tcPr>
          <w:p>
            <w:pPr>
              <w:pStyle w:val="TableHead"/>
            </w:pPr>
            <w:r/>
            <w:r>
              <w:t>Reviewer name</w:t>
            </w:r>
          </w:p>
        </w:tc>
        <w:tc>
          <w:tcPr>
            <w:tcW w:type="dxa" w:w="1814"/>
            <w:shd w:val="clear" w:color="auto" w:fill="1F4E3D"/>
          </w:tcPr>
          <w:p>
            <w:pPr>
              <w:pStyle w:val="TableHead"/>
            </w:pPr>
            <w:r/>
            <w:r>
              <w:t>Position</w:t>
            </w:r>
          </w:p>
        </w:tc>
        <w:tc>
          <w:tcPr>
            <w:tcW w:type="dxa" w:w="1247"/>
            <w:shd w:val="clear" w:color="auto" w:fill="1F4E3D"/>
          </w:tcPr>
          <w:p>
            <w:pPr>
              <w:pStyle w:val="TableHead"/>
            </w:pPr>
            <w:r/>
            <w:r>
              <w:t>Date</w:t>
            </w:r>
          </w:p>
        </w:tc>
        <w:tc>
          <w:tcPr>
            <w:tcW w:type="dxa" w:w="1928"/>
            <w:shd w:val="clear" w:color="auto" w:fill="1F4E3D"/>
          </w:tcPr>
          <w:p>
            <w:pPr>
              <w:pStyle w:val="TableHead"/>
            </w:pPr>
            <w:r/>
            <w:r>
              <w:t>Signature</w:t>
            </w:r>
          </w:p>
        </w:tc>
        <w:tc>
          <w:tcPr>
            <w:tcW w:type="dxa" w:w="2608"/>
            <w:shd w:val="clear" w:color="auto" w:fill="1F4E3D"/>
          </w:tcPr>
          <w:p>
            <w:pPr>
              <w:pStyle w:val="TableHead"/>
            </w:pPr>
            <w:r/>
            <w:r>
              <w:t>Remarks</w:t>
            </w:r>
          </w:p>
        </w:tc>
      </w:tr>
      <w:tr>
        <w:trPr>
          <w:cantSplit w:val="true"/>
          <w:trHeight w:val="623" w:hRule="atLeast"/>
        </w:trPr>
        <w:tc>
          <w:tcPr>
            <w:tcW w:type="dxa" w:w="2041"/>
          </w:tcPr>
          <w:p>
            <w:pPr>
              <w:pStyle w:val="TableText"/>
            </w:pPr>
            <w:r/>
            <w:r/>
          </w:p>
        </w:tc>
        <w:tc>
          <w:tcPr>
            <w:tcW w:type="dxa" w:w="1814"/>
          </w:tcPr>
          <w:p>
            <w:pPr>
              <w:pStyle w:val="TableText"/>
            </w:pPr>
            <w:r/>
            <w:r/>
          </w:p>
        </w:tc>
        <w:tc>
          <w:tcPr>
            <w:tcW w:type="dxa" w:w="1247"/>
          </w:tcPr>
          <w:p>
            <w:pPr>
              <w:pStyle w:val="TableText"/>
            </w:pPr>
            <w:r/>
            <w:r/>
          </w:p>
        </w:tc>
        <w:tc>
          <w:tcPr>
            <w:tcW w:type="dxa" w:w="1928"/>
          </w:tcPr>
          <w:p>
            <w:pPr>
              <w:pStyle w:val="TableText"/>
            </w:pPr>
            <w:r/>
            <w:r/>
          </w:p>
        </w:tc>
        <w:tc>
          <w:tcPr>
            <w:tcW w:type="dxa" w:w="2608"/>
          </w:tcPr>
          <w:p>
            <w:pPr>
              <w:pStyle w:val="TableText"/>
            </w:pPr>
            <w:r/>
            <w:r/>
          </w:p>
        </w:tc>
      </w:tr>
      <w:tr>
        <w:trPr>
          <w:cantSplit w:val="true"/>
          <w:trHeight w:val="623" w:hRule="atLeast"/>
        </w:trPr>
        <w:tc>
          <w:tcPr>
            <w:tcW w:type="dxa" w:w="2041"/>
          </w:tcPr>
          <w:p>
            <w:pPr>
              <w:pStyle w:val="TableText"/>
            </w:pPr>
            <w:r/>
            <w:r/>
          </w:p>
        </w:tc>
        <w:tc>
          <w:tcPr>
            <w:tcW w:type="dxa" w:w="1814"/>
          </w:tcPr>
          <w:p>
            <w:pPr>
              <w:pStyle w:val="TableText"/>
            </w:pPr>
            <w:r/>
            <w:r/>
          </w:p>
        </w:tc>
        <w:tc>
          <w:tcPr>
            <w:tcW w:type="dxa" w:w="1247"/>
          </w:tcPr>
          <w:p>
            <w:pPr>
              <w:pStyle w:val="TableText"/>
            </w:pPr>
            <w:r/>
            <w:r/>
          </w:p>
        </w:tc>
        <w:tc>
          <w:tcPr>
            <w:tcW w:type="dxa" w:w="1928"/>
          </w:tcPr>
          <w:p>
            <w:pPr>
              <w:pStyle w:val="TableText"/>
            </w:pPr>
            <w:r/>
            <w:r/>
          </w:p>
        </w:tc>
        <w:tc>
          <w:tcPr>
            <w:tcW w:type="dxa" w:w="2608"/>
          </w:tcPr>
          <w:p>
            <w:pPr>
              <w:pStyle w:val="TableText"/>
            </w:pPr>
            <w:r/>
            <w:r/>
          </w:p>
        </w:tc>
      </w:tr>
      <w:tr>
        <w:trPr>
          <w:cantSplit w:val="true"/>
          <w:trHeight w:val="623" w:hRule="atLeast"/>
        </w:trPr>
        <w:tc>
          <w:tcPr>
            <w:tcW w:type="dxa" w:w="2041"/>
          </w:tcPr>
          <w:p>
            <w:pPr>
              <w:pStyle w:val="TableText"/>
            </w:pPr>
            <w:r/>
            <w:r/>
          </w:p>
        </w:tc>
        <w:tc>
          <w:tcPr>
            <w:tcW w:type="dxa" w:w="1814"/>
          </w:tcPr>
          <w:p>
            <w:pPr>
              <w:pStyle w:val="TableText"/>
            </w:pPr>
            <w:r/>
            <w:r/>
          </w:p>
        </w:tc>
        <w:tc>
          <w:tcPr>
            <w:tcW w:type="dxa" w:w="1247"/>
          </w:tcPr>
          <w:p>
            <w:pPr>
              <w:pStyle w:val="TableText"/>
            </w:pPr>
            <w:r/>
            <w:r/>
          </w:p>
        </w:tc>
        <w:tc>
          <w:tcPr>
            <w:tcW w:type="dxa" w:w="1928"/>
          </w:tcPr>
          <w:p>
            <w:pPr>
              <w:pStyle w:val="TableText"/>
            </w:pPr>
            <w:r/>
            <w:r/>
          </w:p>
        </w:tc>
        <w:tc>
          <w:tcPr>
            <w:tcW w:type="dxa" w:w="2608"/>
          </w:tcPr>
          <w:p>
            <w:pPr>
              <w:pStyle w:val="TableText"/>
            </w:pPr>
            <w:r/>
            <w:r/>
          </w:p>
        </w:tc>
      </w:tr>
      <w:tr>
        <w:trPr>
          <w:cantSplit w:val="true"/>
          <w:trHeight w:val="623" w:hRule="atLeast"/>
        </w:trPr>
        <w:tc>
          <w:tcPr>
            <w:tcW w:type="dxa" w:w="2041"/>
          </w:tcPr>
          <w:p>
            <w:pPr>
              <w:pStyle w:val="TableText"/>
            </w:pPr>
            <w:r/>
            <w:r/>
          </w:p>
        </w:tc>
        <w:tc>
          <w:tcPr>
            <w:tcW w:type="dxa" w:w="1814"/>
          </w:tcPr>
          <w:p>
            <w:pPr>
              <w:pStyle w:val="TableText"/>
            </w:pPr>
            <w:r/>
            <w:r/>
          </w:p>
        </w:tc>
        <w:tc>
          <w:tcPr>
            <w:tcW w:type="dxa" w:w="1247"/>
          </w:tcPr>
          <w:p>
            <w:pPr>
              <w:pStyle w:val="TableText"/>
            </w:pPr>
            <w:r/>
            <w:r/>
          </w:p>
        </w:tc>
        <w:tc>
          <w:tcPr>
            <w:tcW w:type="dxa" w:w="1928"/>
          </w:tcPr>
          <w:p>
            <w:pPr>
              <w:pStyle w:val="TableText"/>
            </w:pPr>
            <w:r/>
            <w:r/>
          </w:p>
        </w:tc>
        <w:tc>
          <w:tcPr>
            <w:tcW w:type="dxa" w:w="2608"/>
          </w:tcPr>
          <w:p>
            <w:pPr>
              <w:pStyle w:val="TableText"/>
            </w:pPr>
            <w:r/>
            <w:r/>
          </w:p>
        </w:tc>
      </w:tr>
      <w:tr>
        <w:trPr>
          <w:cantSplit w:val="true"/>
          <w:trHeight w:val="623" w:hRule="atLeast"/>
        </w:trPr>
        <w:tc>
          <w:tcPr>
            <w:tcW w:type="dxa" w:w="2041"/>
          </w:tcPr>
          <w:p>
            <w:pPr>
              <w:pStyle w:val="TableText"/>
            </w:pPr>
            <w:r/>
            <w:r/>
          </w:p>
        </w:tc>
        <w:tc>
          <w:tcPr>
            <w:tcW w:type="dxa" w:w="1814"/>
          </w:tcPr>
          <w:p>
            <w:pPr>
              <w:pStyle w:val="TableText"/>
            </w:pPr>
            <w:r/>
            <w:r/>
          </w:p>
        </w:tc>
        <w:tc>
          <w:tcPr>
            <w:tcW w:type="dxa" w:w="1247"/>
          </w:tcPr>
          <w:p>
            <w:pPr>
              <w:pStyle w:val="TableText"/>
            </w:pPr>
            <w:r/>
            <w:r/>
          </w:p>
        </w:tc>
        <w:tc>
          <w:tcPr>
            <w:tcW w:type="dxa" w:w="1928"/>
          </w:tcPr>
          <w:p>
            <w:pPr>
              <w:pStyle w:val="TableText"/>
            </w:pPr>
            <w:r/>
            <w:r/>
          </w:p>
        </w:tc>
        <w:tc>
          <w:tcPr>
            <w:tcW w:type="dxa" w:w="2608"/>
          </w:tcPr>
          <w:p>
            <w:pPr>
              <w:pStyle w:val="TableText"/>
            </w:pPr>
            <w:r/>
            <w:r/>
          </w:p>
        </w:tc>
      </w:tr>
      <w:tr>
        <w:trPr>
          <w:cantSplit w:val="true"/>
          <w:trHeight w:val="623" w:hRule="atLeast"/>
        </w:trPr>
        <w:tc>
          <w:tcPr>
            <w:tcW w:type="dxa" w:w="2041"/>
          </w:tcPr>
          <w:p>
            <w:pPr>
              <w:pStyle w:val="TableText"/>
            </w:pPr>
            <w:r/>
            <w:r/>
          </w:p>
        </w:tc>
        <w:tc>
          <w:tcPr>
            <w:tcW w:type="dxa" w:w="1814"/>
          </w:tcPr>
          <w:p>
            <w:pPr>
              <w:pStyle w:val="TableText"/>
            </w:pPr>
            <w:r/>
            <w:r/>
          </w:p>
        </w:tc>
        <w:tc>
          <w:tcPr>
            <w:tcW w:type="dxa" w:w="1247"/>
          </w:tcPr>
          <w:p>
            <w:pPr>
              <w:pStyle w:val="TableText"/>
            </w:pPr>
            <w:r/>
            <w:r/>
          </w:p>
        </w:tc>
        <w:tc>
          <w:tcPr>
            <w:tcW w:type="dxa" w:w="1928"/>
          </w:tcPr>
          <w:p>
            <w:pPr>
              <w:pStyle w:val="TableText"/>
            </w:pPr>
            <w:r/>
            <w:r/>
          </w:p>
        </w:tc>
        <w:tc>
          <w:tcPr>
            <w:tcW w:type="dxa" w:w="2608"/>
          </w:tcPr>
          <w:p>
            <w:pPr>
              <w:pStyle w:val="TableText"/>
            </w:pPr>
            <w:r/>
            <w:r/>
          </w:p>
        </w:tc>
      </w:tr>
      <w:tr>
        <w:trPr>
          <w:cantSplit w:val="true"/>
          <w:trHeight w:val="623" w:hRule="atLeast"/>
        </w:trPr>
        <w:tc>
          <w:tcPr>
            <w:tcW w:type="dxa" w:w="2041"/>
          </w:tcPr>
          <w:p>
            <w:pPr>
              <w:pStyle w:val="TableText"/>
            </w:pPr>
            <w:r/>
            <w:r/>
          </w:p>
        </w:tc>
        <w:tc>
          <w:tcPr>
            <w:tcW w:type="dxa" w:w="1814"/>
          </w:tcPr>
          <w:p>
            <w:pPr>
              <w:pStyle w:val="TableText"/>
            </w:pPr>
            <w:r/>
            <w:r/>
          </w:p>
        </w:tc>
        <w:tc>
          <w:tcPr>
            <w:tcW w:type="dxa" w:w="1247"/>
          </w:tcPr>
          <w:p>
            <w:pPr>
              <w:pStyle w:val="TableText"/>
            </w:pPr>
            <w:r/>
            <w:r/>
          </w:p>
        </w:tc>
        <w:tc>
          <w:tcPr>
            <w:tcW w:type="dxa" w:w="1928"/>
          </w:tcPr>
          <w:p>
            <w:pPr>
              <w:pStyle w:val="TableText"/>
            </w:pPr>
            <w:r/>
            <w:r/>
          </w:p>
        </w:tc>
        <w:tc>
          <w:tcPr>
            <w:tcW w:type="dxa" w:w="2608"/>
          </w:tcPr>
          <w:p>
            <w:pPr>
              <w:pStyle w:val="TableText"/>
            </w:pPr>
            <w:r/>
            <w:r/>
          </w:p>
        </w:tc>
      </w:tr>
      <w:tr>
        <w:trPr>
          <w:cantSplit w:val="true"/>
          <w:trHeight w:val="623" w:hRule="atLeast"/>
        </w:trPr>
        <w:tc>
          <w:tcPr>
            <w:tcW w:type="dxa" w:w="2041"/>
          </w:tcPr>
          <w:p>
            <w:pPr>
              <w:pStyle w:val="TableText"/>
            </w:pPr>
            <w:r/>
            <w:r/>
          </w:p>
        </w:tc>
        <w:tc>
          <w:tcPr>
            <w:tcW w:type="dxa" w:w="1814"/>
          </w:tcPr>
          <w:p>
            <w:pPr>
              <w:pStyle w:val="TableText"/>
            </w:pPr>
            <w:r/>
            <w:r/>
          </w:p>
        </w:tc>
        <w:tc>
          <w:tcPr>
            <w:tcW w:type="dxa" w:w="1247"/>
          </w:tcPr>
          <w:p>
            <w:pPr>
              <w:pStyle w:val="TableText"/>
            </w:pPr>
            <w:r/>
            <w:r/>
          </w:p>
        </w:tc>
        <w:tc>
          <w:tcPr>
            <w:tcW w:type="dxa" w:w="1928"/>
          </w:tcPr>
          <w:p>
            <w:pPr>
              <w:pStyle w:val="TableText"/>
            </w:pPr>
            <w:r/>
            <w:r/>
          </w:p>
        </w:tc>
        <w:tc>
          <w:tcPr>
            <w:tcW w:type="dxa" w:w="2608"/>
          </w:tcPr>
          <w:p>
            <w:pPr>
              <w:pStyle w:val="TableText"/>
            </w:pPr>
            <w:r/>
            <w:r/>
          </w:p>
        </w:tc>
      </w:tr>
    </w:tbl>
    <w:p>
      <w:pPr>
        <w:spacing w:after="80" w:before="0"/>
      </w:pPr>
    </w:p>
    <w:p>
      <w:pPr>
        <w:pStyle w:val="Heading2"/>
      </w:pPr>
      <w:r>
        <w:t>7.2 Change log</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907"/>
        <w:gridCol w:w="1360"/>
        <w:gridCol w:w="1814"/>
        <w:gridCol w:w="4195"/>
        <w:gridCol w:w="1360"/>
      </w:tblGrid>
      <w:tr>
        <w:trPr>
          <w:tblHeader w:val="true"/>
          <w:cantSplit w:val="true"/>
        </w:trPr>
        <w:tc>
          <w:tcPr>
            <w:tcW w:type="dxa" w:w="907"/>
            <w:shd w:val="clear" w:color="auto" w:fill="1F4E3D"/>
          </w:tcPr>
          <w:p>
            <w:pPr>
              <w:pStyle w:val="TableHead"/>
            </w:pPr>
            <w:r/>
            <w:r>
              <w:t>Version</w:t>
            </w:r>
          </w:p>
        </w:tc>
        <w:tc>
          <w:tcPr>
            <w:tcW w:type="dxa" w:w="1361"/>
            <w:shd w:val="clear" w:color="auto" w:fill="1F4E3D"/>
          </w:tcPr>
          <w:p>
            <w:pPr>
              <w:pStyle w:val="TableHead"/>
            </w:pPr>
            <w:r/>
            <w:r>
              <w:t>Date</w:t>
            </w:r>
          </w:p>
        </w:tc>
        <w:tc>
          <w:tcPr>
            <w:tcW w:type="dxa" w:w="1814"/>
            <w:shd w:val="clear" w:color="auto" w:fill="1F4E3D"/>
          </w:tcPr>
          <w:p>
            <w:pPr>
              <w:pStyle w:val="TableHead"/>
            </w:pPr>
            <w:r/>
            <w:r>
              <w:t>Changed by</w:t>
            </w:r>
          </w:p>
        </w:tc>
        <w:tc>
          <w:tcPr>
            <w:tcW w:type="dxa" w:w="4195"/>
            <w:shd w:val="clear" w:color="auto" w:fill="1F4E3D"/>
          </w:tcPr>
          <w:p>
            <w:pPr>
              <w:pStyle w:val="TableHead"/>
            </w:pPr>
            <w:r/>
            <w:r>
              <w:t>Summary of change</w:t>
            </w:r>
          </w:p>
        </w:tc>
        <w:tc>
          <w:tcPr>
            <w:tcW w:type="dxa" w:w="1361"/>
            <w:shd w:val="clear" w:color="auto" w:fill="1F4E3D"/>
          </w:tcPr>
          <w:p>
            <w:pPr>
              <w:pStyle w:val="TableHead"/>
            </w:pPr>
            <w:r/>
            <w:r>
              <w:t>Approved by</w:t>
            </w:r>
          </w:p>
        </w:tc>
      </w:tr>
      <w:tr>
        <w:trPr>
          <w:cantSplit w:val="true"/>
        </w:trPr>
        <w:tc>
          <w:tcPr>
            <w:tcW w:type="dxa" w:w="907"/>
          </w:tcPr>
          <w:p>
            <w:pPr>
              <w:pStyle w:val="TableText"/>
            </w:pPr>
            <w:r/>
            <w:r>
              <w:t>0.1</w:t>
            </w:r>
          </w:p>
        </w:tc>
        <w:tc>
          <w:tcPr>
            <w:tcW w:type="dxa" w:w="1361"/>
          </w:tcPr>
          <w:p>
            <w:pPr>
              <w:pStyle w:val="TableText"/>
            </w:pPr>
            <w:r/>
            <w:r>
              <w:t>2026-10-01</w:t>
            </w:r>
          </w:p>
        </w:tc>
        <w:tc>
          <w:tcPr>
            <w:tcW w:type="dxa" w:w="1814"/>
          </w:tcPr>
          <w:p>
            <w:pPr>
              <w:pStyle w:val="TableText"/>
            </w:pPr>
            <w:r/>
            <w:r>
              <w:t>Capstone group CAP-IT1</w:t>
            </w:r>
          </w:p>
        </w:tc>
        <w:tc>
          <w:tcPr>
            <w:tcW w:type="dxa" w:w="4195"/>
          </w:tcPr>
          <w:p>
            <w:pPr>
              <w:pStyle w:val="TableText"/>
            </w:pPr>
            <w:r/>
            <w:r>
              <w:t>First draft prepared from the Handbook 2022-2023, the Research Protocol AY 2024-2025, the office workbooks and the group's July 2026 consultation notes. Submitted for validation.</w:t>
            </w:r>
          </w:p>
        </w:tc>
        <w:tc>
          <w:tcPr>
            <w:tcW w:type="dxa" w:w="1361"/>
          </w:tcPr>
          <w:p>
            <w:pPr>
              <w:pStyle w:val="TableText"/>
            </w:pPr>
            <w:r/>
            <w:r>
              <w:t>Not yet approved</w:t>
            </w:r>
          </w:p>
        </w:tc>
      </w:tr>
      <w:tr>
        <w:trPr>
          <w:cantSplit w:val="true"/>
        </w:trPr>
        <w:tc>
          <w:tcPr>
            <w:tcW w:type="dxa" w:w="907"/>
          </w:tcPr>
          <w:p>
            <w:pPr>
              <w:pStyle w:val="TableText"/>
            </w:pPr>
            <w:r/>
            <w:r>
              <w:t>0.2</w:t>
            </w:r>
          </w:p>
        </w:tc>
        <w:tc>
          <w:tcPr>
            <w:tcW w:type="dxa" w:w="1361"/>
          </w:tcPr>
          <w:p>
            <w:pPr>
              <w:pStyle w:val="TableText"/>
            </w:pPr>
            <w:r/>
            <w:r>
              <w:t>2026-10-01</w:t>
            </w:r>
          </w:p>
        </w:tc>
        <w:tc>
          <w:tcPr>
            <w:tcW w:type="dxa" w:w="1814"/>
          </w:tcPr>
          <w:p>
            <w:pPr>
              <w:pStyle w:val="TableText"/>
            </w:pPr>
            <w:r/>
            <w:r>
              <w:t>Capstone group CAP-IT1</w:t>
            </w:r>
          </w:p>
        </w:tc>
        <w:tc>
          <w:tcPr>
            <w:tcW w:type="dxa" w:w="4195"/>
          </w:tcPr>
          <w:p>
            <w:pPr>
              <w:pStyle w:val="TableText"/>
            </w:pPr>
            <w:r/>
            <w:r>
              <w:t>Platform paragraphs and the open questions brought in line with the platform as it now runs, after the ruling that the Handbook 2022-2023 is in force: subject withdrawal window and fees, length of a leave of absence, leave counted toward maximum residence, panel sizes, lead times, load, drop rule, first-week window for adding and changing subjects. Rules that describe the platform were reworded where they no longer matched. No Official or Practice rule changed.</w:t>
            </w:r>
          </w:p>
        </w:tc>
        <w:tc>
          <w:tcPr>
            <w:tcW w:type="dxa" w:w="1361"/>
          </w:tcPr>
          <w:p>
            <w:pPr>
              <w:pStyle w:val="TableText"/>
            </w:pPr>
            <w:r/>
            <w:r>
              <w:t>Not yet approved</w:t>
            </w:r>
          </w:p>
        </w:tc>
      </w:tr>
      <w:tr>
        <w:trPr>
          <w:cantSplit w:val="true"/>
        </w:trPr>
        <w:tc>
          <w:tcPr>
            <w:tcW w:type="dxa" w:w="907"/>
          </w:tcPr>
          <w:p>
            <w:pPr>
              <w:pStyle w:val="TableText"/>
            </w:pPr>
            <w:r/>
            <w:r/>
          </w:p>
        </w:tc>
        <w:tc>
          <w:tcPr>
            <w:tcW w:type="dxa" w:w="1361"/>
          </w:tcPr>
          <w:p>
            <w:pPr>
              <w:pStyle w:val="TableText"/>
            </w:pPr>
            <w:r/>
            <w:r/>
          </w:p>
        </w:tc>
        <w:tc>
          <w:tcPr>
            <w:tcW w:type="dxa" w:w="1814"/>
          </w:tcPr>
          <w:p>
            <w:pPr>
              <w:pStyle w:val="TableText"/>
            </w:pPr>
            <w:r/>
            <w:r/>
          </w:p>
        </w:tc>
        <w:tc>
          <w:tcPr>
            <w:tcW w:type="dxa" w:w="4195"/>
          </w:tcPr>
          <w:p>
            <w:pPr>
              <w:pStyle w:val="TableText"/>
            </w:pPr>
            <w:r/>
            <w:r/>
          </w:p>
        </w:tc>
        <w:tc>
          <w:tcPr>
            <w:tcW w:type="dxa" w:w="1361"/>
          </w:tcPr>
          <w:p>
            <w:pPr>
              <w:pStyle w:val="TableText"/>
            </w:pPr>
            <w:r/>
            <w:r/>
          </w:p>
        </w:tc>
      </w:tr>
    </w:tbl>
    <w:p>
      <w:pPr>
        <w:spacing w:after="80" w:before="0"/>
      </w:pPr>
    </w:p>
    <w:p>
      <w:pPr>
        <w:pStyle w:val="Heading1"/>
      </w:pPr>
      <w:r>
        <w:t>Appendix A Forms named in the sources</w:t>
      </w:r>
    </w:p>
    <w:p>
      <w:r>
        <w:rPr>
          <w:b w:val="0"/>
          <w:i w:val="0"/>
        </w:rPr>
        <w:t>Forms named in the Handbook and the Research Protocol, with the process step in which each is used. The blank forms were not supplied to the group except where stated.</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2041"/>
        <w:gridCol w:w="3969"/>
        <w:gridCol w:w="1474"/>
        <w:gridCol w:w="2154"/>
      </w:tblGrid>
      <w:tr>
        <w:trPr>
          <w:tblHeader w:val="true"/>
          <w:cantSplit w:val="true"/>
        </w:trPr>
        <w:tc>
          <w:tcPr>
            <w:tcW w:type="dxa" w:w="2041"/>
            <w:shd w:val="clear" w:color="auto" w:fill="1F4E3D"/>
          </w:tcPr>
          <w:p>
            <w:pPr>
              <w:pStyle w:val="TableHead"/>
            </w:pPr>
            <w:r/>
            <w:r>
              <w:t>Form</w:t>
            </w:r>
          </w:p>
        </w:tc>
        <w:tc>
          <w:tcPr>
            <w:tcW w:type="dxa" w:w="3969"/>
            <w:shd w:val="clear" w:color="auto" w:fill="1F4E3D"/>
          </w:tcPr>
          <w:p>
            <w:pPr>
              <w:pStyle w:val="TableHead"/>
            </w:pPr>
            <w:r/>
            <w:r>
              <w:t>Name</w:t>
            </w:r>
          </w:p>
        </w:tc>
        <w:tc>
          <w:tcPr>
            <w:tcW w:type="dxa" w:w="1474"/>
            <w:shd w:val="clear" w:color="auto" w:fill="1F4E3D"/>
          </w:tcPr>
          <w:p>
            <w:pPr>
              <w:pStyle w:val="TableHead"/>
            </w:pPr>
            <w:r/>
            <w:r>
              <w:t>Used in</w:t>
            </w:r>
          </w:p>
        </w:tc>
        <w:tc>
          <w:tcPr>
            <w:tcW w:type="dxa" w:w="2154"/>
            <w:shd w:val="clear" w:color="auto" w:fill="1F4E3D"/>
          </w:tcPr>
          <w:p>
            <w:pPr>
              <w:pStyle w:val="TableHead"/>
            </w:pPr>
            <w:r/>
            <w:r>
              <w:t>Source</w:t>
            </w:r>
          </w:p>
        </w:tc>
      </w:tr>
      <w:tr>
        <w:trPr>
          <w:cantSplit w:val="true"/>
        </w:trPr>
        <w:tc>
          <w:tcPr>
            <w:tcW w:type="dxa" w:w="2041"/>
          </w:tcPr>
          <w:p>
            <w:pPr>
              <w:pStyle w:val="TableText"/>
            </w:pPr>
            <w:r/>
            <w:r>
              <w:rPr>
                <w:b/>
              </w:rPr>
              <w:t>Admission Application Form</w:t>
            </w:r>
          </w:p>
        </w:tc>
        <w:tc>
          <w:tcPr>
            <w:tcW w:type="dxa" w:w="3969"/>
          </w:tcPr>
          <w:p>
            <w:pPr>
              <w:pStyle w:val="TableText"/>
            </w:pPr>
            <w:r/>
            <w:r>
              <w:t>Admission Application Form (with two recommendation letters, ID picture, transcript of record, transfer credentials)</w:t>
            </w:r>
          </w:p>
        </w:tc>
        <w:tc>
          <w:tcPr>
            <w:tcW w:type="dxa" w:w="1474"/>
          </w:tcPr>
          <w:p>
            <w:pPr>
              <w:pStyle w:val="TableText"/>
            </w:pPr>
            <w:r/>
            <w:r>
              <w:t>4.1 Admission handoff and onboarding</w:t>
            </w:r>
          </w:p>
        </w:tc>
        <w:tc>
          <w:tcPr>
            <w:tcW w:type="dxa" w:w="2154"/>
          </w:tcPr>
          <w:p>
            <w:pPr>
              <w:pStyle w:val="TableText"/>
            </w:pPr>
            <w:r/>
            <w:r>
              <w:t>Handbook 2022-2023, p. 42</w:t>
            </w:r>
          </w:p>
        </w:tc>
      </w:tr>
      <w:tr>
        <w:trPr>
          <w:cantSplit w:val="true"/>
        </w:trPr>
        <w:tc>
          <w:tcPr>
            <w:tcW w:type="dxa" w:w="2041"/>
          </w:tcPr>
          <w:p>
            <w:pPr>
              <w:pStyle w:val="TableText"/>
            </w:pPr>
            <w:r/>
            <w:r>
              <w:rPr>
                <w:b/>
              </w:rPr>
              <w:t>Signed Undertaking Form / Recommendation Form / Essay Questionnaire</w:t>
            </w:r>
          </w:p>
        </w:tc>
        <w:tc>
          <w:tcPr>
            <w:tcW w:type="dxa" w:w="3969"/>
          </w:tcPr>
          <w:p>
            <w:pPr>
              <w:pStyle w:val="TableText"/>
            </w:pPr>
            <w:r/>
            <w:r>
              <w:t>Admission forms downloaded from the Graduate School web page</w:t>
            </w:r>
          </w:p>
        </w:tc>
        <w:tc>
          <w:tcPr>
            <w:tcW w:type="dxa" w:w="1474"/>
          </w:tcPr>
          <w:p>
            <w:pPr>
              <w:pStyle w:val="TableText"/>
            </w:pPr>
            <w:r/>
            <w:r>
              <w:t>4.1</w:t>
            </w:r>
          </w:p>
        </w:tc>
        <w:tc>
          <w:tcPr>
            <w:tcW w:type="dxa" w:w="2154"/>
          </w:tcPr>
          <w:p>
            <w:pPr>
              <w:pStyle w:val="TableText"/>
            </w:pPr>
            <w:r/>
            <w:r>
              <w:t>Handbook 2022-2023, pp. 46-47</w:t>
            </w:r>
          </w:p>
        </w:tc>
      </w:tr>
      <w:tr>
        <w:trPr>
          <w:cantSplit w:val="true"/>
        </w:trPr>
        <w:tc>
          <w:tcPr>
            <w:tcW w:type="dxa" w:w="2041"/>
          </w:tcPr>
          <w:p>
            <w:pPr>
              <w:pStyle w:val="TableText"/>
            </w:pPr>
            <w:r/>
            <w:r>
              <w:rPr>
                <w:b/>
              </w:rPr>
              <w:t>Advice Slip</w:t>
            </w:r>
          </w:p>
        </w:tc>
        <w:tc>
          <w:tcPr>
            <w:tcW w:type="dxa" w:w="3969"/>
          </w:tcPr>
          <w:p>
            <w:pPr>
              <w:pStyle w:val="TableText"/>
            </w:pPr>
            <w:r/>
            <w:r>
              <w:t>Advice Slip from the Graduate School Office (adding subjects) and Advise Slip from the Dean (returnees)</w:t>
            </w:r>
          </w:p>
        </w:tc>
        <w:tc>
          <w:tcPr>
            <w:tcW w:type="dxa" w:w="1474"/>
          </w:tcPr>
          <w:p>
            <w:pPr>
              <w:pStyle w:val="TableText"/>
            </w:pPr>
            <w:r/>
            <w:r>
              <w:t>4.3, 4.7</w:t>
            </w:r>
          </w:p>
        </w:tc>
        <w:tc>
          <w:tcPr>
            <w:tcW w:type="dxa" w:w="2154"/>
          </w:tcPr>
          <w:p>
            <w:pPr>
              <w:pStyle w:val="TableText"/>
            </w:pPr>
            <w:r/>
            <w:r>
              <w:t>Handbook 2022-2023, pp. 45, 49</w:t>
            </w:r>
          </w:p>
        </w:tc>
      </w:tr>
      <w:tr>
        <w:trPr>
          <w:cantSplit w:val="true"/>
        </w:trPr>
        <w:tc>
          <w:tcPr>
            <w:tcW w:type="dxa" w:w="2041"/>
          </w:tcPr>
          <w:p>
            <w:pPr>
              <w:pStyle w:val="TableText"/>
            </w:pPr>
            <w:r/>
            <w:r>
              <w:rPr>
                <w:b/>
              </w:rPr>
              <w:t>Withdrawal Form</w:t>
            </w:r>
          </w:p>
        </w:tc>
        <w:tc>
          <w:tcPr>
            <w:tcW w:type="dxa" w:w="3969"/>
          </w:tcPr>
          <w:p>
            <w:pPr>
              <w:pStyle w:val="TableText"/>
            </w:pPr>
            <w:r/>
            <w:r>
              <w:t>Accomplished after the Dean approves the student's letter; copies to the Registrar, the Accounting Office and the student. The blank form was not available to the group.</w:t>
            </w:r>
          </w:p>
        </w:tc>
        <w:tc>
          <w:tcPr>
            <w:tcW w:type="dxa" w:w="1474"/>
          </w:tcPr>
          <w:p>
            <w:pPr>
              <w:pStyle w:val="TableText"/>
            </w:pPr>
            <w:r/>
            <w:r>
              <w:t>4.4</w:t>
            </w:r>
          </w:p>
        </w:tc>
        <w:tc>
          <w:tcPr>
            <w:tcW w:type="dxa" w:w="2154"/>
          </w:tcPr>
          <w:p>
            <w:pPr>
              <w:pStyle w:val="TableText"/>
            </w:pPr>
            <w:r/>
            <w:r>
              <w:t>Handbook 2022-2023, p. 49</w:t>
            </w:r>
          </w:p>
        </w:tc>
      </w:tr>
      <w:tr>
        <w:trPr>
          <w:cantSplit w:val="true"/>
        </w:trPr>
        <w:tc>
          <w:tcPr>
            <w:tcW w:type="dxa" w:w="2041"/>
          </w:tcPr>
          <w:p>
            <w:pPr>
              <w:pStyle w:val="TableText"/>
            </w:pPr>
            <w:r/>
            <w:r>
              <w:rPr>
                <w:b/>
              </w:rPr>
              <w:t>Incomplete Grade Removal Form</w:t>
            </w:r>
          </w:p>
        </w:tc>
        <w:tc>
          <w:tcPr>
            <w:tcW w:type="dxa" w:w="3969"/>
          </w:tcPr>
          <w:p>
            <w:pPr>
              <w:pStyle w:val="TableText"/>
            </w:pPr>
            <w:r/>
            <w:r>
              <w:t>Submitted to the Graduate School Office (gsm mailbox) within the set deadline</w:t>
            </w:r>
          </w:p>
        </w:tc>
        <w:tc>
          <w:tcPr>
            <w:tcW w:type="dxa" w:w="1474"/>
          </w:tcPr>
          <w:p>
            <w:pPr>
              <w:pStyle w:val="TableText"/>
            </w:pPr>
            <w:r/>
            <w:r>
              <w:t>4.5</w:t>
            </w:r>
          </w:p>
        </w:tc>
        <w:tc>
          <w:tcPr>
            <w:tcW w:type="dxa" w:w="2154"/>
          </w:tcPr>
          <w:p>
            <w:pPr>
              <w:pStyle w:val="TableText"/>
            </w:pPr>
            <w:r/>
            <w:r>
              <w:t>Handbook 2022-2023, p. 54</w:t>
            </w:r>
          </w:p>
        </w:tc>
      </w:tr>
      <w:tr>
        <w:trPr>
          <w:cantSplit w:val="true"/>
        </w:trPr>
        <w:tc>
          <w:tcPr>
            <w:tcW w:type="dxa" w:w="2041"/>
          </w:tcPr>
          <w:p>
            <w:pPr>
              <w:pStyle w:val="TableText"/>
            </w:pPr>
            <w:r/>
            <w:r>
              <w:rPr>
                <w:b/>
              </w:rPr>
              <w:t>Application for the comprehensive examination</w:t>
            </w:r>
          </w:p>
        </w:tc>
        <w:tc>
          <w:tcPr>
            <w:tcW w:type="dxa" w:w="3969"/>
          </w:tcPr>
          <w:p>
            <w:pPr>
              <w:pStyle w:val="TableText"/>
            </w:pPr>
            <w:r/>
            <w:r>
              <w:t>Filed with the Graduate Program Secretary at least two weeks before the examination, with the official receipt</w:t>
            </w:r>
          </w:p>
        </w:tc>
        <w:tc>
          <w:tcPr>
            <w:tcW w:type="dxa" w:w="1474"/>
          </w:tcPr>
          <w:p>
            <w:pPr>
              <w:pStyle w:val="TableText"/>
            </w:pPr>
            <w:r/>
            <w:r>
              <w:t>4.10</w:t>
            </w:r>
          </w:p>
        </w:tc>
        <w:tc>
          <w:tcPr>
            <w:tcW w:type="dxa" w:w="2154"/>
          </w:tcPr>
          <w:p>
            <w:pPr>
              <w:pStyle w:val="TableText"/>
            </w:pPr>
            <w:r/>
            <w:r>
              <w:t>Handbook 2022-2023, pp. 56-57</w:t>
            </w:r>
          </w:p>
        </w:tc>
      </w:tr>
      <w:tr>
        <w:trPr>
          <w:cantSplit w:val="true"/>
        </w:trPr>
        <w:tc>
          <w:tcPr>
            <w:tcW w:type="dxa" w:w="2041"/>
          </w:tcPr>
          <w:p>
            <w:pPr>
              <w:pStyle w:val="TableText"/>
            </w:pPr>
            <w:r/>
            <w:r>
              <w:rPr>
                <w:b/>
              </w:rPr>
              <w:t>Cross-enrollment permit</w:t>
            </w:r>
          </w:p>
        </w:tc>
        <w:tc>
          <w:tcPr>
            <w:tcW w:type="dxa" w:w="3969"/>
          </w:tcPr>
          <w:p>
            <w:pPr>
              <w:pStyle w:val="TableText"/>
            </w:pPr>
            <w:r/>
            <w:r>
              <w:t>Issued by the Registrar on the Dean's written permission</w:t>
            </w:r>
          </w:p>
        </w:tc>
        <w:tc>
          <w:tcPr>
            <w:tcW w:type="dxa" w:w="1474"/>
          </w:tcPr>
          <w:p>
            <w:pPr>
              <w:pStyle w:val="TableText"/>
            </w:pPr>
            <w:r/>
            <w:r>
              <w:t>4.2, 4.19</w:t>
            </w:r>
          </w:p>
        </w:tc>
        <w:tc>
          <w:tcPr>
            <w:tcW w:type="dxa" w:w="2154"/>
          </w:tcPr>
          <w:p>
            <w:pPr>
              <w:pStyle w:val="TableText"/>
            </w:pPr>
            <w:r/>
            <w:r>
              <w:t>Handbook 2022-2023, p. 50</w:t>
            </w:r>
          </w:p>
        </w:tc>
      </w:tr>
      <w:tr>
        <w:trPr>
          <w:cantSplit w:val="true"/>
        </w:trPr>
        <w:tc>
          <w:tcPr>
            <w:tcW w:type="dxa" w:w="2041"/>
          </w:tcPr>
          <w:p>
            <w:pPr>
              <w:pStyle w:val="TableText"/>
            </w:pPr>
            <w:r/>
            <w:r>
              <w:rPr>
                <w:b/>
              </w:rPr>
              <w:t>Form 1</w:t>
            </w:r>
          </w:p>
        </w:tc>
        <w:tc>
          <w:tcPr>
            <w:tcW w:type="dxa" w:w="3969"/>
          </w:tcPr>
          <w:p>
            <w:pPr>
              <w:pStyle w:val="TableText"/>
            </w:pPr>
            <w:r/>
            <w:r>
              <w:t>Application for Title Defense</w:t>
            </w:r>
          </w:p>
        </w:tc>
        <w:tc>
          <w:tcPr>
            <w:tcW w:type="dxa" w:w="1474"/>
          </w:tcPr>
          <w:p>
            <w:pPr>
              <w:pStyle w:val="TableText"/>
            </w:pPr>
            <w:r/>
            <w:r>
              <w:t>4.11 step 1</w:t>
            </w:r>
          </w:p>
        </w:tc>
        <w:tc>
          <w:tcPr>
            <w:tcW w:type="dxa" w:w="2154"/>
          </w:tcPr>
          <w:p>
            <w:pPr>
              <w:pStyle w:val="TableText"/>
            </w:pPr>
            <w:r/>
            <w:r>
              <w:t>Handbook 2022-2023, p. 59</w:t>
            </w:r>
          </w:p>
        </w:tc>
      </w:tr>
      <w:tr>
        <w:trPr>
          <w:cantSplit w:val="true"/>
        </w:trPr>
        <w:tc>
          <w:tcPr>
            <w:tcW w:type="dxa" w:w="2041"/>
          </w:tcPr>
          <w:p>
            <w:pPr>
              <w:pStyle w:val="TableText"/>
            </w:pPr>
            <w:r/>
            <w:r>
              <w:rPr>
                <w:b/>
              </w:rPr>
              <w:t>Form 2</w:t>
            </w:r>
          </w:p>
        </w:tc>
        <w:tc>
          <w:tcPr>
            <w:tcW w:type="dxa" w:w="3969"/>
          </w:tcPr>
          <w:p>
            <w:pPr>
              <w:pStyle w:val="TableText"/>
            </w:pPr>
            <w:r/>
            <w:r>
              <w:t>Report of Title Defense</w:t>
            </w:r>
          </w:p>
        </w:tc>
        <w:tc>
          <w:tcPr>
            <w:tcW w:type="dxa" w:w="1474"/>
          </w:tcPr>
          <w:p>
            <w:pPr>
              <w:pStyle w:val="TableText"/>
            </w:pPr>
            <w:r/>
            <w:r>
              <w:t>4.11 steps 5, 8-9</w:t>
            </w:r>
          </w:p>
        </w:tc>
        <w:tc>
          <w:tcPr>
            <w:tcW w:type="dxa" w:w="2154"/>
          </w:tcPr>
          <w:p>
            <w:pPr>
              <w:pStyle w:val="TableText"/>
            </w:pPr>
            <w:r/>
            <w:r>
              <w:t>Handbook 2022-2023, pp. 60-61</w:t>
            </w:r>
          </w:p>
        </w:tc>
      </w:tr>
      <w:tr>
        <w:trPr>
          <w:cantSplit w:val="true"/>
        </w:trPr>
        <w:tc>
          <w:tcPr>
            <w:tcW w:type="dxa" w:w="2041"/>
          </w:tcPr>
          <w:p>
            <w:pPr>
              <w:pStyle w:val="TableText"/>
            </w:pPr>
            <w:r/>
            <w:r>
              <w:rPr>
                <w:b/>
              </w:rPr>
              <w:t>Form 3</w:t>
            </w:r>
          </w:p>
        </w:tc>
        <w:tc>
          <w:tcPr>
            <w:tcW w:type="dxa" w:w="3969"/>
          </w:tcPr>
          <w:p>
            <w:pPr>
              <w:pStyle w:val="TableText"/>
            </w:pPr>
            <w:r/>
            <w:r>
              <w:t>Application for Designation of Research Adviser</w:t>
            </w:r>
          </w:p>
        </w:tc>
        <w:tc>
          <w:tcPr>
            <w:tcW w:type="dxa" w:w="1474"/>
          </w:tcPr>
          <w:p>
            <w:pPr>
              <w:pStyle w:val="TableText"/>
            </w:pPr>
            <w:r/>
            <w:r>
              <w:t>4.12 step 1</w:t>
            </w:r>
          </w:p>
        </w:tc>
        <w:tc>
          <w:tcPr>
            <w:tcW w:type="dxa" w:w="2154"/>
          </w:tcPr>
          <w:p>
            <w:pPr>
              <w:pStyle w:val="TableText"/>
            </w:pPr>
            <w:r/>
            <w:r>
              <w:t>Handbook 2022-2023, p. 61</w:t>
            </w:r>
          </w:p>
        </w:tc>
      </w:tr>
      <w:tr>
        <w:trPr>
          <w:cantSplit w:val="true"/>
        </w:trPr>
        <w:tc>
          <w:tcPr>
            <w:tcW w:type="dxa" w:w="2041"/>
          </w:tcPr>
          <w:p>
            <w:pPr>
              <w:pStyle w:val="TableText"/>
            </w:pPr>
            <w:r/>
            <w:r>
              <w:rPr>
                <w:b/>
              </w:rPr>
              <w:t>Form 3.1</w:t>
            </w:r>
          </w:p>
        </w:tc>
        <w:tc>
          <w:tcPr>
            <w:tcW w:type="dxa" w:w="3969"/>
          </w:tcPr>
          <w:p>
            <w:pPr>
              <w:pStyle w:val="TableText"/>
            </w:pPr>
            <w:r/>
            <w:r>
              <w:t>Appointment for Research Adviser</w:t>
            </w:r>
          </w:p>
        </w:tc>
        <w:tc>
          <w:tcPr>
            <w:tcW w:type="dxa" w:w="1474"/>
          </w:tcPr>
          <w:p>
            <w:pPr>
              <w:pStyle w:val="TableText"/>
            </w:pPr>
            <w:r/>
            <w:r>
              <w:t>4.12 steps 4-5</w:t>
            </w:r>
          </w:p>
        </w:tc>
        <w:tc>
          <w:tcPr>
            <w:tcW w:type="dxa" w:w="2154"/>
          </w:tcPr>
          <w:p>
            <w:pPr>
              <w:pStyle w:val="TableText"/>
            </w:pPr>
            <w:r/>
            <w:r>
              <w:t>Handbook 2022-2023, p. 61</w:t>
            </w:r>
          </w:p>
        </w:tc>
      </w:tr>
      <w:tr>
        <w:trPr>
          <w:cantSplit w:val="true"/>
        </w:trPr>
        <w:tc>
          <w:tcPr>
            <w:tcW w:type="dxa" w:w="2041"/>
          </w:tcPr>
          <w:p>
            <w:pPr>
              <w:pStyle w:val="TableText"/>
            </w:pPr>
            <w:r/>
            <w:r>
              <w:rPr>
                <w:b/>
              </w:rPr>
              <w:t>Form 3.1.1</w:t>
            </w:r>
          </w:p>
        </w:tc>
        <w:tc>
          <w:tcPr>
            <w:tcW w:type="dxa" w:w="3969"/>
          </w:tcPr>
          <w:p>
            <w:pPr>
              <w:pStyle w:val="TableText"/>
            </w:pPr>
            <w:r/>
            <w:r>
              <w:t>Request for Change of Research Adviser</w:t>
            </w:r>
          </w:p>
        </w:tc>
        <w:tc>
          <w:tcPr>
            <w:tcW w:type="dxa" w:w="1474"/>
          </w:tcPr>
          <w:p>
            <w:pPr>
              <w:pStyle w:val="TableText"/>
            </w:pPr>
            <w:r/>
            <w:r>
              <w:t>4.12</w:t>
            </w:r>
          </w:p>
        </w:tc>
        <w:tc>
          <w:tcPr>
            <w:tcW w:type="dxa" w:w="2154"/>
          </w:tcPr>
          <w:p>
            <w:pPr>
              <w:pStyle w:val="TableText"/>
            </w:pPr>
            <w:r/>
            <w:r>
              <w:t>Handbook 2022-2023, p. 62</w:t>
            </w:r>
          </w:p>
        </w:tc>
      </w:tr>
      <w:tr>
        <w:trPr>
          <w:cantSplit w:val="true"/>
        </w:trPr>
        <w:tc>
          <w:tcPr>
            <w:tcW w:type="dxa" w:w="2041"/>
          </w:tcPr>
          <w:p>
            <w:pPr>
              <w:pStyle w:val="TableText"/>
            </w:pPr>
            <w:r/>
            <w:r>
              <w:rPr>
                <w:b/>
              </w:rPr>
              <w:t>Form 3.2</w:t>
            </w:r>
          </w:p>
        </w:tc>
        <w:tc>
          <w:tcPr>
            <w:tcW w:type="dxa" w:w="3969"/>
          </w:tcPr>
          <w:p>
            <w:pPr>
              <w:pStyle w:val="TableText"/>
            </w:pPr>
            <w:r/>
            <w:r>
              <w:t>Research Timetable</w:t>
            </w:r>
          </w:p>
        </w:tc>
        <w:tc>
          <w:tcPr>
            <w:tcW w:type="dxa" w:w="1474"/>
          </w:tcPr>
          <w:p>
            <w:pPr>
              <w:pStyle w:val="TableText"/>
            </w:pPr>
            <w:r/>
            <w:r>
              <w:t>4.12</w:t>
            </w:r>
          </w:p>
        </w:tc>
        <w:tc>
          <w:tcPr>
            <w:tcW w:type="dxa" w:w="2154"/>
          </w:tcPr>
          <w:p>
            <w:pPr>
              <w:pStyle w:val="TableText"/>
            </w:pPr>
            <w:r/>
            <w:r>
              <w:t>Handbook 2022-2023, pp. 59, 61</w:t>
            </w:r>
          </w:p>
        </w:tc>
      </w:tr>
      <w:tr>
        <w:trPr>
          <w:cantSplit w:val="true"/>
        </w:trPr>
        <w:tc>
          <w:tcPr>
            <w:tcW w:type="dxa" w:w="2041"/>
          </w:tcPr>
          <w:p>
            <w:pPr>
              <w:pStyle w:val="TableText"/>
            </w:pPr>
            <w:r/>
            <w:r>
              <w:rPr>
                <w:b/>
              </w:rPr>
              <w:t>Form 3.3</w:t>
            </w:r>
          </w:p>
        </w:tc>
        <w:tc>
          <w:tcPr>
            <w:tcW w:type="dxa" w:w="3969"/>
          </w:tcPr>
          <w:p>
            <w:pPr>
              <w:pStyle w:val="TableText"/>
            </w:pPr>
            <w:r/>
            <w:r>
              <w:t>Thesis/Dissertation Advising Contract</w:t>
            </w:r>
          </w:p>
        </w:tc>
        <w:tc>
          <w:tcPr>
            <w:tcW w:type="dxa" w:w="1474"/>
          </w:tcPr>
          <w:p>
            <w:pPr>
              <w:pStyle w:val="TableText"/>
            </w:pPr>
            <w:r/>
            <w:r>
              <w:t>4.12</w:t>
            </w:r>
          </w:p>
        </w:tc>
        <w:tc>
          <w:tcPr>
            <w:tcW w:type="dxa" w:w="2154"/>
          </w:tcPr>
          <w:p>
            <w:pPr>
              <w:pStyle w:val="TableText"/>
            </w:pPr>
            <w:r/>
            <w:r>
              <w:t>Handbook 2022-2023, p. 61</w:t>
            </w:r>
          </w:p>
        </w:tc>
      </w:tr>
      <w:tr>
        <w:trPr>
          <w:cantSplit w:val="true"/>
        </w:trPr>
        <w:tc>
          <w:tcPr>
            <w:tcW w:type="dxa" w:w="2041"/>
          </w:tcPr>
          <w:p>
            <w:pPr>
              <w:pStyle w:val="TableText"/>
            </w:pPr>
            <w:r/>
            <w:r>
              <w:rPr>
                <w:b/>
              </w:rPr>
              <w:t>Form 3.4</w:t>
            </w:r>
          </w:p>
        </w:tc>
        <w:tc>
          <w:tcPr>
            <w:tcW w:type="dxa" w:w="3969"/>
          </w:tcPr>
          <w:p>
            <w:pPr>
              <w:pStyle w:val="TableText"/>
            </w:pPr>
            <w:r/>
            <w:r>
              <w:t>Request for Change of Title of the Study</w:t>
            </w:r>
          </w:p>
        </w:tc>
        <w:tc>
          <w:tcPr>
            <w:tcW w:type="dxa" w:w="1474"/>
          </w:tcPr>
          <w:p>
            <w:pPr>
              <w:pStyle w:val="TableText"/>
            </w:pPr>
            <w:r/>
            <w:r>
              <w:t>4.12</w:t>
            </w:r>
          </w:p>
        </w:tc>
        <w:tc>
          <w:tcPr>
            <w:tcW w:type="dxa" w:w="2154"/>
          </w:tcPr>
          <w:p>
            <w:pPr>
              <w:pStyle w:val="TableText"/>
            </w:pPr>
            <w:r/>
            <w:r>
              <w:t>Handbook 2022-2023, p. 62</w:t>
            </w:r>
          </w:p>
        </w:tc>
      </w:tr>
      <w:tr>
        <w:trPr>
          <w:cantSplit w:val="true"/>
        </w:trPr>
        <w:tc>
          <w:tcPr>
            <w:tcW w:type="dxa" w:w="2041"/>
          </w:tcPr>
          <w:p>
            <w:pPr>
              <w:pStyle w:val="TableText"/>
            </w:pPr>
            <w:r/>
            <w:r>
              <w:rPr>
                <w:b/>
              </w:rPr>
              <w:t>Form 4</w:t>
            </w:r>
          </w:p>
        </w:tc>
        <w:tc>
          <w:tcPr>
            <w:tcW w:type="dxa" w:w="3969"/>
          </w:tcPr>
          <w:p>
            <w:pPr>
              <w:pStyle w:val="TableText"/>
            </w:pPr>
            <w:r/>
            <w:r>
              <w:t>Endorsement for Proposal/Final Defense</w:t>
            </w:r>
          </w:p>
        </w:tc>
        <w:tc>
          <w:tcPr>
            <w:tcW w:type="dxa" w:w="1474"/>
          </w:tcPr>
          <w:p>
            <w:pPr>
              <w:pStyle w:val="TableText"/>
            </w:pPr>
            <w:r/>
            <w:r>
              <w:t>4.13, 4.14</w:t>
            </w:r>
          </w:p>
        </w:tc>
        <w:tc>
          <w:tcPr>
            <w:tcW w:type="dxa" w:w="2154"/>
          </w:tcPr>
          <w:p>
            <w:pPr>
              <w:pStyle w:val="TableText"/>
            </w:pPr>
            <w:r/>
            <w:r>
              <w:t>Handbook 2022-2023, pp. 63, 65</w:t>
            </w:r>
          </w:p>
        </w:tc>
      </w:tr>
      <w:tr>
        <w:trPr>
          <w:cantSplit w:val="true"/>
        </w:trPr>
        <w:tc>
          <w:tcPr>
            <w:tcW w:type="dxa" w:w="2041"/>
          </w:tcPr>
          <w:p>
            <w:pPr>
              <w:pStyle w:val="TableText"/>
            </w:pPr>
            <w:r/>
            <w:r>
              <w:rPr>
                <w:b/>
              </w:rPr>
              <w:t>Form 4.1</w:t>
            </w:r>
          </w:p>
        </w:tc>
        <w:tc>
          <w:tcPr>
            <w:tcW w:type="dxa" w:w="3969"/>
          </w:tcPr>
          <w:p>
            <w:pPr>
              <w:pStyle w:val="TableText"/>
            </w:pPr>
            <w:r/>
            <w:r>
              <w:t>Statistical Consultation Form (quantitative studies)</w:t>
            </w:r>
          </w:p>
        </w:tc>
        <w:tc>
          <w:tcPr>
            <w:tcW w:type="dxa" w:w="1474"/>
          </w:tcPr>
          <w:p>
            <w:pPr>
              <w:pStyle w:val="TableText"/>
            </w:pPr>
            <w:r/>
            <w:r>
              <w:t>4.13</w:t>
            </w:r>
          </w:p>
        </w:tc>
        <w:tc>
          <w:tcPr>
            <w:tcW w:type="dxa" w:w="2154"/>
          </w:tcPr>
          <w:p>
            <w:pPr>
              <w:pStyle w:val="TableText"/>
            </w:pPr>
            <w:r/>
            <w:r>
              <w:t>Handbook 2022-2023, p. 63</w:t>
            </w:r>
          </w:p>
        </w:tc>
      </w:tr>
      <w:tr>
        <w:trPr>
          <w:cantSplit w:val="true"/>
        </w:trPr>
        <w:tc>
          <w:tcPr>
            <w:tcW w:type="dxa" w:w="2041"/>
          </w:tcPr>
          <w:p>
            <w:pPr>
              <w:pStyle w:val="TableText"/>
            </w:pPr>
            <w:r/>
            <w:r>
              <w:rPr>
                <w:b/>
              </w:rPr>
              <w:t>Form 4.2</w:t>
            </w:r>
          </w:p>
        </w:tc>
        <w:tc>
          <w:tcPr>
            <w:tcW w:type="dxa" w:w="3969"/>
          </w:tcPr>
          <w:p>
            <w:pPr>
              <w:pStyle w:val="TableText"/>
            </w:pPr>
            <w:r/>
            <w:r>
              <w:t>Co-authorship Information for Publication</w:t>
            </w:r>
          </w:p>
        </w:tc>
        <w:tc>
          <w:tcPr>
            <w:tcW w:type="dxa" w:w="1474"/>
          </w:tcPr>
          <w:p>
            <w:pPr>
              <w:pStyle w:val="TableText"/>
            </w:pPr>
            <w:r/>
            <w:r>
              <w:t>4.13</w:t>
            </w:r>
          </w:p>
        </w:tc>
        <w:tc>
          <w:tcPr>
            <w:tcW w:type="dxa" w:w="2154"/>
          </w:tcPr>
          <w:p>
            <w:pPr>
              <w:pStyle w:val="TableText"/>
            </w:pPr>
            <w:r/>
            <w:r>
              <w:t>Handbook 2022-2023, pp. 63-64</w:t>
            </w:r>
          </w:p>
        </w:tc>
      </w:tr>
      <w:tr>
        <w:trPr>
          <w:cantSplit w:val="true"/>
        </w:trPr>
        <w:tc>
          <w:tcPr>
            <w:tcW w:type="dxa" w:w="2041"/>
          </w:tcPr>
          <w:p>
            <w:pPr>
              <w:pStyle w:val="TableText"/>
            </w:pPr>
            <w:r/>
            <w:r>
              <w:rPr>
                <w:b/>
              </w:rPr>
              <w:t>Form 4.3</w:t>
            </w:r>
          </w:p>
        </w:tc>
        <w:tc>
          <w:tcPr>
            <w:tcW w:type="dxa" w:w="3969"/>
          </w:tcPr>
          <w:p>
            <w:pPr>
              <w:pStyle w:val="TableText"/>
            </w:pPr>
            <w:r/>
            <w:r>
              <w:t>Endorsement for Public Defense</w:t>
            </w:r>
          </w:p>
        </w:tc>
        <w:tc>
          <w:tcPr>
            <w:tcW w:type="dxa" w:w="1474"/>
          </w:tcPr>
          <w:p>
            <w:pPr>
              <w:pStyle w:val="TableText"/>
            </w:pPr>
            <w:r/>
            <w:r>
              <w:t>4.14</w:t>
            </w:r>
          </w:p>
        </w:tc>
        <w:tc>
          <w:tcPr>
            <w:tcW w:type="dxa" w:w="2154"/>
          </w:tcPr>
          <w:p>
            <w:pPr>
              <w:pStyle w:val="TableText"/>
            </w:pPr>
            <w:r/>
            <w:r>
              <w:t>Handbook 2022-2023, p. 72</w:t>
            </w:r>
          </w:p>
        </w:tc>
      </w:tr>
      <w:tr>
        <w:trPr>
          <w:cantSplit w:val="true"/>
        </w:trPr>
        <w:tc>
          <w:tcPr>
            <w:tcW w:type="dxa" w:w="2041"/>
          </w:tcPr>
          <w:p>
            <w:pPr>
              <w:pStyle w:val="TableText"/>
            </w:pPr>
            <w:r/>
            <w:r>
              <w:rPr>
                <w:b/>
              </w:rPr>
              <w:t>Form 5</w:t>
            </w:r>
          </w:p>
        </w:tc>
        <w:tc>
          <w:tcPr>
            <w:tcW w:type="dxa" w:w="3969"/>
          </w:tcPr>
          <w:p>
            <w:pPr>
              <w:pStyle w:val="TableText"/>
            </w:pPr>
            <w:r/>
            <w:r>
              <w:t>Comments Sheet for Proposal Defense</w:t>
            </w:r>
          </w:p>
        </w:tc>
        <w:tc>
          <w:tcPr>
            <w:tcW w:type="dxa" w:w="1474"/>
          </w:tcPr>
          <w:p>
            <w:pPr>
              <w:pStyle w:val="TableText"/>
            </w:pPr>
            <w:r/>
            <w:r>
              <w:t>4.13</w:t>
            </w:r>
          </w:p>
        </w:tc>
        <w:tc>
          <w:tcPr>
            <w:tcW w:type="dxa" w:w="2154"/>
          </w:tcPr>
          <w:p>
            <w:pPr>
              <w:pStyle w:val="TableText"/>
            </w:pPr>
            <w:r/>
            <w:r>
              <w:t>Handbook 2022-2023, p. 64</w:t>
            </w:r>
          </w:p>
        </w:tc>
      </w:tr>
      <w:tr>
        <w:trPr>
          <w:cantSplit w:val="true"/>
        </w:trPr>
        <w:tc>
          <w:tcPr>
            <w:tcW w:type="dxa" w:w="2041"/>
          </w:tcPr>
          <w:p>
            <w:pPr>
              <w:pStyle w:val="TableText"/>
            </w:pPr>
            <w:r/>
            <w:r>
              <w:rPr>
                <w:b/>
              </w:rPr>
              <w:t>Form 5.1</w:t>
            </w:r>
          </w:p>
        </w:tc>
        <w:tc>
          <w:tcPr>
            <w:tcW w:type="dxa" w:w="3969"/>
          </w:tcPr>
          <w:p>
            <w:pPr>
              <w:pStyle w:val="TableText"/>
            </w:pPr>
            <w:r/>
            <w:r>
              <w:t>Technical Review Certificate</w:t>
            </w:r>
          </w:p>
        </w:tc>
        <w:tc>
          <w:tcPr>
            <w:tcW w:type="dxa" w:w="1474"/>
          </w:tcPr>
          <w:p>
            <w:pPr>
              <w:pStyle w:val="TableText"/>
            </w:pPr>
            <w:r/>
            <w:r>
              <w:t>4.13</w:t>
            </w:r>
          </w:p>
        </w:tc>
        <w:tc>
          <w:tcPr>
            <w:tcW w:type="dxa" w:w="2154"/>
          </w:tcPr>
          <w:p>
            <w:pPr>
              <w:pStyle w:val="TableText"/>
            </w:pPr>
            <w:r/>
            <w:r>
              <w:t>Handbook 2022-2023, p. 65</w:t>
            </w:r>
          </w:p>
        </w:tc>
      </w:tr>
      <w:tr>
        <w:trPr>
          <w:cantSplit w:val="true"/>
        </w:trPr>
        <w:tc>
          <w:tcPr>
            <w:tcW w:type="dxa" w:w="2041"/>
          </w:tcPr>
          <w:p>
            <w:pPr>
              <w:pStyle w:val="TableText"/>
            </w:pPr>
            <w:r/>
            <w:r>
              <w:rPr>
                <w:b/>
              </w:rPr>
              <w:t>Form 5.2</w:t>
            </w:r>
          </w:p>
        </w:tc>
        <w:tc>
          <w:tcPr>
            <w:tcW w:type="dxa" w:w="3969"/>
          </w:tcPr>
          <w:p>
            <w:pPr>
              <w:pStyle w:val="TableText"/>
            </w:pPr>
            <w:r/>
            <w:r>
              <w:t>Application for Ethics Review</w:t>
            </w:r>
          </w:p>
        </w:tc>
        <w:tc>
          <w:tcPr>
            <w:tcW w:type="dxa" w:w="1474"/>
          </w:tcPr>
          <w:p>
            <w:pPr>
              <w:pStyle w:val="TableText"/>
            </w:pPr>
            <w:r/>
            <w:r>
              <w:t>4.13</w:t>
            </w:r>
          </w:p>
        </w:tc>
        <w:tc>
          <w:tcPr>
            <w:tcW w:type="dxa" w:w="2154"/>
          </w:tcPr>
          <w:p>
            <w:pPr>
              <w:pStyle w:val="TableText"/>
            </w:pPr>
            <w:r/>
            <w:r>
              <w:t>Handbook 2022-2023, p. 65</w:t>
            </w:r>
          </w:p>
        </w:tc>
      </w:tr>
      <w:tr>
        <w:trPr>
          <w:cantSplit w:val="true"/>
        </w:trPr>
        <w:tc>
          <w:tcPr>
            <w:tcW w:type="dxa" w:w="2041"/>
          </w:tcPr>
          <w:p>
            <w:pPr>
              <w:pStyle w:val="TableText"/>
            </w:pPr>
            <w:r/>
            <w:r>
              <w:rPr>
                <w:b/>
              </w:rPr>
              <w:t>Form 6</w:t>
            </w:r>
          </w:p>
        </w:tc>
        <w:tc>
          <w:tcPr>
            <w:tcW w:type="dxa" w:w="3969"/>
          </w:tcPr>
          <w:p>
            <w:pPr>
              <w:pStyle w:val="TableText"/>
            </w:pPr>
            <w:r/>
            <w:r>
              <w:t>Comments Sheet for Final Defense</w:t>
            </w:r>
          </w:p>
        </w:tc>
        <w:tc>
          <w:tcPr>
            <w:tcW w:type="dxa" w:w="1474"/>
          </w:tcPr>
          <w:p>
            <w:pPr>
              <w:pStyle w:val="TableText"/>
            </w:pPr>
            <w:r/>
            <w:r>
              <w:t>4.14</w:t>
            </w:r>
          </w:p>
        </w:tc>
        <w:tc>
          <w:tcPr>
            <w:tcW w:type="dxa" w:w="2154"/>
          </w:tcPr>
          <w:p>
            <w:pPr>
              <w:pStyle w:val="TableText"/>
            </w:pPr>
            <w:r/>
            <w:r>
              <w:t>Handbook 2022-2023, p. 66</w:t>
            </w:r>
          </w:p>
        </w:tc>
      </w:tr>
      <w:tr>
        <w:trPr>
          <w:cantSplit w:val="true"/>
        </w:trPr>
        <w:tc>
          <w:tcPr>
            <w:tcW w:type="dxa" w:w="2041"/>
          </w:tcPr>
          <w:p>
            <w:pPr>
              <w:pStyle w:val="TableText"/>
            </w:pPr>
            <w:r/>
            <w:r>
              <w:rPr>
                <w:b/>
              </w:rPr>
              <w:t>Form 7</w:t>
            </w:r>
          </w:p>
        </w:tc>
        <w:tc>
          <w:tcPr>
            <w:tcW w:type="dxa" w:w="3969"/>
          </w:tcPr>
          <w:p>
            <w:pPr>
              <w:pStyle w:val="TableText"/>
            </w:pPr>
            <w:r/>
            <w:r>
              <w:t>Evaluation Sheet for Final Defense</w:t>
            </w:r>
          </w:p>
        </w:tc>
        <w:tc>
          <w:tcPr>
            <w:tcW w:type="dxa" w:w="1474"/>
          </w:tcPr>
          <w:p>
            <w:pPr>
              <w:pStyle w:val="TableText"/>
            </w:pPr>
            <w:r/>
            <w:r>
              <w:t>4.14</w:t>
            </w:r>
          </w:p>
        </w:tc>
        <w:tc>
          <w:tcPr>
            <w:tcW w:type="dxa" w:w="2154"/>
          </w:tcPr>
          <w:p>
            <w:pPr>
              <w:pStyle w:val="TableText"/>
            </w:pPr>
            <w:r/>
            <w:r>
              <w:t>Handbook 2022-2023, p. 66</w:t>
            </w:r>
          </w:p>
        </w:tc>
      </w:tr>
      <w:tr>
        <w:trPr>
          <w:cantSplit w:val="true"/>
        </w:trPr>
        <w:tc>
          <w:tcPr>
            <w:tcW w:type="dxa" w:w="2041"/>
          </w:tcPr>
          <w:p>
            <w:pPr>
              <w:pStyle w:val="TableText"/>
            </w:pPr>
            <w:r/>
            <w:r>
              <w:rPr>
                <w:b/>
              </w:rPr>
              <w:t>Form 8</w:t>
            </w:r>
          </w:p>
        </w:tc>
        <w:tc>
          <w:tcPr>
            <w:tcW w:type="dxa" w:w="3969"/>
          </w:tcPr>
          <w:p>
            <w:pPr>
              <w:pStyle w:val="TableText"/>
            </w:pPr>
            <w:r/>
            <w:r>
              <w:t>Settlement of Provisional Thesis/Dissertation Approval</w:t>
            </w:r>
          </w:p>
        </w:tc>
        <w:tc>
          <w:tcPr>
            <w:tcW w:type="dxa" w:w="1474"/>
          </w:tcPr>
          <w:p>
            <w:pPr>
              <w:pStyle w:val="TableText"/>
            </w:pPr>
            <w:r/>
            <w:r>
              <w:t>4.14</w:t>
            </w:r>
          </w:p>
        </w:tc>
        <w:tc>
          <w:tcPr>
            <w:tcW w:type="dxa" w:w="2154"/>
          </w:tcPr>
          <w:p>
            <w:pPr>
              <w:pStyle w:val="TableText"/>
            </w:pPr>
            <w:r/>
            <w:r>
              <w:t>Handbook 2022-2023, p. 67</w:t>
            </w:r>
          </w:p>
        </w:tc>
      </w:tr>
      <w:tr>
        <w:trPr>
          <w:cantSplit w:val="true"/>
        </w:trPr>
        <w:tc>
          <w:tcPr>
            <w:tcW w:type="dxa" w:w="2041"/>
          </w:tcPr>
          <w:p>
            <w:pPr>
              <w:pStyle w:val="TableText"/>
            </w:pPr>
            <w:r/>
            <w:r>
              <w:rPr>
                <w:b/>
              </w:rPr>
              <w:t>Form 9</w:t>
            </w:r>
          </w:p>
        </w:tc>
        <w:tc>
          <w:tcPr>
            <w:tcW w:type="dxa" w:w="3969"/>
          </w:tcPr>
          <w:p>
            <w:pPr>
              <w:pStyle w:val="TableText"/>
            </w:pPr>
            <w:r/>
            <w:r>
              <w:t>Editor Certification</w:t>
            </w:r>
          </w:p>
        </w:tc>
        <w:tc>
          <w:tcPr>
            <w:tcW w:type="dxa" w:w="1474"/>
          </w:tcPr>
          <w:p>
            <w:pPr>
              <w:pStyle w:val="TableText"/>
            </w:pPr>
            <w:r/>
            <w:r>
              <w:t>4.15</w:t>
            </w:r>
          </w:p>
        </w:tc>
        <w:tc>
          <w:tcPr>
            <w:tcW w:type="dxa" w:w="2154"/>
          </w:tcPr>
          <w:p>
            <w:pPr>
              <w:pStyle w:val="TableText"/>
            </w:pPr>
            <w:r/>
            <w:r>
              <w:t>Handbook 2022-2023, p. 68</w:t>
            </w:r>
          </w:p>
        </w:tc>
      </w:tr>
      <w:tr>
        <w:trPr>
          <w:cantSplit w:val="true"/>
        </w:trPr>
        <w:tc>
          <w:tcPr>
            <w:tcW w:type="dxa" w:w="2041"/>
          </w:tcPr>
          <w:p>
            <w:pPr>
              <w:pStyle w:val="TableText"/>
            </w:pPr>
            <w:r/>
            <w:r>
              <w:rPr>
                <w:b/>
              </w:rPr>
              <w:t>Form 10</w:t>
            </w:r>
          </w:p>
        </w:tc>
        <w:tc>
          <w:tcPr>
            <w:tcW w:type="dxa" w:w="3969"/>
          </w:tcPr>
          <w:p>
            <w:pPr>
              <w:pStyle w:val="TableText"/>
            </w:pPr>
            <w:r/>
            <w:r>
              <w:t>Approval Sheet</w:t>
            </w:r>
          </w:p>
        </w:tc>
        <w:tc>
          <w:tcPr>
            <w:tcW w:type="dxa" w:w="1474"/>
          </w:tcPr>
          <w:p>
            <w:pPr>
              <w:pStyle w:val="TableText"/>
            </w:pPr>
            <w:r/>
            <w:r>
              <w:t>4.15</w:t>
            </w:r>
          </w:p>
        </w:tc>
        <w:tc>
          <w:tcPr>
            <w:tcW w:type="dxa" w:w="2154"/>
          </w:tcPr>
          <w:p>
            <w:pPr>
              <w:pStyle w:val="TableText"/>
            </w:pPr>
            <w:r/>
            <w:r>
              <w:t>Handbook 2022-2023, p. 68</w:t>
            </w:r>
          </w:p>
        </w:tc>
      </w:tr>
      <w:tr>
        <w:trPr>
          <w:cantSplit w:val="true"/>
        </w:trPr>
        <w:tc>
          <w:tcPr>
            <w:tcW w:type="dxa" w:w="2041"/>
          </w:tcPr>
          <w:p>
            <w:pPr>
              <w:pStyle w:val="TableText"/>
            </w:pPr>
            <w:r/>
            <w:r>
              <w:rPr>
                <w:b/>
              </w:rPr>
              <w:t>Form 11</w:t>
            </w:r>
          </w:p>
        </w:tc>
        <w:tc>
          <w:tcPr>
            <w:tcW w:type="dxa" w:w="3969"/>
          </w:tcPr>
          <w:p>
            <w:pPr>
              <w:pStyle w:val="TableText"/>
            </w:pPr>
            <w:r/>
            <w:r>
              <w:t>Formal Invitation to Co-Author Journal Article</w:t>
            </w:r>
          </w:p>
        </w:tc>
        <w:tc>
          <w:tcPr>
            <w:tcW w:type="dxa" w:w="1474"/>
          </w:tcPr>
          <w:p>
            <w:pPr>
              <w:pStyle w:val="TableText"/>
            </w:pPr>
            <w:r/>
            <w:r>
              <w:t>4.15</w:t>
            </w:r>
          </w:p>
        </w:tc>
        <w:tc>
          <w:tcPr>
            <w:tcW w:type="dxa" w:w="2154"/>
          </w:tcPr>
          <w:p>
            <w:pPr>
              <w:pStyle w:val="TableText"/>
            </w:pPr>
            <w:r/>
            <w:r>
              <w:t>Handbook 2022-2023, p. 75</w:t>
            </w:r>
          </w:p>
        </w:tc>
      </w:tr>
      <w:tr>
        <w:trPr>
          <w:cantSplit w:val="true"/>
        </w:trPr>
        <w:tc>
          <w:tcPr>
            <w:tcW w:type="dxa" w:w="2041"/>
          </w:tcPr>
          <w:p>
            <w:pPr>
              <w:pStyle w:val="TableText"/>
            </w:pPr>
            <w:r/>
            <w:r>
              <w:rPr>
                <w:b/>
              </w:rPr>
              <w:t>Form 12</w:t>
            </w:r>
          </w:p>
        </w:tc>
        <w:tc>
          <w:tcPr>
            <w:tcW w:type="dxa" w:w="3969"/>
          </w:tcPr>
          <w:p>
            <w:pPr>
              <w:pStyle w:val="TableText"/>
            </w:pPr>
            <w:r/>
            <w:r>
              <w:t>Publication Information Form</w:t>
            </w:r>
          </w:p>
        </w:tc>
        <w:tc>
          <w:tcPr>
            <w:tcW w:type="dxa" w:w="1474"/>
          </w:tcPr>
          <w:p>
            <w:pPr>
              <w:pStyle w:val="TableText"/>
            </w:pPr>
            <w:r/>
            <w:r>
              <w:t>4.15</w:t>
            </w:r>
          </w:p>
        </w:tc>
        <w:tc>
          <w:tcPr>
            <w:tcW w:type="dxa" w:w="2154"/>
          </w:tcPr>
          <w:p>
            <w:pPr>
              <w:pStyle w:val="TableText"/>
            </w:pPr>
            <w:r/>
            <w:r>
              <w:t>Handbook 2022-2023, p. 75</w:t>
            </w:r>
          </w:p>
        </w:tc>
      </w:tr>
      <w:tr>
        <w:trPr>
          <w:cantSplit w:val="true"/>
        </w:trPr>
        <w:tc>
          <w:tcPr>
            <w:tcW w:type="dxa" w:w="2041"/>
          </w:tcPr>
          <w:p>
            <w:pPr>
              <w:pStyle w:val="TableText"/>
            </w:pPr>
            <w:r/>
            <w:r>
              <w:rPr>
                <w:b/>
              </w:rPr>
              <w:t>Form 13</w:t>
            </w:r>
          </w:p>
        </w:tc>
        <w:tc>
          <w:tcPr>
            <w:tcW w:type="dxa" w:w="3969"/>
          </w:tcPr>
          <w:p>
            <w:pPr>
              <w:pStyle w:val="TableText"/>
            </w:pPr>
            <w:r/>
            <w:r>
              <w:t>Named in the Handbook as the form accomplished with the copy of the journal or certificate of publication; its title was not given in the sources</w:t>
            </w:r>
          </w:p>
        </w:tc>
        <w:tc>
          <w:tcPr>
            <w:tcW w:type="dxa" w:w="1474"/>
          </w:tcPr>
          <w:p>
            <w:pPr>
              <w:pStyle w:val="TableText"/>
            </w:pPr>
            <w:r/>
            <w:r>
              <w:t>4.15, 4.18</w:t>
            </w:r>
          </w:p>
        </w:tc>
        <w:tc>
          <w:tcPr>
            <w:tcW w:type="dxa" w:w="2154"/>
          </w:tcPr>
          <w:p>
            <w:pPr>
              <w:pStyle w:val="TableText"/>
            </w:pPr>
            <w:r/>
            <w:r>
              <w:t>Handbook 2022-2023, p. 75</w:t>
            </w:r>
          </w:p>
        </w:tc>
      </w:tr>
      <w:tr>
        <w:trPr>
          <w:cantSplit w:val="true"/>
        </w:trPr>
        <w:tc>
          <w:tcPr>
            <w:tcW w:type="dxa" w:w="2041"/>
          </w:tcPr>
          <w:p>
            <w:pPr>
              <w:pStyle w:val="TableText"/>
            </w:pPr>
            <w:r/>
            <w:r>
              <w:rPr>
                <w:b/>
              </w:rPr>
              <w:t>Practicum agreement (MOA)</w:t>
            </w:r>
          </w:p>
        </w:tc>
        <w:tc>
          <w:tcPr>
            <w:tcW w:type="dxa" w:w="3969"/>
          </w:tcPr>
          <w:p>
            <w:pPr>
              <w:pStyle w:val="TableText"/>
            </w:pPr>
            <w:r/>
            <w:r>
              <w:t>Memorandum of agreement with the practicum site; named in the group's process model only, no official form number</w:t>
            </w:r>
          </w:p>
        </w:tc>
        <w:tc>
          <w:tcPr>
            <w:tcW w:type="dxa" w:w="1474"/>
          </w:tcPr>
          <w:p>
            <w:pPr>
              <w:pStyle w:val="TableText"/>
            </w:pPr>
            <w:r/>
            <w:r>
              <w:t>4.17</w:t>
            </w:r>
          </w:p>
        </w:tc>
        <w:tc>
          <w:tcPr>
            <w:tcW w:type="dxa" w:w="2154"/>
          </w:tcPr>
          <w:p>
            <w:pPr>
              <w:pStyle w:val="TableText"/>
            </w:pPr>
            <w:r/>
            <w:r>
              <w:t>Group working notes, BPM accurate flow, section 11</w:t>
            </w:r>
          </w:p>
        </w:tc>
      </w:tr>
      <w:tr>
        <w:trPr>
          <w:cantSplit w:val="true"/>
        </w:trPr>
        <w:tc>
          <w:tcPr>
            <w:tcW w:type="dxa" w:w="2041"/>
          </w:tcPr>
          <w:p>
            <w:pPr>
              <w:pStyle w:val="TableText"/>
            </w:pPr>
            <w:r/>
            <w:r>
              <w:rPr>
                <w:b/>
              </w:rPr>
              <w:t>Graduation application</w:t>
            </w:r>
          </w:p>
        </w:tc>
        <w:tc>
          <w:tcPr>
            <w:tcW w:type="dxa" w:w="3969"/>
          </w:tcPr>
          <w:p>
            <w:pPr>
              <w:pStyle w:val="TableText"/>
            </w:pPr>
            <w:r/>
            <w:r>
              <w:t>Signed graduation application; named in the platform only, no official form number</w:t>
            </w:r>
          </w:p>
        </w:tc>
        <w:tc>
          <w:tcPr>
            <w:tcW w:type="dxa" w:w="1474"/>
          </w:tcPr>
          <w:p>
            <w:pPr>
              <w:pStyle w:val="TableText"/>
            </w:pPr>
            <w:r/>
            <w:r>
              <w:t>4.18</w:t>
            </w:r>
          </w:p>
        </w:tc>
        <w:tc>
          <w:tcPr>
            <w:tcW w:type="dxa" w:w="2154"/>
          </w:tcPr>
          <w:p>
            <w:pPr>
              <w:pStyle w:val="TableText"/>
            </w:pPr>
            <w:r/>
            <w:r>
              <w:t>Platform (current build)</w:t>
            </w:r>
          </w:p>
        </w:tc>
      </w:tr>
    </w:tbl>
    <w:p>
      <w:pPr>
        <w:spacing w:after="80" w:before="0"/>
      </w:pPr>
    </w:p>
    <w:p>
      <w:pPr>
        <w:pStyle w:val="Heading1"/>
      </w:pPr>
      <w:r>
        <w:t>Appendix B Glossary</w:t>
      </w:r>
    </w:p>
    <w:tbl>
      <w:tblPr>
        <w:tblW w:w="9639"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5" w:type="dxa"/>
          <w:left w:w="60" w:type="dxa"/>
          <w:bottom w:w="25" w:type="dxa"/>
          <w:right w:w="60" w:type="dxa"/>
        </w:tblCellMar>
        <w:tblLook w:firstColumn="1" w:firstRow="1" w:lastColumn="0" w:lastRow="0" w:noHBand="0" w:noVBand="1" w:val="04A0"/>
      </w:tblPr>
      <w:tblGrid>
        <w:gridCol w:w="2041"/>
        <w:gridCol w:w="7597"/>
      </w:tblGrid>
      <w:tr>
        <w:trPr>
          <w:tblHeader w:val="true"/>
          <w:cantSplit w:val="true"/>
        </w:trPr>
        <w:tc>
          <w:tcPr>
            <w:tcW w:type="dxa" w:w="2041"/>
            <w:shd w:val="clear" w:color="auto" w:fill="1F4E3D"/>
          </w:tcPr>
          <w:p>
            <w:pPr>
              <w:pStyle w:val="TableHead"/>
            </w:pPr>
            <w:r/>
            <w:r>
              <w:t>Term</w:t>
            </w:r>
          </w:p>
        </w:tc>
        <w:tc>
          <w:tcPr>
            <w:tcW w:type="dxa" w:w="7597"/>
            <w:shd w:val="clear" w:color="auto" w:fill="1F4E3D"/>
          </w:tcPr>
          <w:p>
            <w:pPr>
              <w:pStyle w:val="TableHead"/>
            </w:pPr>
            <w:r/>
            <w:r>
              <w:t>Meaning</w:t>
            </w:r>
          </w:p>
        </w:tc>
      </w:tr>
      <w:tr>
        <w:trPr>
          <w:cantSplit w:val="true"/>
        </w:trPr>
        <w:tc>
          <w:tcPr>
            <w:tcW w:type="dxa" w:w="2041"/>
          </w:tcPr>
          <w:p>
            <w:pPr>
              <w:pStyle w:val="TableText"/>
            </w:pPr>
            <w:r/>
            <w:r>
              <w:rPr>
                <w:b/>
              </w:rPr>
              <w:t>AC</w:t>
            </w:r>
          </w:p>
        </w:tc>
        <w:tc>
          <w:tcPr>
            <w:tcW w:type="dxa" w:w="7597"/>
          </w:tcPr>
          <w:p>
            <w:pPr>
              <w:pStyle w:val="TableText"/>
            </w:pPr>
            <w:r/>
            <w:r>
              <w:t>Academic Coordinator.</w:t>
            </w:r>
          </w:p>
        </w:tc>
      </w:tr>
      <w:tr>
        <w:trPr>
          <w:cantSplit w:val="true"/>
        </w:trPr>
        <w:tc>
          <w:tcPr>
            <w:tcW w:type="dxa" w:w="2041"/>
          </w:tcPr>
          <w:p>
            <w:pPr>
              <w:pStyle w:val="TableText"/>
            </w:pPr>
            <w:r/>
            <w:r>
              <w:rPr>
                <w:b/>
              </w:rPr>
              <w:t>AIMS</w:t>
            </w:r>
          </w:p>
        </w:tc>
        <w:tc>
          <w:tcPr>
            <w:tcW w:type="dxa" w:w="7597"/>
          </w:tcPr>
          <w:p>
            <w:pPr>
              <w:pStyle w:val="TableText"/>
            </w:pPr>
            <w:r/>
            <w:r>
              <w:t>The University's academic information management system used by the Registrar for admission, enrollment and grades.</w:t>
            </w:r>
          </w:p>
        </w:tc>
      </w:tr>
      <w:tr>
        <w:trPr>
          <w:cantSplit w:val="true"/>
        </w:trPr>
        <w:tc>
          <w:tcPr>
            <w:tcW w:type="dxa" w:w="2041"/>
          </w:tcPr>
          <w:p>
            <w:pPr>
              <w:pStyle w:val="TableText"/>
            </w:pPr>
            <w:r/>
            <w:r>
              <w:rPr>
                <w:b/>
              </w:rPr>
              <w:t>Advice Slip</w:t>
            </w:r>
          </w:p>
        </w:tc>
        <w:tc>
          <w:tcPr>
            <w:tcW w:type="dxa" w:w="7597"/>
          </w:tcPr>
          <w:p>
            <w:pPr>
              <w:pStyle w:val="TableText"/>
            </w:pPr>
            <w:r/>
            <w:r>
              <w:t>A slip issued by the Graduate School Office (or by the Dean for returnees) that allows a subject to be added or a returning student to enroll.</w:t>
            </w:r>
          </w:p>
        </w:tc>
      </w:tr>
      <w:tr>
        <w:trPr>
          <w:cantSplit w:val="true"/>
        </w:trPr>
        <w:tc>
          <w:tcPr>
            <w:tcW w:type="dxa" w:w="2041"/>
          </w:tcPr>
          <w:p>
            <w:pPr>
              <w:pStyle w:val="TableText"/>
            </w:pPr>
            <w:r/>
            <w:r>
              <w:rPr>
                <w:b/>
              </w:rPr>
              <w:t>Approved absence</w:t>
            </w:r>
          </w:p>
        </w:tc>
        <w:tc>
          <w:tcPr>
            <w:tcW w:type="dxa" w:w="7597"/>
          </w:tcPr>
          <w:p>
            <w:pPr>
              <w:pStyle w:val="TableText"/>
            </w:pPr>
            <w:r/>
            <w:r>
              <w:t>Absence for a school-sponsored activity or official representation of the University, approved by the Dean, not counted against the allowed absences.</w:t>
            </w:r>
          </w:p>
        </w:tc>
      </w:tr>
      <w:tr>
        <w:trPr>
          <w:cantSplit w:val="true"/>
        </w:trPr>
        <w:tc>
          <w:tcPr>
            <w:tcW w:type="dxa" w:w="2041"/>
          </w:tcPr>
          <w:p>
            <w:pPr>
              <w:pStyle w:val="TableText"/>
            </w:pPr>
            <w:r/>
            <w:r>
              <w:rPr>
                <w:b/>
              </w:rPr>
              <w:t>Bridging course</w:t>
            </w:r>
          </w:p>
        </w:tc>
        <w:tc>
          <w:tcPr>
            <w:tcW w:type="dxa" w:w="7597"/>
          </w:tcPr>
          <w:p>
            <w:pPr>
              <w:pStyle w:val="TableText"/>
            </w:pPr>
            <w:r/>
            <w:r>
              <w:t>Subjects a student must take to make up for an insufficient background, for example six units of thesis for an applicant with a non-thesis master's degree.</w:t>
            </w:r>
          </w:p>
        </w:tc>
      </w:tr>
      <w:tr>
        <w:trPr>
          <w:cantSplit w:val="true"/>
        </w:trPr>
        <w:tc>
          <w:tcPr>
            <w:tcW w:type="dxa" w:w="2041"/>
          </w:tcPr>
          <w:p>
            <w:pPr>
              <w:pStyle w:val="TableText"/>
            </w:pPr>
            <w:r/>
            <w:r>
              <w:rPr>
                <w:b/>
              </w:rPr>
              <w:t>Closed-door final defense</w:t>
            </w:r>
          </w:p>
        </w:tc>
        <w:tc>
          <w:tcPr>
            <w:tcW w:type="dxa" w:w="7597"/>
          </w:tcPr>
          <w:p>
            <w:pPr>
              <w:pStyle w:val="TableText"/>
            </w:pPr>
            <w:r/>
            <w:r>
              <w:t>The first final oral defense of a thesis or dissertation before the panel, without an audience.</w:t>
            </w:r>
          </w:p>
        </w:tc>
      </w:tr>
      <w:tr>
        <w:trPr>
          <w:cantSplit w:val="true"/>
        </w:trPr>
        <w:tc>
          <w:tcPr>
            <w:tcW w:type="dxa" w:w="2041"/>
          </w:tcPr>
          <w:p>
            <w:pPr>
              <w:pStyle w:val="TableText"/>
            </w:pPr>
            <w:r/>
            <w:r>
              <w:rPr>
                <w:b/>
              </w:rPr>
              <w:t>CHED CMO 15</w:t>
            </w:r>
          </w:p>
        </w:tc>
        <w:tc>
          <w:tcPr>
            <w:tcW w:type="dxa" w:w="7597"/>
          </w:tcPr>
          <w:p>
            <w:pPr>
              <w:pStyle w:val="TableText"/>
            </w:pPr>
            <w:r/>
            <w:r>
              <w:t>CHED Memorandum Order No. 15, series of 2019, cited by the Handbook and the Protocol for adviser qualifications.</w:t>
            </w:r>
          </w:p>
        </w:tc>
      </w:tr>
      <w:tr>
        <w:trPr>
          <w:cantSplit w:val="true"/>
        </w:trPr>
        <w:tc>
          <w:tcPr>
            <w:tcW w:type="dxa" w:w="2041"/>
          </w:tcPr>
          <w:p>
            <w:pPr>
              <w:pStyle w:val="TableText"/>
            </w:pPr>
            <w:r/>
            <w:r>
              <w:rPr>
                <w:b/>
              </w:rPr>
              <w:t>Cognate</w:t>
            </w:r>
          </w:p>
        </w:tc>
        <w:tc>
          <w:tcPr>
            <w:tcW w:type="dxa" w:w="7597"/>
          </w:tcPr>
          <w:p>
            <w:pPr>
              <w:pStyle w:val="TableText"/>
            </w:pPr>
            <w:r/>
            <w:r>
              <w:t>An elective group of subjects in a graduate curriculum.</w:t>
            </w:r>
          </w:p>
        </w:tc>
      </w:tr>
      <w:tr>
        <w:trPr>
          <w:cantSplit w:val="true"/>
        </w:trPr>
        <w:tc>
          <w:tcPr>
            <w:tcW w:type="dxa" w:w="2041"/>
          </w:tcPr>
          <w:p>
            <w:pPr>
              <w:pStyle w:val="TableText"/>
            </w:pPr>
            <w:r/>
            <w:r>
              <w:rPr>
                <w:b/>
              </w:rPr>
              <w:t>DRP</w:t>
            </w:r>
          </w:p>
        </w:tc>
        <w:tc>
          <w:tcPr>
            <w:tcW w:type="dxa" w:w="7597"/>
          </w:tcPr>
          <w:p>
            <w:pPr>
              <w:pStyle w:val="TableText"/>
            </w:pPr>
            <w:r/>
            <w:r>
              <w:t>The grade symbol given when a student is automatically dropped from a course for absences (Handbook p. 52); the grading table also lists the symbol D (Dropped).</w:t>
            </w:r>
          </w:p>
        </w:tc>
      </w:tr>
      <w:tr>
        <w:trPr>
          <w:cantSplit w:val="true"/>
        </w:trPr>
        <w:tc>
          <w:tcPr>
            <w:tcW w:type="dxa" w:w="2041"/>
          </w:tcPr>
          <w:p>
            <w:pPr>
              <w:pStyle w:val="TableText"/>
            </w:pPr>
            <w:r/>
            <w:r>
              <w:rPr>
                <w:b/>
              </w:rPr>
              <w:t>14-Day Rule</w:t>
            </w:r>
          </w:p>
        </w:tc>
        <w:tc>
          <w:tcPr>
            <w:tcW w:type="dxa" w:w="7597"/>
          </w:tcPr>
          <w:p>
            <w:pPr>
              <w:pStyle w:val="TableText"/>
            </w:pPr>
            <w:r/>
            <w:r>
              <w:t>At least fourteen days, inclusive of weekends, from the date the panel members receive the manuscript to the date of the oral defense.</w:t>
            </w:r>
          </w:p>
        </w:tc>
      </w:tr>
      <w:tr>
        <w:trPr>
          <w:cantSplit w:val="true"/>
        </w:trPr>
        <w:tc>
          <w:tcPr>
            <w:tcW w:type="dxa" w:w="2041"/>
          </w:tcPr>
          <w:p>
            <w:pPr>
              <w:pStyle w:val="TableText"/>
            </w:pPr>
            <w:r/>
            <w:r>
              <w:rPr>
                <w:b/>
              </w:rPr>
              <w:t>GS</w:t>
            </w:r>
          </w:p>
        </w:tc>
        <w:tc>
          <w:tcPr>
            <w:tcW w:type="dxa" w:w="7597"/>
          </w:tcPr>
          <w:p>
            <w:pPr>
              <w:pStyle w:val="TableText"/>
            </w:pPr>
            <w:r/>
            <w:r>
              <w:t>Graduate School of the University of St. La Salle.</w:t>
            </w:r>
          </w:p>
        </w:tc>
      </w:tr>
      <w:tr>
        <w:trPr>
          <w:cantSplit w:val="true"/>
        </w:trPr>
        <w:tc>
          <w:tcPr>
            <w:tcW w:type="dxa" w:w="2041"/>
          </w:tcPr>
          <w:p>
            <w:pPr>
              <w:pStyle w:val="TableText"/>
            </w:pPr>
            <w:r/>
            <w:r>
              <w:rPr>
                <w:b/>
              </w:rPr>
              <w:t>GS Research Committee</w:t>
            </w:r>
          </w:p>
        </w:tc>
        <w:tc>
          <w:tcPr>
            <w:tcW w:type="dxa" w:w="7597"/>
          </w:tcPr>
          <w:p>
            <w:pPr>
              <w:pStyle w:val="TableText"/>
            </w:pPr>
            <w:r/>
            <w:r>
              <w:t>The committee of the Dean, Associate Dean, Academic Coordinator and Research Coordinator that deliberates on panel and research matters (Research Protocol, Proposal Defense, Part I, step 4; Handbook p. 75 lists the Research Coordinator, Academic Coordinator, Associate Dean and an external expert).</w:t>
            </w:r>
          </w:p>
        </w:tc>
      </w:tr>
      <w:tr>
        <w:trPr>
          <w:cantSplit w:val="true"/>
        </w:trPr>
        <w:tc>
          <w:tcPr>
            <w:tcW w:type="dxa" w:w="2041"/>
          </w:tcPr>
          <w:p>
            <w:pPr>
              <w:pStyle w:val="TableText"/>
            </w:pPr>
            <w:r/>
            <w:r>
              <w:rPr>
                <w:b/>
              </w:rPr>
              <w:t>INC</w:t>
            </w:r>
          </w:p>
        </w:tc>
        <w:tc>
          <w:tcPr>
            <w:tcW w:type="dxa" w:w="7597"/>
          </w:tcPr>
          <w:p>
            <w:pPr>
              <w:pStyle w:val="TableText"/>
            </w:pPr>
            <w:r/>
            <w:r>
              <w:t>Incomplete grade. Must be removed within one academic year.</w:t>
            </w:r>
          </w:p>
        </w:tc>
      </w:tr>
      <w:tr>
        <w:trPr>
          <w:cantSplit w:val="true"/>
        </w:trPr>
        <w:tc>
          <w:tcPr>
            <w:tcW w:type="dxa" w:w="2041"/>
          </w:tcPr>
          <w:p>
            <w:pPr>
              <w:pStyle w:val="TableText"/>
            </w:pPr>
            <w:r/>
            <w:r>
              <w:rPr>
                <w:b/>
              </w:rPr>
              <w:t>IRF</w:t>
            </w:r>
          </w:p>
        </w:tc>
        <w:tc>
          <w:tcPr>
            <w:tcW w:type="dxa" w:w="7597"/>
          </w:tcPr>
          <w:p>
            <w:pPr>
              <w:pStyle w:val="TableText"/>
            </w:pPr>
            <w:r/>
            <w:r>
              <w:t>USLS Institutional Research Format applied by the editor.</w:t>
            </w:r>
          </w:p>
        </w:tc>
      </w:tr>
      <w:tr>
        <w:trPr>
          <w:cantSplit w:val="true"/>
        </w:trPr>
        <w:tc>
          <w:tcPr>
            <w:tcW w:type="dxa" w:w="2041"/>
          </w:tcPr>
          <w:p>
            <w:pPr>
              <w:pStyle w:val="TableText"/>
            </w:pPr>
            <w:r/>
            <w:r>
              <w:rPr>
                <w:b/>
              </w:rPr>
              <w:t>LOA</w:t>
            </w:r>
          </w:p>
        </w:tc>
        <w:tc>
          <w:tcPr>
            <w:tcW w:type="dxa" w:w="7597"/>
          </w:tcPr>
          <w:p>
            <w:pPr>
              <w:pStyle w:val="TableText"/>
            </w:pPr>
            <w:r/>
            <w:r>
              <w:t>Leave of absence.</w:t>
            </w:r>
          </w:p>
        </w:tc>
      </w:tr>
      <w:tr>
        <w:trPr>
          <w:cantSplit w:val="true"/>
        </w:trPr>
        <w:tc>
          <w:tcPr>
            <w:tcW w:type="dxa" w:w="2041"/>
          </w:tcPr>
          <w:p>
            <w:pPr>
              <w:pStyle w:val="TableText"/>
            </w:pPr>
            <w:r/>
            <w:r>
              <w:rPr>
                <w:b/>
              </w:rPr>
              <w:t>Maximum residence</w:t>
            </w:r>
          </w:p>
        </w:tc>
        <w:tc>
          <w:tcPr>
            <w:tcW w:type="dxa" w:w="7597"/>
          </w:tcPr>
          <w:p>
            <w:pPr>
              <w:pStyle w:val="TableText"/>
            </w:pPr>
            <w:r/>
            <w:r>
              <w:t>The longest period a student may take to finish a program: master's seven academic years, doctorate nine, in each case including leave of absence.</w:t>
            </w:r>
          </w:p>
        </w:tc>
      </w:tr>
      <w:tr>
        <w:trPr>
          <w:cantSplit w:val="true"/>
        </w:trPr>
        <w:tc>
          <w:tcPr>
            <w:tcW w:type="dxa" w:w="2041"/>
          </w:tcPr>
          <w:p>
            <w:pPr>
              <w:pStyle w:val="TableText"/>
            </w:pPr>
            <w:r/>
            <w:r>
              <w:rPr>
                <w:b/>
              </w:rPr>
              <w:t>MOA</w:t>
            </w:r>
          </w:p>
        </w:tc>
        <w:tc>
          <w:tcPr>
            <w:tcW w:type="dxa" w:w="7597"/>
          </w:tcPr>
          <w:p>
            <w:pPr>
              <w:pStyle w:val="TableText"/>
            </w:pPr>
            <w:r/>
            <w:r>
              <w:t>Memorandum of agreement with a practicum site.</w:t>
            </w:r>
          </w:p>
        </w:tc>
      </w:tr>
      <w:tr>
        <w:trPr>
          <w:cantSplit w:val="true"/>
        </w:trPr>
        <w:tc>
          <w:tcPr>
            <w:tcW w:type="dxa" w:w="2041"/>
          </w:tcPr>
          <w:p>
            <w:pPr>
              <w:pStyle w:val="TableText"/>
            </w:pPr>
            <w:r/>
            <w:r>
              <w:rPr>
                <w:b/>
              </w:rPr>
              <w:t>Panel chair</w:t>
            </w:r>
          </w:p>
        </w:tc>
        <w:tc>
          <w:tcPr>
            <w:tcW w:type="dxa" w:w="7597"/>
          </w:tcPr>
          <w:p>
            <w:pPr>
              <w:pStyle w:val="TableText"/>
            </w:pPr>
            <w:r/>
            <w:r>
              <w:t>The university-affiliated panel member who hosts the defense and emails the consolidated forms.</w:t>
            </w:r>
          </w:p>
        </w:tc>
      </w:tr>
      <w:tr>
        <w:trPr>
          <w:cantSplit w:val="true"/>
        </w:trPr>
        <w:tc>
          <w:tcPr>
            <w:tcW w:type="dxa" w:w="2041"/>
          </w:tcPr>
          <w:p>
            <w:pPr>
              <w:pStyle w:val="TableText"/>
            </w:pPr>
            <w:r/>
            <w:r>
              <w:rPr>
                <w:b/>
              </w:rPr>
              <w:t>Project paper</w:t>
            </w:r>
          </w:p>
        </w:tc>
        <w:tc>
          <w:tcPr>
            <w:tcW w:type="dxa" w:w="7597"/>
          </w:tcPr>
          <w:p>
            <w:pPr>
              <w:pStyle w:val="TableText"/>
            </w:pPr>
            <w:r/>
            <w:r>
              <w:t>The final requirement of a non-thesis master's option (for example the MBA project paper).</w:t>
            </w:r>
          </w:p>
        </w:tc>
      </w:tr>
      <w:tr>
        <w:trPr>
          <w:cantSplit w:val="true"/>
        </w:trPr>
        <w:tc>
          <w:tcPr>
            <w:tcW w:type="dxa" w:w="2041"/>
          </w:tcPr>
          <w:p>
            <w:pPr>
              <w:pStyle w:val="TableText"/>
            </w:pPr>
            <w:r/>
            <w:r>
              <w:rPr>
                <w:b/>
              </w:rPr>
              <w:t>PEO</w:t>
            </w:r>
          </w:p>
        </w:tc>
        <w:tc>
          <w:tcPr>
            <w:tcW w:type="dxa" w:w="7597"/>
          </w:tcPr>
          <w:p>
            <w:pPr>
              <w:pStyle w:val="TableText"/>
            </w:pPr>
            <w:r/>
            <w:r>
              <w:t>Publication and Engagement Office.</w:t>
            </w:r>
          </w:p>
        </w:tc>
      </w:tr>
      <w:tr>
        <w:trPr>
          <w:cantSplit w:val="true"/>
        </w:trPr>
        <w:tc>
          <w:tcPr>
            <w:tcW w:type="dxa" w:w="2041"/>
          </w:tcPr>
          <w:p>
            <w:pPr>
              <w:pStyle w:val="TableText"/>
            </w:pPr>
            <w:r/>
            <w:r>
              <w:rPr>
                <w:b/>
              </w:rPr>
              <w:t>RC</w:t>
            </w:r>
          </w:p>
        </w:tc>
        <w:tc>
          <w:tcPr>
            <w:tcW w:type="dxa" w:w="7597"/>
          </w:tcPr>
          <w:p>
            <w:pPr>
              <w:pStyle w:val="TableText"/>
            </w:pPr>
            <w:r/>
            <w:r>
              <w:t>Research Coordinator.</w:t>
            </w:r>
          </w:p>
        </w:tc>
      </w:tr>
      <w:tr>
        <w:trPr>
          <w:cantSplit w:val="true"/>
        </w:trPr>
        <w:tc>
          <w:tcPr>
            <w:tcW w:type="dxa" w:w="2041"/>
          </w:tcPr>
          <w:p>
            <w:pPr>
              <w:pStyle w:val="TableText"/>
            </w:pPr>
            <w:r/>
            <w:r>
              <w:rPr>
                <w:b/>
              </w:rPr>
              <w:t>Residency enrollment</w:t>
            </w:r>
          </w:p>
        </w:tc>
        <w:tc>
          <w:tcPr>
            <w:tcW w:type="dxa" w:w="7597"/>
          </w:tcPr>
          <w:p>
            <w:pPr>
              <w:pStyle w:val="TableText"/>
            </w:pPr>
            <w:r/>
            <w:r>
              <w:t>Enrollment with no subjects, allowed only for thesis or dissertation writing, practicum or internship, completing an incomplete grade, the comprehensive examination, or waiting for a research publication.</w:t>
            </w:r>
          </w:p>
        </w:tc>
      </w:tr>
      <w:tr>
        <w:trPr>
          <w:cantSplit w:val="true"/>
        </w:trPr>
        <w:tc>
          <w:tcPr>
            <w:tcW w:type="dxa" w:w="2041"/>
          </w:tcPr>
          <w:p>
            <w:pPr>
              <w:pStyle w:val="TableText"/>
            </w:pPr>
            <w:r/>
            <w:r>
              <w:rPr>
                <w:b/>
              </w:rPr>
              <w:t>RERC / RERO / SRERO</w:t>
            </w:r>
          </w:p>
        </w:tc>
        <w:tc>
          <w:tcPr>
            <w:tcW w:type="dxa" w:w="7597"/>
          </w:tcPr>
          <w:p>
            <w:pPr>
              <w:pStyle w:val="TableText"/>
            </w:pPr>
            <w:r/>
            <w:r>
              <w:t>Research ethics committee and office. The Handbook uses Social Research Ethics Committee and Office; the Protocol uses RERC and RERO. Whether these are the same office is an open question.</w:t>
            </w:r>
          </w:p>
        </w:tc>
      </w:tr>
      <w:tr>
        <w:trPr>
          <w:cantSplit w:val="true"/>
        </w:trPr>
        <w:tc>
          <w:tcPr>
            <w:tcW w:type="dxa" w:w="2041"/>
          </w:tcPr>
          <w:p>
            <w:pPr>
              <w:pStyle w:val="TableText"/>
            </w:pPr>
            <w:r/>
            <w:r>
              <w:rPr>
                <w:b/>
              </w:rPr>
              <w:t>SIR</w:t>
            </w:r>
          </w:p>
        </w:tc>
        <w:tc>
          <w:tcPr>
            <w:tcW w:type="dxa" w:w="7597"/>
          </w:tcPr>
          <w:p>
            <w:pPr>
              <w:pStyle w:val="TableText"/>
            </w:pPr>
            <w:r/>
            <w:r>
              <w:t>Similarity index rating from Turnitin. Not more than 15% is required.</w:t>
            </w:r>
          </w:p>
        </w:tc>
      </w:tr>
      <w:tr>
        <w:trPr>
          <w:cantSplit w:val="true"/>
        </w:trPr>
        <w:tc>
          <w:tcPr>
            <w:tcW w:type="dxa" w:w="2041"/>
          </w:tcPr>
          <w:p>
            <w:pPr>
              <w:pStyle w:val="TableText"/>
            </w:pPr>
            <w:r/>
            <w:r>
              <w:rPr>
                <w:b/>
              </w:rPr>
              <w:t>Subject</w:t>
            </w:r>
          </w:p>
        </w:tc>
        <w:tc>
          <w:tcPr>
            <w:tcW w:type="dxa" w:w="7597"/>
          </w:tcPr>
          <w:p>
            <w:pPr>
              <w:pStyle w:val="TableText"/>
            </w:pPr>
            <w:r/>
            <w:r>
              <w:t>A course in the curriculum. A program is a degree.</w:t>
            </w:r>
          </w:p>
        </w:tc>
      </w:tr>
      <w:tr>
        <w:trPr>
          <w:cantSplit w:val="true"/>
        </w:trPr>
        <w:tc>
          <w:tcPr>
            <w:tcW w:type="dxa" w:w="2041"/>
          </w:tcPr>
          <w:p>
            <w:pPr>
              <w:pStyle w:val="TableText"/>
            </w:pPr>
            <w:r/>
            <w:r>
              <w:rPr>
                <w:b/>
              </w:rPr>
              <w:t>TOR</w:t>
            </w:r>
          </w:p>
        </w:tc>
        <w:tc>
          <w:tcPr>
            <w:tcW w:type="dxa" w:w="7597"/>
          </w:tcPr>
          <w:p>
            <w:pPr>
              <w:pStyle w:val="TableText"/>
            </w:pPr>
            <w:r/>
            <w:r>
              <w:t>Transcript of record.</w:t>
            </w:r>
          </w:p>
        </w:tc>
      </w:tr>
      <w:tr>
        <w:trPr>
          <w:cantSplit w:val="true"/>
        </w:trPr>
        <w:tc>
          <w:tcPr>
            <w:tcW w:type="dxa" w:w="2041"/>
          </w:tcPr>
          <w:p>
            <w:pPr>
              <w:pStyle w:val="TableText"/>
            </w:pPr>
            <w:r/>
            <w:r>
              <w:rPr>
                <w:b/>
              </w:rPr>
              <w:t>W</w:t>
            </w:r>
          </w:p>
        </w:tc>
        <w:tc>
          <w:tcPr>
            <w:tcW w:type="dxa" w:w="7597"/>
          </w:tcPr>
          <w:p>
            <w:pPr>
              <w:pStyle w:val="TableText"/>
            </w:pPr>
            <w:r/>
            <w:r>
              <w:t>Grade symbol for a withdrawn subject.</w:t>
            </w:r>
          </w:p>
        </w:tc>
      </w:tr>
      <w:tr>
        <w:trPr>
          <w:cantSplit w:val="true"/>
        </w:trPr>
        <w:tc>
          <w:tcPr>
            <w:tcW w:type="dxa" w:w="2041"/>
          </w:tcPr>
          <w:p>
            <w:pPr>
              <w:pStyle w:val="TableText"/>
            </w:pPr>
            <w:r/>
            <w:r>
              <w:rPr>
                <w:b/>
              </w:rPr>
              <w:t>AWOL</w:t>
            </w:r>
          </w:p>
        </w:tc>
        <w:tc>
          <w:tcPr>
            <w:tcW w:type="dxa" w:w="7597"/>
          </w:tcPr>
          <w:p>
            <w:pPr>
              <w:pStyle w:val="TableText"/>
            </w:pPr>
            <w:r/>
            <w:r>
              <w:t>Absent without leave: withdrawing from the University without a formal leave of absence.</w:t>
            </w:r>
          </w:p>
        </w:tc>
      </w:tr>
    </w:tbl>
    <w:p>
      <w:pPr>
        <w:spacing w:after="80" w:before="0"/>
      </w:pPr>
    </w:p>
    <w:sectPr w:rsidR="00FC693F" w:rsidRPr="0006063C" w:rsidSect="00034616">
      <w:headerReference w:type="default" r:id="rId9"/>
      <w:footerReference w:type="default" r:id="rId10"/>
      <w:pgSz w:w="11906" w:h="16838"/>
      <w:pgMar w:top="1304" w:right="1134" w:bottom="1191"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638" w:val="right"/>
      </w:tabs>
    </w:pPr>
    <w:r>
      <w:rPr>
        <w:sz w:val="17"/>
      </w:rPr>
    </w:r>
    <w:r>
      <w:rPr>
        <w:color w:val="595959"/>
        <w:sz w:val="17"/>
      </w:rPr>
      <w:t>Not an official USLS document until approved by the Graduate School</w:t>
    </w:r>
    <w:r>
      <w:rPr>
        <w:sz w:val="17"/>
      </w:rPr>
      <w:tab/>
      <w:t xml:space="preserve">Page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60</w:t>
    </w:r>
    <w:r>
      <w:rPr>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1F4E3D"/>
      </w:pBdr>
      <w:tabs>
        <w:tab w:val="clear" w:pos="4680"/>
        <w:tab w:val="clear" w:pos="9360"/>
        <w:tab w:pos="9638" w:val="right"/>
      </w:tabs>
    </w:pPr>
    <w:r/>
    <w:r>
      <w:rPr>
        <w:color w:val="595959"/>
        <w:sz w:val="17"/>
      </w:rPr>
      <w:t>USLS Graduate School Operations Manual</w:t>
    </w:r>
    <w:r>
      <w:rPr>
        <w:b/>
        <w:color w:val="C00000"/>
        <w:sz w:val="17"/>
      </w:rPr>
      <w:tab/>
      <w:t>DRAFT v0.2 for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Calibri" w:hAnsi="Calibri" w:eastAsia="Calibri" w:cs="Calibri"/>
      <w:b/>
      <w:bCs/>
      <w:i w:val="0"/>
      <w:color w:val="1F4E3D"/>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120" w:after="120"/>
      <w:outlineLvl w:val="1"/>
    </w:pPr>
    <w:rPr>
      <w:rFonts w:ascii="Calibri" w:hAnsi="Calibri" w:eastAsia="Calibri" w:cs="Calibri"/>
      <w:b/>
      <w:bCs/>
      <w:i w:val="0"/>
      <w:color w:val="1F4E3D"/>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Calibri" w:hAnsi="Calibri" w:eastAsia="Calibri" w:cs="Calibri"/>
      <w:b/>
      <w:bCs/>
      <w:i w:val="0"/>
      <w:color w:val="2E2E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basedOn w:val="Normal"/>
    <w:pPr>
      <w:spacing w:after="20" w:before="20" w:line="240" w:lineRule="auto"/>
    </w:pPr>
    <w:rPr>
      <w:sz w:val="16"/>
    </w:rPr>
  </w:style>
  <w:style w:type="paragraph" w:customStyle="1" w:styleId="TableHead">
    <w:name w:val="TableHead"/>
    <w:basedOn w:val="TableText"/>
    <w:rPr>
      <w:b/>
      <w:color w:val="FFFFFF"/>
    </w:rPr>
  </w:style>
  <w:style w:type="paragraph" w:customStyle="1" w:styleId="toc1">
    <w:name w:val="toc 1"/>
    <w:basedOn w:val="Normal"/>
    <w:pPr>
      <w:tabs>
        <w:tab w:pos="9638" w:val="right" w:leader="dot"/>
      </w:tabs>
      <w:spacing w:after="40"/>
      <w:ind w:left="0"/>
    </w:pPr>
    <w:rPr>
      <w:b/>
    </w:rPr>
  </w:style>
  <w:style w:type="paragraph" w:customStyle="1" w:styleId="toc2">
    <w:name w:val="toc 2"/>
    <w:basedOn w:val="Normal"/>
    <w:pPr>
      <w:tabs>
        <w:tab w:pos="9638" w:val="right" w:leader="dot"/>
      </w:tabs>
      <w:spacing w:after="40"/>
      <w:ind w:left="340"/>
    </w:pPr>
  </w:style>
  <w:style w:type="paragraph" w:customStyle="1" w:styleId="FrontHeading">
    <w:name w:val="FrontHeading"/>
    <w:basedOn w:val="Normal"/>
    <w:pPr>
      <w:keepNext/>
      <w:pageBreakBefore/>
      <w:spacing w:after="200"/>
    </w:pPr>
    <w:rPr>
      <w:b/>
      <w:color w:val="1F4E3D"/>
      <w:sz w:val="36"/>
    </w:rPr>
  </w:style>
  <w:style w:type="paragraph" w:customStyle="1" w:styleId="CoverTitle">
    <w:name w:val="CoverTitle"/>
    <w:basedOn w:val="Normal"/>
    <w:pPr>
      <w:spacing w:after="160"/>
    </w:pPr>
    <w:rPr>
      <w:b/>
      <w:color w:val="1F4E3D"/>
      <w:sz w:val="56"/>
    </w:rPr>
  </w:style>
  <w:style w:type="paragraph" w:customStyle="1" w:styleId="CoverSub">
    <w:name w:val="CoverSub"/>
    <w:basedOn w:val="Normal"/>
    <w:rPr>
      <w:color w:val="595959"/>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St. La Salle Graduate School Operations Manual (DRAFT v0.2 for validation)</dc:title>
  <dc:subject>Operations manual draft for validation by the Graduate School</dc:subject>
  <dc:creator>Capstone group CAP-IT1</dc:creator>
  <cp:keywords>USLS, Graduate School, operations manual, business rules, draft</cp:keywords>
  <dc:description>DRAFT v0.2 — prepared by the capstone group for validation by the Graduate School; not an official USLS document until approved</dc:description>
  <cp:lastModifiedBy/>
  <cp:revision>1</cp:revision>
  <dcterms:created xsi:type="dcterms:W3CDTF">2013-12-23T23:15:00Z</dcterms:created>
  <dcterms:modified xsi:type="dcterms:W3CDTF">2013-12-23T23:15:00Z</dcterms:modified>
  <cp:category/>
</cp:coreProperties>
</file>