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34C">
      <w:pPr>
        <w:pStyle w:val="Heading2"/>
        <w:spacing w:after="240" w:before="240" w:lineRule="auto"/>
        <w:rPr/>
      </w:pPr>
      <w:bookmarkStart w:colFirst="0" w:colLast="0" w:name="_bilp45s7roeb" w:id="200"/>
      <w:bookmarkEnd w:id="200"/>
      <w:r w:rsidDel="00000000" w:rsidR="00000000" w:rsidRPr="00000000">
        <w:rPr>
          <w:rtl w:val="0"/>
        </w:rPr>
        <w:t xml:space="preserve">Appendix E.</w:t>
      </w:r>
      <w:r w:rsidDel="00000000" w:rsidR="00000000" w:rsidRPr="00000000">
        <w:rPr>
          <w:rtl w:val="0"/>
        </w:rPr>
        <w:t xml:space="preserve"> Key Performance Indicators (KPIs) of the Conceptual Framework</w:t>
      </w:r>
    </w:p>
    <w:p w:rsidR="00000000" w:rsidDel="00000000" w:rsidP="00000000" w:rsidRDefault="00000000" w:rsidRPr="00000000" w14:paraId="0000134D">
      <w:pPr>
        <w:pStyle w:val="Heading2"/>
        <w:spacing w:after="240" w:before="240" w:lineRule="auto"/>
        <w:rPr>
          <w:i w:val="1"/>
          <w:iCs w:val="1"/>
        </w:rPr>
      </w:pPr>
      <w:bookmarkStart w:colFirst="0" w:colLast="0" w:name="_n13mfjjauvwm" w:id="201"/>
      <w:bookmarkEnd w:id="201"/>
      <w:r w:rsidDel="00000000" w:rsidR="00000000" w:rsidRPr="00000000">
        <w:rPr>
          <w:rtl w:val="0"/>
        </w:rPr>
        <w:t xml:space="preserve">Appendix E.</w:t>
      </w:r>
      <w:r w:rsidDel="00000000" w:rsidR="00000000" w:rsidRPr="00000000">
        <w:rPr>
          <w:rtl w:val="0"/>
        </w:rPr>
        <w:t xml:space="preserve">1. User and Access Management KPI</w:t>
      </w:r>
      <w:r w:rsidDel="00000000" w:rsidR="00000000" w:rsidRPr="00000000">
        <w:rPr>
          <w:rtl w:val="0"/>
        </w:rPr>
      </w:r>
    </w:p>
    <w:tbl>
      <w:tblPr>
        <w:tblStyle w:val="Table59"/>
        <w:tblW w:w="7905.0" w:type="dxa"/>
        <w:jc w:val="left"/>
        <w:tblInd w:w="14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1530"/>
        <w:gridCol w:w="2910"/>
        <w:gridCol w:w="1635"/>
        <w:tblGridChange w:id="0">
          <w:tblGrid>
            <w:gridCol w:w="1830"/>
            <w:gridCol w:w="1530"/>
            <w:gridCol w:w="2910"/>
            <w:gridCol w:w="163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KPI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4F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Target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Measurement Method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Reporting Frequency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5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Access control enforcement 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53">
            <w:pPr>
              <w:spacing w:after="48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100%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pass for all defined role-permission test cases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5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(Passed role-permission test cases ÷ Total defined role-permission test cases) × 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5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Every test cycle</w:t>
            </w:r>
          </w:p>
        </w:tc>
      </w:tr>
    </w:tbl>
    <w:p w:rsidR="00000000" w:rsidDel="00000000" w:rsidP="00000000" w:rsidRDefault="00000000" w:rsidRPr="00000000" w14:paraId="00001356">
      <w:pPr>
        <w:pStyle w:val="Heading2"/>
        <w:spacing w:after="240" w:before="240" w:lineRule="auto"/>
        <w:rPr>
          <w:i w:val="1"/>
          <w:iCs w:val="1"/>
        </w:rPr>
      </w:pPr>
      <w:bookmarkStart w:colFirst="0" w:colLast="0" w:name="_hn6his74pvdw" w:id="202"/>
      <w:bookmarkEnd w:id="202"/>
      <w:r w:rsidDel="00000000" w:rsidR="00000000" w:rsidRPr="00000000">
        <w:rPr>
          <w:rtl w:val="0"/>
        </w:rPr>
        <w:t xml:space="preserve">Appendix E.</w:t>
      </w:r>
      <w:r w:rsidDel="00000000" w:rsidR="00000000" w:rsidRPr="00000000">
        <w:rPr>
          <w:rtl w:val="0"/>
        </w:rPr>
        <w:t xml:space="preserve">2. Audit Trail and Accountability KPI</w:t>
      </w:r>
      <w:r w:rsidDel="00000000" w:rsidR="00000000" w:rsidRPr="00000000">
        <w:rPr>
          <w:rtl w:val="0"/>
        </w:rPr>
      </w:r>
    </w:p>
    <w:tbl>
      <w:tblPr>
        <w:tblStyle w:val="Table60"/>
        <w:tblW w:w="7905.0" w:type="dxa"/>
        <w:jc w:val="left"/>
        <w:tblInd w:w="14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1545"/>
        <w:gridCol w:w="2910"/>
        <w:gridCol w:w="1635"/>
        <w:tblGridChange w:id="0">
          <w:tblGrid>
            <w:gridCol w:w="1815"/>
            <w:gridCol w:w="1545"/>
            <w:gridCol w:w="2910"/>
            <w:gridCol w:w="163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KPI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58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Target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Measurement Method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Reporting Frequency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5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Audit event coverage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5C">
            <w:pPr>
              <w:spacing w:after="48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100%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of defined auditable actions create timestamped log entries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5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(Auditable actions with valid timestamped logs ÷ Total defined auditable actions tested) × 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5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Every test cycle</w:t>
            </w:r>
          </w:p>
        </w:tc>
      </w:tr>
    </w:tbl>
    <w:p w:rsidR="00000000" w:rsidDel="00000000" w:rsidP="00000000" w:rsidRDefault="00000000" w:rsidRPr="00000000" w14:paraId="0000135F">
      <w:pPr>
        <w:pStyle w:val="Heading2"/>
        <w:spacing w:after="240" w:before="240" w:lineRule="auto"/>
        <w:rPr>
          <w:i w:val="1"/>
          <w:iCs w:val="1"/>
        </w:rPr>
      </w:pPr>
      <w:bookmarkStart w:colFirst="0" w:colLast="0" w:name="_u95di13ainah" w:id="203"/>
      <w:bookmarkEnd w:id="203"/>
      <w:r w:rsidDel="00000000" w:rsidR="00000000" w:rsidRPr="00000000">
        <w:rPr>
          <w:rtl w:val="0"/>
        </w:rPr>
        <w:t xml:space="preserve">Appendix E.</w:t>
      </w:r>
      <w:r w:rsidDel="00000000" w:rsidR="00000000" w:rsidRPr="00000000">
        <w:rPr>
          <w:rtl w:val="0"/>
        </w:rPr>
        <w:t xml:space="preserve">3. Student Progress Management KPI</w:t>
      </w:r>
      <w:r w:rsidDel="00000000" w:rsidR="00000000" w:rsidRPr="00000000">
        <w:rPr>
          <w:rtl w:val="0"/>
        </w:rPr>
      </w:r>
    </w:p>
    <w:tbl>
      <w:tblPr>
        <w:tblStyle w:val="Table61"/>
        <w:tblW w:w="7905.0" w:type="dxa"/>
        <w:jc w:val="left"/>
        <w:tblInd w:w="14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1545"/>
        <w:gridCol w:w="2910"/>
        <w:gridCol w:w="1635"/>
        <w:tblGridChange w:id="0">
          <w:tblGrid>
            <w:gridCol w:w="1815"/>
            <w:gridCol w:w="1545"/>
            <w:gridCol w:w="2910"/>
            <w:gridCol w:w="163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KPI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61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Target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Measurement Method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Reporting Frequency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6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Required monitoring field completion 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65">
            <w:pPr>
              <w:spacing w:after="48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100%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 active prototype records have all required monitoring fields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6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(Active prototype records with all required monitoring fields ÷ Total active prototype records) × 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6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Every academic term</w:t>
            </w:r>
          </w:p>
        </w:tc>
      </w:tr>
    </w:tbl>
    <w:p w:rsidR="00000000" w:rsidDel="00000000" w:rsidP="00000000" w:rsidRDefault="00000000" w:rsidRPr="00000000" w14:paraId="00001368">
      <w:pPr>
        <w:pStyle w:val="Heading2"/>
        <w:spacing w:after="240" w:before="240" w:lineRule="auto"/>
        <w:rPr/>
      </w:pPr>
      <w:bookmarkStart w:colFirst="0" w:colLast="0" w:name="_la9751d2zo71" w:id="204"/>
      <w:bookmarkEnd w:id="204"/>
      <w:r w:rsidDel="00000000" w:rsidR="00000000" w:rsidRPr="00000000">
        <w:rPr>
          <w:rtl w:val="0"/>
        </w:rPr>
        <w:t xml:space="preserve">Appendix E.</w:t>
      </w:r>
      <w:r w:rsidDel="00000000" w:rsidR="00000000" w:rsidRPr="00000000">
        <w:rPr>
          <w:rtl w:val="0"/>
        </w:rPr>
        <w:t xml:space="preserve">4. Case Status and Action Tracking KPI</w:t>
      </w:r>
    </w:p>
    <w:p w:rsidR="00000000" w:rsidDel="00000000" w:rsidP="00000000" w:rsidRDefault="00000000" w:rsidRPr="00000000" w14:paraId="00001369">
      <w:pPr>
        <w:spacing w:after="240" w:before="240" w:line="360" w:lineRule="auto"/>
        <w:ind w:left="144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62"/>
        <w:tblW w:w="7905.0" w:type="dxa"/>
        <w:jc w:val="left"/>
        <w:tblInd w:w="14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1590"/>
        <w:gridCol w:w="2910"/>
        <w:gridCol w:w="1635"/>
        <w:tblGridChange w:id="0">
          <w:tblGrid>
            <w:gridCol w:w="1770"/>
            <w:gridCol w:w="1590"/>
            <w:gridCol w:w="2910"/>
            <w:gridCol w:w="1635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KPI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6B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Target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Measurement Method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Reporting Frequency</w:t>
            </w:r>
          </w:p>
        </w:tc>
      </w:tr>
      <w:tr>
        <w:trPr>
          <w:cantSplit w:val="0"/>
          <w:trHeight w:val="1587.32843584217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6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Next-action ownership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6F">
            <w:pPr>
              <w:spacing w:after="48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100%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of active in-scope cases have an assigned next-action owner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7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(Active in-scope cases with assigned next-action owner ÷ Total active in-scope cases) × 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7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Weekly</w:t>
            </w:r>
          </w:p>
        </w:tc>
      </w:tr>
    </w:tbl>
    <w:p w:rsidR="00000000" w:rsidDel="00000000" w:rsidP="00000000" w:rsidRDefault="00000000" w:rsidRPr="00000000" w14:paraId="00001372">
      <w:pPr>
        <w:pStyle w:val="Heading2"/>
        <w:spacing w:after="240" w:before="240" w:lineRule="auto"/>
        <w:rPr>
          <w:i w:val="1"/>
          <w:iCs w:val="1"/>
        </w:rPr>
      </w:pPr>
      <w:bookmarkStart w:colFirst="0" w:colLast="0" w:name="_ww24t075o9lu" w:id="205"/>
      <w:bookmarkEnd w:id="205"/>
      <w:r w:rsidDel="00000000" w:rsidR="00000000" w:rsidRPr="00000000">
        <w:rPr>
          <w:rtl w:val="0"/>
        </w:rPr>
        <w:t xml:space="preserve">Appendix E.</w:t>
      </w:r>
      <w:r w:rsidDel="00000000" w:rsidR="00000000" w:rsidRPr="00000000">
        <w:rPr>
          <w:rtl w:val="0"/>
        </w:rPr>
        <w:t xml:space="preserve">5.  Defense Scheduling Management KPI</w:t>
      </w:r>
      <w:r w:rsidDel="00000000" w:rsidR="00000000" w:rsidRPr="00000000">
        <w:rPr>
          <w:rtl w:val="0"/>
        </w:rPr>
      </w:r>
    </w:p>
    <w:tbl>
      <w:tblPr>
        <w:tblStyle w:val="Table63"/>
        <w:tblW w:w="7890.0" w:type="dxa"/>
        <w:jc w:val="left"/>
        <w:tblInd w:w="14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1605"/>
        <w:gridCol w:w="2910"/>
        <w:gridCol w:w="1620"/>
        <w:tblGridChange w:id="0">
          <w:tblGrid>
            <w:gridCol w:w="1755"/>
            <w:gridCol w:w="1605"/>
            <w:gridCol w:w="2910"/>
            <w:gridCol w:w="1620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KPI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74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Target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Measurement Method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Reporting Frequency</w:t>
            </w:r>
          </w:p>
        </w:tc>
      </w:tr>
      <w:tr>
        <w:trPr>
          <w:cantSplit w:val="0"/>
          <w:trHeight w:val="1587.32843584217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7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Scheduling record completeness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78">
            <w:pPr>
              <w:spacing w:after="48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≥ 90%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of scheduling cases have both request and outcome timestamps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7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(Scheduling cases with complete request and outcome timestamps ÷ Total scheduling cases) × 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7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 defense cycle</w:t>
            </w:r>
          </w:p>
        </w:tc>
      </w:tr>
    </w:tbl>
    <w:p w:rsidR="00000000" w:rsidDel="00000000" w:rsidP="00000000" w:rsidRDefault="00000000" w:rsidRPr="00000000" w14:paraId="0000137B">
      <w:pPr>
        <w:pStyle w:val="Heading2"/>
        <w:spacing w:after="240" w:before="240" w:lineRule="auto"/>
        <w:rPr>
          <w:b w:val="0"/>
          <w:bCs w:val="0"/>
          <w:i w:val="1"/>
          <w:iCs w:val="1"/>
          <w:sz w:val="22"/>
          <w:szCs w:val="22"/>
        </w:rPr>
      </w:pPr>
      <w:bookmarkStart w:colFirst="0" w:colLast="0" w:name="_ggt80cwzojie" w:id="206"/>
      <w:bookmarkEnd w:id="206"/>
      <w:r w:rsidDel="00000000" w:rsidR="00000000" w:rsidRPr="00000000">
        <w:rPr>
          <w:rtl w:val="0"/>
        </w:rPr>
        <w:t xml:space="preserve">Appendix E.</w:t>
      </w:r>
      <w:r w:rsidDel="00000000" w:rsidR="00000000" w:rsidRPr="00000000">
        <w:rPr>
          <w:rtl w:val="0"/>
        </w:rPr>
        <w:t xml:space="preserve">6. Case Monitoring and Follow-Up KPI</w:t>
      </w:r>
      <w:r w:rsidDel="00000000" w:rsidR="00000000" w:rsidRPr="00000000">
        <w:rPr>
          <w:rtl w:val="0"/>
        </w:rPr>
      </w:r>
    </w:p>
    <w:tbl>
      <w:tblPr>
        <w:tblStyle w:val="Table64"/>
        <w:tblW w:w="7905.0" w:type="dxa"/>
        <w:jc w:val="left"/>
        <w:tblInd w:w="14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1635"/>
        <w:gridCol w:w="2910"/>
        <w:gridCol w:w="1635"/>
        <w:tblGridChange w:id="0">
          <w:tblGrid>
            <w:gridCol w:w="1725"/>
            <w:gridCol w:w="1635"/>
            <w:gridCol w:w="2910"/>
            <w:gridCol w:w="1635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KPI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7D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Target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Measurement Method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Reporting Frequency</w:t>
            </w:r>
          </w:p>
        </w:tc>
      </w:tr>
      <w:tr>
        <w:trPr>
          <w:cantSplit w:val="0"/>
          <w:trHeight w:val="1587.32843584217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8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Follow-up closure logging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81">
            <w:pPr>
              <w:spacing w:after="48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≥ 90%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of flagged cases have a recorded follow-up action and closure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8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(Flagged cases with recorded follow-up and closure status ÷ Total flagged cases) × 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8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Monthly</w:t>
            </w:r>
          </w:p>
        </w:tc>
      </w:tr>
    </w:tbl>
    <w:p w:rsidR="00000000" w:rsidDel="00000000" w:rsidP="00000000" w:rsidRDefault="00000000" w:rsidRPr="00000000" w14:paraId="00001384">
      <w:pPr>
        <w:pStyle w:val="Heading2"/>
        <w:spacing w:after="240" w:before="240" w:lineRule="auto"/>
        <w:rPr>
          <w:i w:val="1"/>
          <w:iCs w:val="1"/>
        </w:rPr>
      </w:pPr>
      <w:bookmarkStart w:colFirst="0" w:colLast="0" w:name="_9ug9ej8uswle" w:id="207"/>
      <w:bookmarkEnd w:id="207"/>
      <w:r w:rsidDel="00000000" w:rsidR="00000000" w:rsidRPr="00000000">
        <w:rPr>
          <w:rtl w:val="0"/>
        </w:rPr>
        <w:t xml:space="preserve">Appendix E.</w:t>
      </w:r>
      <w:r w:rsidDel="00000000" w:rsidR="00000000" w:rsidRPr="00000000">
        <w:rPr>
          <w:rtl w:val="0"/>
        </w:rPr>
        <w:t xml:space="preserve">7.Analytics and Decision Support KPI</w:t>
      </w:r>
      <w:r w:rsidDel="00000000" w:rsidR="00000000" w:rsidRPr="00000000">
        <w:rPr>
          <w:rtl w:val="0"/>
        </w:rPr>
      </w:r>
    </w:p>
    <w:tbl>
      <w:tblPr>
        <w:tblStyle w:val="Table65"/>
        <w:tblW w:w="7905.0" w:type="dxa"/>
        <w:jc w:val="left"/>
        <w:tblInd w:w="14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1635"/>
        <w:gridCol w:w="2910"/>
        <w:gridCol w:w="1635"/>
        <w:tblGridChange w:id="0">
          <w:tblGrid>
            <w:gridCol w:w="1725"/>
            <w:gridCol w:w="1635"/>
            <w:gridCol w:w="2910"/>
            <w:gridCol w:w="1635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KPI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86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Target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Measurement Method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Reporting Frequency</w:t>
            </w:r>
          </w:p>
        </w:tc>
      </w:tr>
      <w:tr>
        <w:trPr>
          <w:cantSplit w:val="0"/>
          <w:trHeight w:val="1587.32843584217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8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Follow-up closure logging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8A">
            <w:pPr>
              <w:spacing w:after="48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≥ 90%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of flagged cases have a recorded follow-up action and closure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8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(Flagged cases with recorded follow-up and closure status ÷ Total flagged cases) × 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8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Monthly</w:t>
            </w:r>
          </w:p>
        </w:tc>
      </w:tr>
    </w:tbl>
    <w:p w:rsidR="00000000" w:rsidDel="00000000" w:rsidP="00000000" w:rsidRDefault="00000000" w:rsidRPr="00000000" w14:paraId="0000138D">
      <w:pPr>
        <w:pStyle w:val="Heading2"/>
        <w:spacing w:after="240" w:before="240" w:lineRule="auto"/>
        <w:rPr>
          <w:b w:val="0"/>
          <w:bCs w:val="0"/>
          <w:i w:val="1"/>
          <w:iCs w:val="1"/>
        </w:rPr>
      </w:pPr>
      <w:bookmarkStart w:colFirst="0" w:colLast="0" w:name="_urgp1nw2ok3d" w:id="208"/>
      <w:bookmarkEnd w:id="208"/>
      <w:r w:rsidDel="00000000" w:rsidR="00000000" w:rsidRPr="00000000">
        <w:rPr>
          <w:rtl w:val="0"/>
        </w:rPr>
        <w:t xml:space="preserve">Appendix E.</w:t>
      </w: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rtl w:val="0"/>
        </w:rPr>
        <w:t xml:space="preserve"> RAG-Based Decision Support Assistant KPI</w:t>
      </w:r>
      <w:r w:rsidDel="00000000" w:rsidR="00000000" w:rsidRPr="00000000">
        <w:rPr>
          <w:rtl w:val="0"/>
        </w:rPr>
      </w:r>
    </w:p>
    <w:tbl>
      <w:tblPr>
        <w:tblStyle w:val="Table66"/>
        <w:tblW w:w="7755.0" w:type="dxa"/>
        <w:jc w:val="left"/>
        <w:tblInd w:w="14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1620"/>
        <w:gridCol w:w="2940"/>
        <w:gridCol w:w="1470"/>
        <w:tblGridChange w:id="0">
          <w:tblGrid>
            <w:gridCol w:w="1725"/>
            <w:gridCol w:w="1620"/>
            <w:gridCol w:w="2940"/>
            <w:gridCol w:w="1470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KPI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8F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Target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Measurement Method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Reporting Frequency</w:t>
            </w:r>
          </w:p>
        </w:tc>
      </w:tr>
      <w:tr>
        <w:trPr>
          <w:cantSplit w:val="0"/>
          <w:trHeight w:val="1587.32843584217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9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Policy-grounded response match rate for decision-support outputs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93">
            <w:pPr>
              <w:spacing w:after="48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100%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match on the defined prototype rule and reference test set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9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(Decision-support outputs that correctly match the approved rule and retrieved reference test set ÷ Total rule-based test cases) × 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9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Every test cycle</w:t>
            </w:r>
          </w:p>
        </w:tc>
      </w:tr>
    </w:tbl>
    <w:p w:rsidR="00000000" w:rsidDel="00000000" w:rsidP="00000000" w:rsidRDefault="00000000" w:rsidRPr="00000000" w14:paraId="00001396">
      <w:pPr>
        <w:pStyle w:val="Heading2"/>
        <w:spacing w:after="240" w:before="240" w:lineRule="auto"/>
        <w:rPr>
          <w:i w:val="1"/>
          <w:iCs w:val="1"/>
        </w:rPr>
      </w:pPr>
      <w:bookmarkStart w:colFirst="0" w:colLast="0" w:name="_xiizcl2nxwe6" w:id="209"/>
      <w:bookmarkEnd w:id="209"/>
      <w:r w:rsidDel="00000000" w:rsidR="00000000" w:rsidRPr="00000000">
        <w:rPr>
          <w:rtl w:val="0"/>
        </w:rPr>
        <w:t xml:space="preserve">Appendix E.</w:t>
      </w:r>
      <w:r w:rsidDel="00000000" w:rsidR="00000000" w:rsidRPr="00000000">
        <w:rPr>
          <w:rtl w:val="0"/>
        </w:rPr>
        <w:t xml:space="preserve">9. Reporting and Dashboards KPI</w:t>
      </w:r>
      <w:r w:rsidDel="00000000" w:rsidR="00000000" w:rsidRPr="00000000">
        <w:rPr>
          <w:rtl w:val="0"/>
        </w:rPr>
      </w:r>
    </w:p>
    <w:tbl>
      <w:tblPr>
        <w:tblStyle w:val="Table67"/>
        <w:tblW w:w="7905.0" w:type="dxa"/>
        <w:jc w:val="left"/>
        <w:tblInd w:w="14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1635"/>
        <w:gridCol w:w="2910"/>
        <w:gridCol w:w="1635"/>
        <w:tblGridChange w:id="0">
          <w:tblGrid>
            <w:gridCol w:w="1725"/>
            <w:gridCol w:w="1635"/>
            <w:gridCol w:w="2910"/>
            <w:gridCol w:w="1635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KPI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98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Target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Measurement Method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Reporting Frequency</w:t>
            </w:r>
          </w:p>
        </w:tc>
      </w:tr>
      <w:tr>
        <w:trPr>
          <w:cantSplit w:val="0"/>
          <w:trHeight w:val="1587.32843584217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9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Required report availability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9C">
            <w:pPr>
              <w:spacing w:after="48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100%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of the agreed report set is available in the prototype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9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(Available agreed reports ÷ Total agreed report set) × 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9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Every academic term</w:t>
            </w:r>
          </w:p>
        </w:tc>
      </w:tr>
    </w:tbl>
    <w:sectPr>
      <w:headerReference r:id="rId103" w:type="default"/>
      <w:headerReference r:id="rId104" w:type="first"/>
      <w:footerReference r:id="rId105" w:type="default"/>
      <w:footerReference r:id="rId10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yrine Rena Princess Tumbaga" w:id="9" w:date="2026-03-16T05:41:07Z"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0" w:date="2026-03-25T03:24:16Z"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7" w:date="2026-03-16T05:39:59Z"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8" w:date="2026-03-25T03:24:12Z"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1" w:date="2026-03-16T05:44:52Z"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2" w:date="2026-03-25T03:24:21Z"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3" w:date="2026-03-16T05:44:52Z"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4" w:date="2026-03-25T03:24:21Z"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5" w:date="2026-03-16T05:44:46Z"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6" w:date="2026-03-25T03:24:31Z"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1" w:date="2026-03-16T05:48:14Z"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22" w:date="2026-03-25T03:24:56Z"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iguel Joaquin Sanson" w:id="25" w:date="2026-03-15T16:28:23Z"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lack a specific concept to relate to</w:t>
      </w:r>
    </w:p>
  </w:comment>
  <w:comment w:author="Myrine Rena Princess Tumbaga" w:id="17" w:date="2026-03-22T11:58:29Z"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 based on comment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decisions are made and what data are needed to make decisions that would require data analytics.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decisions are questions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 to enumerate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why you need analytics not reports</w:t>
      </w:r>
    </w:p>
  </w:comment>
  <w:comment w:author="Miguel Joaquin Sanson" w:id="18" w:date="2026-03-25T03:24:39Z"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0" w:date="2026-03-20T11:33:29Z"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explaining the concept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- what kind of solution it is (web portal/gateway etc.)</w:t>
      </w:r>
    </w:p>
  </w:comment>
  <w:comment w:author="Miguel Joaquin Sanson" w:id="1" w:date="2026-03-25T03:23:01Z"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4" w:date="2026-03-25T07:34:51Z"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this been updated to match the problems in ishikawa</w:t>
      </w:r>
    </w:p>
  </w:comment>
  <w:comment w:author="Khloe Cassandra Osena" w:id="5" w:date="2026-03-25T07:34:58Z"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@myrine_tumbaga@dlsu.edu.ph</w:t>
      </w:r>
    </w:p>
  </w:comment>
  <w:comment w:author="Myrine Rena Princess Tumbaga" w:id="6" w:date="2026-03-25T11:11:59Z"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</w:t>
      </w:r>
    </w:p>
  </w:comment>
  <w:comment w:author="Myrine Rena Princess Tumbaga" w:id="19" w:date="2026-03-20T11:47:50Z"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updated, mentioned it is an opportunity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add specifics (explained in design architecture)</w:t>
      </w:r>
    </w:p>
  </w:comment>
  <w:comment w:author="Miguel Joaquin Sanson" w:id="20" w:date="2026-03-25T03:24:43Z"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3" w:date="2026-03-20T12:00:08Z"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to match final modules</w:t>
      </w:r>
    </w:p>
  </w:comment>
  <w:comment w:author="Miguel Joaquin Sanson" w:id="24" w:date="2026-03-25T03:26:24Z"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7" w:date="2026-03-16T04:46:30Z"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just added this</w:t>
      </w:r>
    </w:p>
  </w:comment>
  <w:comment w:author="Myrine Rena Princess Tumbaga" w:id="28" w:date="2026-03-16T08:17:59Z"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specific</w:t>
      </w:r>
    </w:p>
  </w:comment>
  <w:comment w:author="Khloe Cassandra Osena" w:id="29" w:date="2026-03-25T10:14:19Z"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openai correct</w:t>
      </w:r>
    </w:p>
  </w:comment>
  <w:comment w:author="Khloe Cassandra Osena" w:id="31" w:date="2026-03-15T08:29:37Z"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2" w:date="2026-03-25T10:13:19Z"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correct</w:t>
      </w:r>
    </w:p>
  </w:comment>
  <w:comment w:author="Natalie Mendoza" w:id="2" w:date="2026-03-24T10:59:43Z"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(w sir oli revisions)</w:t>
      </w:r>
    </w:p>
  </w:comment>
  <w:comment w:author="Miguel Joaquin Sanson" w:id="3" w:date="2026-03-25T03:24:03Z"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6" w:date="2026-03-15T08:13:41Z"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0" w:date="2026-03-15T08:29:07Z"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8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6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87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DE7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9">
    <w:pPr>
      <w:spacing w:line="240" w:lineRule="auto"/>
      <w:rPr/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32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06" Type="http://schemas.openxmlformats.org/officeDocument/2006/relationships/footer" Target="footer2.xml"/><Relationship Id="rId105" Type="http://schemas.openxmlformats.org/officeDocument/2006/relationships/footer" Target="footer1.xml"/><Relationship Id="rId104" Type="http://schemas.openxmlformats.org/officeDocument/2006/relationships/header" Target="header2.xml"/><Relationship Id="rId103" Type="http://schemas.openxmlformats.org/officeDocument/2006/relationships/header" Target="header1.xml"/><Relationship Id="rId91" Type="http://schemas.openxmlformats.org/officeDocument/2006/relationships/hyperlink" Target="https://doi.org/10.1371/journal.pone.0242334" TargetMode="External"/><Relationship Id="rId93" Type="http://schemas.openxmlformats.org/officeDocument/2006/relationships/hyperlink" Target="https://doi.org/10.3390/educsci14030292" TargetMode="External"/><Relationship Id="rId92" Type="http://schemas.openxmlformats.org/officeDocument/2006/relationships/hyperlink" Target="https://expressjs.com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CAP-2237 CAP1 Appendix E: Appendix E. Key Performance Indicators (KPIs) of the Conceptual Framework</dc:title>
  <cp:lastModifiedBy>python-docx</cp:lastModifiedBy>
  <cp:revision>1</cp:revision>
  <dcterms:modified xsi:type="dcterms:W3CDTF">2026-07-27T18:37:51Z</dcterms:modified>
  <dc:subject>CAP-2237 CAP1 submission</dc:subject>
</cp:coreProperties>
</file>