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4E0">
      <w:pPr>
        <w:pStyle w:val="Heading3"/>
        <w:spacing w:after="240" w:before="240" w:lineRule="auto"/>
        <w:rPr/>
      </w:pPr>
      <w:bookmarkStart w:colFirst="0" w:colLast="0" w:name="_66hsjkd3uulh" w:id="223"/>
      <w:bookmarkEnd w:id="223"/>
      <w:r w:rsidDel="00000000" w:rsidR="00000000" w:rsidRPr="00000000">
        <w:rPr>
          <w:rtl w:val="0"/>
        </w:rPr>
        <w:t xml:space="preserve">Appendix L. Non-Functional Requirements</w:t>
      </w:r>
      <w:r w:rsidDel="00000000" w:rsidR="00000000" w:rsidRPr="00000000">
        <w:rPr>
          <w:rtl w:val="0"/>
        </w:rPr>
      </w:r>
    </w:p>
    <w:tbl>
      <w:tblPr>
        <w:tblStyle w:val="Table73"/>
        <w:tblW w:w="8610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6900"/>
        <w:tblGridChange w:id="0">
          <w:tblGrid>
            <w:gridCol w:w="171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 role-based access control, strong authentication, secure session handling, and controlled privileges for higher-level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 access to sensitive evaluation records, log access where needed, and handle data according to approved privacy boundaries (Datu, 2022).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append-only logs for key actions such as submissions, decisions, approvals, routing, and definition changes. Each log entry must show the actor, timestamp, and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role-based dashboards and task queues, clear status labels, low encoding effort for staff, and consistent terms across modules.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data checks, validate required fields, support backup and recovery, and generate consistent timestamps for monitoring and reporting.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milestone definitions, checklists, and workflow rules to be updated where possible without changing code, while keeping a controlled change process with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dashboard queries responsive, support efficient search and filtering, and handle document and log storage in a manageable way.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export of reports and structured datasets. Allow integration or data exchange with institutional systems only where permitted by ownership and privacy rules.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L: Appendix L. Non-Functional Requirements</dc:title>
  <cp:lastModifiedBy>python-docx</cp:lastModifiedBy>
  <cp:revision>1</cp:revision>
  <dcterms:modified xsi:type="dcterms:W3CDTF">2026-07-27T18:38:11Z</dcterms:modified>
  <dc:subject>CAP-2237 CAP1 submission</dc:subject>
</cp:coreProperties>
</file>