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609">
      <w:pPr>
        <w:pStyle w:val="Heading2"/>
        <w:spacing w:after="240" w:before="240" w:lineRule="auto"/>
        <w:rPr/>
      </w:pPr>
      <w:bookmarkStart w:colFirst="0" w:colLast="0" w:name="_hu5dln8hks3" w:id="243"/>
      <w:bookmarkEnd w:id="243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S.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ost table for on-site  premises</w:t>
      </w:r>
      <w:r w:rsidDel="00000000" w:rsidR="00000000" w:rsidRPr="00000000">
        <w:rPr>
          <w:rtl w:val="0"/>
        </w:rPr>
      </w:r>
    </w:p>
    <w:tbl>
      <w:tblPr>
        <w:tblStyle w:val="Table78"/>
        <w:tblpPr w:leftFromText="180" w:rightFromText="180" w:topFromText="180" w:bottomFromText="180" w:vertAnchor="text" w:horzAnchor="text" w:tblpX="1455" w:tblpY="13.76220703125"/>
        <w:tblW w:w="798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125"/>
        <w:gridCol w:w="1110"/>
        <w:gridCol w:w="1515"/>
        <w:gridCol w:w="2475"/>
        <w:tblGridChange w:id="0">
          <w:tblGrid>
            <w:gridCol w:w="1755"/>
            <w:gridCol w:w="1125"/>
            <w:gridCol w:w="1110"/>
            <w:gridCol w:w="1515"/>
            <w:gridCol w:w="2475"/>
          </w:tblGrid>
        </w:tblGridChange>
      </w:tblGrid>
      <w:tr>
        <w:trPr>
          <w:cantSplit w:val="0"/>
          <w:trHeight w:val="581.953125" w:hRule="atLeast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16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ON-SITE (On-Premises using existing infrastructure)</w:t>
            </w:r>
          </w:p>
        </w:tc>
      </w:tr>
      <w:tr>
        <w:trPr>
          <w:cantSplit w:val="0"/>
          <w:trHeight w:val="581.953125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6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16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16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16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Potential Costs (if not existing)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16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 hardware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One-time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₱7,000–₱50,000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an existing campus machine. Modest specs can support an MVP for a small graduate school with low concurrent usage.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+ software 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1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One-time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1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1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1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Open-source tools; no licensing fees.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 / SSL certificate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1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₱0–₱5,000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 SSL via Let’s Encrypt; paid certificate optional depending on institutional policy.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 / subdomain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₱800–₱1,500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USLS provides a subdomain under an existing domain, no additional cost.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Backups (storage + retention)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₱500–₱2,000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Applies only if additional backup media/storage allocation or offsite copying is required.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operations (maintenance and support)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 if there is an IT staff.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Patching, monitoring, user support, access management; typically absorbed by existing IT workload.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notification service (SMTP)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₱0–₱500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use existing school email relay; external relay is optional for MVP use.</w:t>
            </w:r>
          </w:p>
        </w:tc>
      </w:tr>
      <w:tr>
        <w:trPr>
          <w:cantSplit w:val="0"/>
          <w:trHeight w:val="2195.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Monthly/usage-based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₱100–₱500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Estimated for light MVP use only. If enabled, the LLM is used only for advisory outputs such as summaries, completion rate analysis, and next-step prompts. Official OpenAI text pricing currently ranges from $0.25 / 1M input tokens and $2.00 / 1M output tokens for GPT-5 mini, up to $1.25 / 1M input and $10.00 / 1M output for GPT-5, and $2.50 / 1M input and $15.00 / 1M output for GPT-5.4.</w:t>
            </w:r>
          </w:p>
        </w:tc>
      </w:tr>
    </w:tbl>
    <w:p w:rsidR="00000000" w:rsidDel="00000000" w:rsidP="00000000" w:rsidRDefault="00000000" w:rsidRPr="00000000" w14:paraId="0000163C">
      <w:pPr>
        <w:pStyle w:val="Heading5"/>
        <w:spacing w:line="360" w:lineRule="auto"/>
        <w:ind w:left="720" w:firstLine="720"/>
        <w:rPr/>
      </w:pPr>
      <w:bookmarkStart w:colFirst="0" w:colLast="0" w:name="_jnsrg4py6rod" w:id="244"/>
      <w:bookmarkEnd w:id="2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S: Appendix S. Cost table for on-site  premises</dc:title>
  <cp:lastModifiedBy>python-docx</cp:lastModifiedBy>
  <cp:revision>1</cp:revision>
  <dcterms:modified xsi:type="dcterms:W3CDTF">2026-07-27T18:38:30Z</dcterms:modified>
  <dc:subject>CAP-2237 CAP1 submission</dc:subject>
</cp:coreProperties>
</file>