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This document defines the reliability strategy, service levels, monitoring model, and incident response process for a consumer insight analytics platform that ingests Lazada and related feedback data into Azure-based storage, processing, AI, API, and dashboard layers.</w:t>
      </w:r>
      <w:r w:rsidDel="00000000" w:rsidR="00000000" w:rsidRPr="00000000">
        <w:rPr>
          <w:rtl w:val="0"/>
        </w:rPr>
      </w:r>
    </w:p>
    <w:p w:rsidR="00000000" w:rsidDel="00000000" w:rsidP="00000000" w:rsidRDefault="00000000" w:rsidRPr="00000000" w14:paraId="00000002">
      <w:pPr>
        <w:spacing w:line="240" w:lineRule="auto"/>
        <w:rPr>
          <w:sz w:val="24"/>
          <w:szCs w:val="24"/>
        </w:rPr>
      </w:pPr>
      <w:r w:rsidDel="00000000" w:rsidR="00000000" w:rsidRPr="00000000">
        <w:rPr>
          <w:b w:val="1"/>
          <w:bCs w:val="1"/>
          <w:sz w:val="24"/>
          <w:szCs w:val="24"/>
          <w:rtl w:val="0"/>
        </w:rPr>
        <w:t xml:space="preserve">Reliability objective. </w:t>
      </w:r>
      <w:r w:rsidDel="00000000" w:rsidR="00000000" w:rsidRPr="00000000">
        <w:rPr>
          <w:sz w:val="24"/>
          <w:szCs w:val="24"/>
          <w:rtl w:val="0"/>
        </w:rPr>
        <w:t xml:space="preserve">Keep ingestion, ETL, AI processing, APIs, and dashboards available, fresh, and trustworthy so Market Operations, R&amp;D, and Product Supply can act on timely signals instead of stale, delayed, or corrupted outputs (Google, n.d.; Microsoft Learn, 2025–2026).</w:t>
      </w:r>
    </w:p>
    <w:tbl>
      <w:tblPr>
        <w:tblStyle w:val="Table1"/>
        <w:tblW w:w="108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65"/>
        <w:gridCol w:w="3675"/>
        <w:gridCol w:w="1365"/>
        <w:gridCol w:w="3315"/>
        <w:tblGridChange w:id="0">
          <w:tblGrid>
            <w:gridCol w:w="1080"/>
            <w:gridCol w:w="1365"/>
            <w:gridCol w:w="3675"/>
            <w:gridCol w:w="1365"/>
            <w:gridCol w:w="33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sz w:val="24"/>
                <w:szCs w:val="24"/>
              </w:rPr>
            </w:pPr>
            <w:r w:rsidDel="00000000" w:rsidR="00000000" w:rsidRPr="00000000">
              <w:rPr>
                <w:b w:val="1"/>
                <w:bCs w:val="1"/>
                <w:sz w:val="24"/>
                <w:szCs w:val="24"/>
                <w:rtl w:val="0"/>
              </w:rPr>
              <w:t xml:space="preserve">Priority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sz w:val="24"/>
                <w:szCs w:val="24"/>
              </w:rPr>
            </w:pPr>
            <w:r w:rsidDel="00000000" w:rsidR="00000000" w:rsidRPr="00000000">
              <w:rPr>
                <w:b w:val="1"/>
                <w:bCs w:val="1"/>
                <w:sz w:val="24"/>
                <w:szCs w:val="24"/>
                <w:rtl w:val="0"/>
              </w:rPr>
              <w:t xml:space="preserve">SLI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sz w:val="24"/>
                <w:szCs w:val="24"/>
              </w:rPr>
            </w:pPr>
            <w:r w:rsidDel="00000000" w:rsidR="00000000" w:rsidRPr="00000000">
              <w:rPr>
                <w:b w:val="1"/>
                <w:bCs w:val="1"/>
                <w:sz w:val="24"/>
                <w:szCs w:val="24"/>
                <w:rtl w:val="0"/>
              </w:rPr>
              <w:t xml:space="preserve">Definition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sz w:val="24"/>
                <w:szCs w:val="24"/>
              </w:rPr>
            </w:pPr>
            <w:r w:rsidDel="00000000" w:rsidR="00000000" w:rsidRPr="00000000">
              <w:rPr>
                <w:b w:val="1"/>
                <w:bCs w:val="1"/>
                <w:sz w:val="24"/>
                <w:szCs w:val="24"/>
                <w:rtl w:val="0"/>
              </w:rPr>
              <w:t xml:space="preserve">Monthly SLO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sz w:val="24"/>
                <w:szCs w:val="24"/>
              </w:rPr>
            </w:pPr>
            <w:r w:rsidDel="00000000" w:rsidR="00000000" w:rsidRPr="00000000">
              <w:rPr>
                <w:b w:val="1"/>
                <w:bCs w:val="1"/>
                <w:sz w:val="24"/>
                <w:szCs w:val="24"/>
                <w:rtl w:val="0"/>
              </w:rPr>
              <w:t xml:space="preserve">Why it matters</w:t>
            </w:r>
          </w:p>
        </w:tc>
      </w:tr>
      <w:tr>
        <w:trPr>
          <w:cantSplit w:val="0"/>
          <w:trHeight w:val="113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sz w:val="24"/>
                <w:szCs w:val="24"/>
              </w:rPr>
            </w:pPr>
            <w:r w:rsidDel="00000000" w:rsidR="00000000" w:rsidRPr="00000000">
              <w:rPr>
                <w:sz w:val="24"/>
                <w:szCs w:val="24"/>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Pipeline Success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successful scheduled runs ÷ total scheduled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&gt;= 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Prevents missed refreshes and broken publish cycles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Data Freshness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critical datasets published within 2 hours ÷ total critical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&gt;= 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Prevents stale dashboards and delayed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4"/>
                <w:szCs w:val="24"/>
              </w:rPr>
            </w:pPr>
            <w:r w:rsidDel="00000000" w:rsidR="00000000" w:rsidRPr="00000000">
              <w:rPr>
                <w:sz w:val="24"/>
                <w:szCs w:val="24"/>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Analytics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successful dashboard/API requests ÷ total dashboard/API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&gt;= 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Keeps the product usable for stakeholders</w:t>
            </w:r>
          </w:p>
        </w:tc>
      </w:tr>
    </w:tbl>
    <w:p w:rsidR="00000000" w:rsidDel="00000000" w:rsidP="00000000" w:rsidRDefault="00000000" w:rsidRPr="00000000" w14:paraId="00000017">
      <w:pPr>
        <w:spacing w:line="240" w:lineRule="auto"/>
        <w:rPr>
          <w:sz w:val="24"/>
          <w:szCs w:val="24"/>
        </w:rPr>
      </w:pPr>
      <w:r w:rsidDel="00000000" w:rsidR="00000000" w:rsidRPr="00000000">
        <w:rPr>
          <w:b w:val="1"/>
          <w:bCs w:val="1"/>
          <w:sz w:val="24"/>
          <w:szCs w:val="24"/>
          <w:rtl w:val="0"/>
        </w:rPr>
        <w:t xml:space="preserve">Monitoring and alerting strategy. </w:t>
      </w:r>
      <w:r w:rsidDel="00000000" w:rsidR="00000000" w:rsidRPr="00000000">
        <w:rPr>
          <w:sz w:val="24"/>
          <w:szCs w:val="24"/>
          <w:rtl w:val="0"/>
        </w:rPr>
        <w:t xml:space="preserve">Azure Monitor is the central observability layer; Application Insights tracks web and API latency, dependency calls, and failures; Log Analytics stores and queries logs; Azure Monitor Alerts and Action Groups route notifications and automated actions; Azure Data Factory and Azure Storage metrics are monitored for ETL and data lake reliability (Microsoft Learn, 2025–2026).</w:t>
      </w:r>
    </w:p>
    <w:p w:rsidR="00000000" w:rsidDel="00000000" w:rsidP="00000000" w:rsidRDefault="00000000" w:rsidRPr="00000000" w14:paraId="00000018">
      <w:pPr>
        <w:numPr>
          <w:ilvl w:val="0"/>
          <w:numId w:val="1"/>
        </w:numPr>
        <w:spacing w:line="240" w:lineRule="auto"/>
        <w:ind w:left="720" w:hanging="360"/>
        <w:rPr>
          <w:sz w:val="24"/>
          <w:szCs w:val="24"/>
        </w:rPr>
      </w:pPr>
      <w:r w:rsidDel="00000000" w:rsidR="00000000" w:rsidRPr="00000000">
        <w:rPr>
          <w:b w:val="1"/>
          <w:bCs w:val="1"/>
          <w:sz w:val="24"/>
          <w:szCs w:val="24"/>
          <w:rtl w:val="0"/>
        </w:rPr>
        <w:t xml:space="preserve">Source and ingestion:</w:t>
      </w:r>
      <w:r w:rsidDel="00000000" w:rsidR="00000000" w:rsidRPr="00000000">
        <w:rPr>
          <w:sz w:val="24"/>
          <w:szCs w:val="24"/>
          <w:rtl w:val="0"/>
        </w:rPr>
        <w:t xml:space="preserve"> scraper or API success rate, source latency, missing file count, schema drift, and source completeness</w:t>
      </w:r>
    </w:p>
    <w:p w:rsidR="00000000" w:rsidDel="00000000" w:rsidP="00000000" w:rsidRDefault="00000000" w:rsidRPr="00000000" w14:paraId="00000019">
      <w:pPr>
        <w:numPr>
          <w:ilvl w:val="0"/>
          <w:numId w:val="1"/>
        </w:numPr>
        <w:spacing w:line="240" w:lineRule="auto"/>
        <w:ind w:left="720" w:hanging="360"/>
        <w:rPr>
          <w:sz w:val="24"/>
          <w:szCs w:val="24"/>
        </w:rPr>
      </w:pPr>
      <w:r w:rsidDel="00000000" w:rsidR="00000000" w:rsidRPr="00000000">
        <w:rPr>
          <w:b w:val="1"/>
          <w:bCs w:val="1"/>
          <w:sz w:val="24"/>
          <w:szCs w:val="24"/>
          <w:rtl w:val="0"/>
        </w:rPr>
        <w:t xml:space="preserve">ETL and processing:</w:t>
      </w:r>
      <w:r w:rsidDel="00000000" w:rsidR="00000000" w:rsidRPr="00000000">
        <w:rPr>
          <w:sz w:val="24"/>
          <w:szCs w:val="24"/>
          <w:rtl w:val="0"/>
        </w:rPr>
        <w:t xml:space="preserve"> job failure rate, retry count, null rate, duplicate rate, validation pass rate, and publish delay</w:t>
      </w:r>
    </w:p>
    <w:p w:rsidR="00000000" w:rsidDel="00000000" w:rsidP="00000000" w:rsidRDefault="00000000" w:rsidRPr="00000000" w14:paraId="0000001A">
      <w:pPr>
        <w:numPr>
          <w:ilvl w:val="0"/>
          <w:numId w:val="1"/>
        </w:numPr>
        <w:spacing w:line="240" w:lineRule="auto"/>
        <w:ind w:left="720" w:hanging="360"/>
        <w:rPr>
          <w:sz w:val="24"/>
          <w:szCs w:val="24"/>
        </w:rPr>
      </w:pPr>
      <w:r w:rsidDel="00000000" w:rsidR="00000000" w:rsidRPr="00000000">
        <w:rPr>
          <w:b w:val="1"/>
          <w:bCs w:val="1"/>
          <w:sz w:val="24"/>
          <w:szCs w:val="24"/>
          <w:rtl w:val="0"/>
        </w:rPr>
        <w:t xml:space="preserve">AI and analytics:</w:t>
      </w:r>
      <w:r w:rsidDel="00000000" w:rsidR="00000000" w:rsidRPr="00000000">
        <w:rPr>
          <w:sz w:val="24"/>
          <w:szCs w:val="24"/>
          <w:rtl w:val="0"/>
        </w:rPr>
        <w:t xml:space="preserve"> malformed JSON rate, fallback rate, token usage anomaly, uncategorized volume, confidence-score drop, and prompt degradation signals</w:t>
      </w:r>
    </w:p>
    <w:p w:rsidR="00000000" w:rsidDel="00000000" w:rsidP="00000000" w:rsidRDefault="00000000" w:rsidRPr="00000000" w14:paraId="0000001B">
      <w:pPr>
        <w:numPr>
          <w:ilvl w:val="0"/>
          <w:numId w:val="1"/>
        </w:numPr>
        <w:spacing w:line="240" w:lineRule="auto"/>
        <w:ind w:left="720" w:hanging="360"/>
        <w:rPr>
          <w:sz w:val="24"/>
          <w:szCs w:val="24"/>
        </w:rPr>
      </w:pPr>
      <w:r w:rsidDel="00000000" w:rsidR="00000000" w:rsidRPr="00000000">
        <w:rPr>
          <w:b w:val="1"/>
          <w:bCs w:val="1"/>
          <w:sz w:val="24"/>
          <w:szCs w:val="24"/>
          <w:rtl w:val="0"/>
        </w:rPr>
        <w:t xml:space="preserve">Delivery:</w:t>
      </w:r>
      <w:r w:rsidDel="00000000" w:rsidR="00000000" w:rsidRPr="00000000">
        <w:rPr>
          <w:sz w:val="24"/>
          <w:szCs w:val="24"/>
          <w:rtl w:val="0"/>
        </w:rPr>
        <w:t xml:space="preserve"> dashboard availability, widget failure rate, page response time, and stale-data indicator breaches</w:t>
      </w:r>
    </w:p>
    <w:p w:rsidR="00000000" w:rsidDel="00000000" w:rsidP="00000000" w:rsidRDefault="00000000" w:rsidRPr="00000000" w14:paraId="0000001C">
      <w:pPr>
        <w:numPr>
          <w:ilvl w:val="0"/>
          <w:numId w:val="1"/>
        </w:numPr>
        <w:spacing w:line="240" w:lineRule="auto"/>
        <w:ind w:left="720" w:hanging="360"/>
        <w:rPr>
          <w:sz w:val="24"/>
          <w:szCs w:val="24"/>
        </w:rPr>
      </w:pPr>
      <w:r w:rsidDel="00000000" w:rsidR="00000000" w:rsidRPr="00000000">
        <w:rPr>
          <w:b w:val="1"/>
          <w:bCs w:val="1"/>
          <w:sz w:val="24"/>
          <w:szCs w:val="24"/>
          <w:rtl w:val="0"/>
        </w:rPr>
        <w:t xml:space="preserve">Alert routing:</w:t>
      </w:r>
      <w:r w:rsidDel="00000000" w:rsidR="00000000" w:rsidRPr="00000000">
        <w:rPr>
          <w:sz w:val="24"/>
          <w:szCs w:val="24"/>
          <w:rtl w:val="0"/>
        </w:rPr>
        <w:t xml:space="preserve"> P1 and P2 use Azure Action Groups with email, SMS, and webhook-based escalation; P3 to P5 use email plus ticket creation. Safe self-healing actions may retry jobs, restart stateless workers, quarantine bad batches, or switch to the last known good dataset. Azure Action Groups support notifications and automated actions such as email, SMS, webhooks, Azure Functions, Logic Apps, and ITSM integration (Microsoft Learn, 2025).</w:t>
      </w:r>
    </w:p>
    <w:p w:rsidR="00000000" w:rsidDel="00000000" w:rsidP="00000000" w:rsidRDefault="00000000" w:rsidRPr="00000000" w14:paraId="0000001D">
      <w:pPr>
        <w:spacing w:line="240" w:lineRule="auto"/>
        <w:rPr>
          <w:sz w:val="24"/>
          <w:szCs w:val="24"/>
        </w:rPr>
      </w:pPr>
      <w:r w:rsidDel="00000000" w:rsidR="00000000" w:rsidRPr="00000000">
        <w:rPr>
          <w:b w:val="1"/>
          <w:bCs w:val="1"/>
          <w:sz w:val="24"/>
          <w:szCs w:val="24"/>
          <w:rtl w:val="0"/>
        </w:rPr>
        <w:t xml:space="preserve">Severity and support model. </w:t>
      </w:r>
      <w:r w:rsidDel="00000000" w:rsidR="00000000" w:rsidRPr="00000000">
        <w:rPr>
          <w:sz w:val="24"/>
          <w:szCs w:val="24"/>
          <w:rtl w:val="0"/>
        </w:rPr>
        <w:t xml:space="preserve">P1 = critical outage, 24x7, acknowledge in 15 minutes, restore target 3 hours; P2 = major degradation, 24x7, acknowledge in 30 minutes, restore target 8 hours; P3 = moderate issue with workaround, 15x5, acknowledge in 4 business hours, restore target 2 business days; P4 = minor issue, 15x5, acknowledge in 1 business day, restore in next fix window; P5 = informational or backlog item, business hours, handled through the improvement backlog. (Google, n.d.; NIST, 2025).</w:t>
      </w:r>
    </w:p>
    <w:p w:rsidR="00000000" w:rsidDel="00000000" w:rsidP="00000000" w:rsidRDefault="00000000" w:rsidRPr="00000000" w14:paraId="0000001E">
      <w:pPr>
        <w:spacing w:line="240" w:lineRule="auto"/>
        <w:rPr>
          <w:sz w:val="24"/>
          <w:szCs w:val="24"/>
        </w:rPr>
      </w:pPr>
      <w:r w:rsidDel="00000000" w:rsidR="00000000" w:rsidRPr="00000000">
        <w:rPr>
          <w:b w:val="1"/>
          <w:bCs w:val="1"/>
          <w:sz w:val="24"/>
          <w:szCs w:val="24"/>
          <w:rtl w:val="0"/>
        </w:rPr>
        <w:t xml:space="preserve">Incident points across the pipeline.</w:t>
      </w:r>
      <w:r w:rsidDel="00000000" w:rsidR="00000000" w:rsidRPr="00000000">
        <w:rPr>
          <w:sz w:val="24"/>
          <w:szCs w:val="24"/>
          <w:rtl w:val="0"/>
        </w:rPr>
        <w:t xml:space="preserve"> Incidents can occur at source or API ingestion, data lake landing, ETL and validation, AI inference, API service, or dashboard delivery. The table below defines incident criteria, detection rules, automatic actions, and manual handoff conditions.</w:t>
      </w:r>
    </w:p>
    <w:tbl>
      <w:tblPr>
        <w:tblStyle w:val="Table2"/>
        <w:tblW w:w="108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670"/>
        <w:gridCol w:w="2295"/>
        <w:gridCol w:w="1890"/>
        <w:gridCol w:w="2520"/>
        <w:tblGridChange w:id="0">
          <w:tblGrid>
            <w:gridCol w:w="1425"/>
            <w:gridCol w:w="2670"/>
            <w:gridCol w:w="2295"/>
            <w:gridCol w:w="1890"/>
            <w:gridCol w:w="2520"/>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bCs w:val="1"/>
                <w:sz w:val="24"/>
                <w:szCs w:val="24"/>
              </w:rPr>
            </w:pPr>
            <w:r w:rsidDel="00000000" w:rsidR="00000000" w:rsidRPr="00000000">
              <w:rPr>
                <w:b w:val="1"/>
                <w:bCs w:val="1"/>
                <w:sz w:val="24"/>
                <w:szCs w:val="24"/>
                <w:rtl w:val="0"/>
              </w:rPr>
              <w:t xml:space="preserve">Stage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sz w:val="24"/>
                <w:szCs w:val="24"/>
              </w:rPr>
            </w:pPr>
            <w:r w:rsidDel="00000000" w:rsidR="00000000" w:rsidRPr="00000000">
              <w:rPr>
                <w:b w:val="1"/>
                <w:bCs w:val="1"/>
                <w:sz w:val="24"/>
                <w:szCs w:val="24"/>
                <w:rtl w:val="0"/>
              </w:rPr>
              <w:t xml:space="preserve">Typical Incident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sz w:val="24"/>
                <w:szCs w:val="24"/>
              </w:rPr>
            </w:pPr>
            <w:r w:rsidDel="00000000" w:rsidR="00000000" w:rsidRPr="00000000">
              <w:rPr>
                <w:b w:val="1"/>
                <w:bCs w:val="1"/>
                <w:sz w:val="24"/>
                <w:szCs w:val="24"/>
                <w:rtl w:val="0"/>
              </w:rPr>
              <w:t xml:space="preserve">Detection rule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bCs w:val="1"/>
                <w:sz w:val="24"/>
                <w:szCs w:val="24"/>
              </w:rPr>
            </w:pPr>
            <w:r w:rsidDel="00000000" w:rsidR="00000000" w:rsidRPr="00000000">
              <w:rPr>
                <w:b w:val="1"/>
                <w:bCs w:val="1"/>
                <w:sz w:val="24"/>
                <w:szCs w:val="24"/>
                <w:rtl w:val="0"/>
              </w:rPr>
              <w:t xml:space="preserve">Auto action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bCs w:val="1"/>
                <w:sz w:val="24"/>
                <w:szCs w:val="24"/>
              </w:rPr>
            </w:pPr>
            <w:r w:rsidDel="00000000" w:rsidR="00000000" w:rsidRPr="00000000">
              <w:rPr>
                <w:b w:val="1"/>
                <w:bCs w:val="1"/>
                <w:sz w:val="24"/>
                <w:szCs w:val="24"/>
                <w:rtl w:val="0"/>
              </w:rPr>
              <w:t xml:space="preserve">Manual handoff rule</w:t>
            </w:r>
          </w:p>
        </w:tc>
      </w:tr>
      <w:tr>
        <w:trPr>
          <w:cantSplit w:val="0"/>
          <w:trHeight w:val="113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Source or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Timeout, auth failure, source layout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2 failed pulls or source completeness below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retry up to 3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escalate to Data Engineer if critical feed still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sz w:val="24"/>
                <w:szCs w:val="24"/>
                <w:rtl w:val="0"/>
              </w:rPr>
              <w:t xml:space="preserve">Data lake landing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Missing file, corrupt file, wrong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freshness lag above SLA or checksum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hold publish; keep last good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manual review if no safe fallback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sz w:val="24"/>
                <w:szCs w:val="24"/>
              </w:rPr>
            </w:pPr>
            <w:r w:rsidDel="00000000" w:rsidR="00000000" w:rsidRPr="00000000">
              <w:rPr>
                <w:sz w:val="24"/>
                <w:szCs w:val="24"/>
                <w:rtl w:val="0"/>
              </w:rPr>
              <w:t xml:space="preserve">ETL or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Null spike, duplicate spike, schema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null rate above 5%, duplicate rate above 1%, or required-column 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quarantine failed batch; rerun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manual fix if schema change affects required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24"/>
                <w:szCs w:val="24"/>
              </w:rPr>
            </w:pPr>
            <w:r w:rsidDel="00000000" w:rsidR="00000000" w:rsidRPr="00000000">
              <w:rPr>
                <w:sz w:val="24"/>
                <w:szCs w:val="24"/>
                <w:rtl w:val="0"/>
              </w:rPr>
              <w:t xml:space="preserve">AI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Malformed JSON, high fallback rate, token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fallback rate above 10% or malformed JSON above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retry once with safe prompt; suppress low-confidence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escalate to AI Engineer if issue repeats or affects critical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24"/>
                <w:szCs w:val="24"/>
              </w:rPr>
            </w:pPr>
            <w:r w:rsidDel="00000000" w:rsidR="00000000" w:rsidRPr="00000000">
              <w:rPr>
                <w:sz w:val="24"/>
                <w:szCs w:val="24"/>
                <w:rtl w:val="0"/>
              </w:rPr>
              <w:t xml:space="preserve">Dashboard or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5xx spike, slow response, stale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error rate above 2%, p95 above 2 seconds, or freshness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restart app. or roll back last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manual intervention if outage persists over 15 minutes</w:t>
            </w:r>
          </w:p>
        </w:tc>
      </w:tr>
    </w:tbl>
    <w:p w:rsidR="00000000" w:rsidDel="00000000" w:rsidP="00000000" w:rsidRDefault="00000000" w:rsidRPr="00000000" w14:paraId="0000003D">
      <w:pPr>
        <w:spacing w:line="240" w:lineRule="auto"/>
        <w:rPr>
          <w:b w:val="1"/>
          <w:bCs w:val="1"/>
          <w:sz w:val="24"/>
          <w:szCs w:val="24"/>
        </w:rPr>
      </w:pPr>
      <w:r w:rsidDel="00000000" w:rsidR="00000000" w:rsidRPr="00000000">
        <w:rPr>
          <w:b w:val="1"/>
          <w:bCs w:val="1"/>
          <w:sz w:val="24"/>
          <w:szCs w:val="24"/>
          <w:rtl w:val="0"/>
        </w:rPr>
        <w:t xml:space="preserve">Response workflow.</w:t>
      </w:r>
      <w:r w:rsidDel="00000000" w:rsidR="00000000" w:rsidRPr="00000000">
        <w:rPr>
          <w:sz w:val="24"/>
          <w:szCs w:val="24"/>
          <w:rtl w:val="0"/>
        </w:rPr>
        <w:t xml:space="preserve"> 1) Detect through alert, health check, or user report. 2) Triage severity, scope, and affected stakeholders. 3) Contain by pausing publish, isolating bad data, or rolling back a release. 4) Recover by rerunning jobs, restoring service, or switching to fallback data. 5) Validate freshness, availability, and data quality before closing. 6) Log the incident and open an RCA-CAP item for prevention. This workflow follows the preparation, detection, analysis, containment, recovery, and improvement principles reflected in NIST incident-response guidance (NIST, 2025). </w:t>
      </w:r>
      <w:r w:rsidDel="00000000" w:rsidR="00000000" w:rsidRPr="00000000">
        <w:rPr>
          <w:rtl w:val="0"/>
        </w:rPr>
      </w:r>
    </w:p>
    <w:p w:rsidR="00000000" w:rsidDel="00000000" w:rsidP="00000000" w:rsidRDefault="00000000" w:rsidRPr="00000000" w14:paraId="0000003E">
      <w:pPr>
        <w:spacing w:line="240" w:lineRule="auto"/>
        <w:rPr>
          <w:b w:val="1"/>
          <w:bCs w:val="1"/>
          <w:sz w:val="24"/>
          <w:szCs w:val="24"/>
        </w:rPr>
      </w:pPr>
      <w:r w:rsidDel="00000000" w:rsidR="00000000" w:rsidRPr="00000000">
        <w:rPr>
          <w:b w:val="1"/>
          <w:bCs w:val="1"/>
          <w:sz w:val="24"/>
          <w:szCs w:val="24"/>
          <w:rtl w:val="0"/>
        </w:rPr>
        <w:t xml:space="preserve">Notification model.</w:t>
      </w:r>
      <w:r w:rsidDel="00000000" w:rsidR="00000000" w:rsidRPr="00000000">
        <w:rPr>
          <w:sz w:val="24"/>
          <w:szCs w:val="24"/>
          <w:rtl w:val="0"/>
        </w:rPr>
        <w:t xml:space="preserve"> Azure Action Groups send P1 and P2 alerts by email, SMS, and webhook-based escalation. The Operations Manager owns the incident bridge; the Data Engineer leads data pipeline repair; the AI Engineer leads model-output repair; the Project Manager sends business-facing status updates when the incident affects stakeholder timelines. P3 to P5 are routed through email and ticket creation based on business impact (Microsoft Learn, 2025).</w:t>
      </w: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b w:val="1"/>
          <w:bCs w:val="1"/>
          <w:sz w:val="24"/>
          <w:szCs w:val="24"/>
          <w:rtl w:val="0"/>
        </w:rPr>
        <w:t xml:space="preserve">Incident severity model.</w:t>
      </w:r>
      <w:r w:rsidDel="00000000" w:rsidR="00000000" w:rsidRPr="00000000">
        <w:rPr>
          <w:sz w:val="24"/>
          <w:szCs w:val="24"/>
          <w:rtl w:val="0"/>
        </w:rPr>
        <w:t xml:space="preserve"> This playbook uses the same P1 to P5 severity definitions and response targets defined in the SRE Strategy Document.</w:t>
      </w:r>
    </w:p>
    <w:tbl>
      <w:tblPr>
        <w:tblStyle w:val="Table3"/>
        <w:tblW w:w="108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1200"/>
        <w:gridCol w:w="1380"/>
        <w:gridCol w:w="1050"/>
        <w:gridCol w:w="1290"/>
        <w:tblGridChange w:id="0">
          <w:tblGrid>
            <w:gridCol w:w="5895"/>
            <w:gridCol w:w="1200"/>
            <w:gridCol w:w="1380"/>
            <w:gridCol w:w="1050"/>
            <w:gridCol w:w="12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b w:val="1"/>
                <w:bCs w:val="1"/>
                <w:sz w:val="24"/>
                <w:szCs w:val="24"/>
              </w:rPr>
            </w:pPr>
            <w:r w:rsidDel="00000000" w:rsidR="00000000" w:rsidRPr="00000000">
              <w:rPr>
                <w:b w:val="1"/>
                <w:bCs w:val="1"/>
                <w:sz w:val="24"/>
                <w:szCs w:val="24"/>
                <w:rtl w:val="0"/>
              </w:rPr>
              <w:t xml:space="preserve">Task</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sz w:val="24"/>
                <w:szCs w:val="24"/>
              </w:rPr>
            </w:pPr>
            <w:r w:rsidDel="00000000" w:rsidR="00000000" w:rsidRPr="00000000">
              <w:rPr>
                <w:b w:val="1"/>
                <w:bCs w:val="1"/>
                <w:sz w:val="24"/>
                <w:szCs w:val="24"/>
                <w:rtl w:val="0"/>
              </w:rPr>
              <w:t xml:space="preserve">Ops Mgr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bCs w:val="1"/>
                <w:sz w:val="24"/>
                <w:szCs w:val="24"/>
              </w:rPr>
            </w:pPr>
            <w:r w:rsidDel="00000000" w:rsidR="00000000" w:rsidRPr="00000000">
              <w:rPr>
                <w:b w:val="1"/>
                <w:bCs w:val="1"/>
                <w:sz w:val="24"/>
                <w:szCs w:val="24"/>
                <w:rtl w:val="0"/>
              </w:rPr>
              <w:t xml:space="preserve">Data Eng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sz w:val="24"/>
                <w:szCs w:val="24"/>
              </w:rPr>
            </w:pPr>
            <w:r w:rsidDel="00000000" w:rsidR="00000000" w:rsidRPr="00000000">
              <w:rPr>
                <w:b w:val="1"/>
                <w:bCs w:val="1"/>
                <w:sz w:val="24"/>
                <w:szCs w:val="24"/>
                <w:rtl w:val="0"/>
              </w:rPr>
              <w:t xml:space="preserve">AI Eng</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sz w:val="24"/>
                <w:szCs w:val="24"/>
              </w:rPr>
            </w:pPr>
            <w:r w:rsidDel="00000000" w:rsidR="00000000" w:rsidRPr="00000000">
              <w:rPr>
                <w:b w:val="1"/>
                <w:bCs w:val="1"/>
                <w:sz w:val="24"/>
                <w:szCs w:val="24"/>
                <w:rtl w:val="0"/>
              </w:rPr>
              <w:t xml:space="preserve">Proj Mgr</w:t>
            </w:r>
          </w:p>
        </w:tc>
      </w:tr>
      <w:tr>
        <w:trPr>
          <w:cantSplit w:val="0"/>
          <w:trHeight w:val="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Detect alert and declare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Open incident bridge and assign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Pause publish and enable fallback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Restore ingestion or source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Restore ETL or validation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Restore AI extraction, prompt, or output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Validate dashboard freshness and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Send incident status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Approve incident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Complete RCA and corrective action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C</w:t>
            </w:r>
          </w:p>
        </w:tc>
      </w:tr>
    </w:tbl>
    <w:p w:rsidR="00000000" w:rsidDel="00000000" w:rsidP="00000000" w:rsidRDefault="00000000" w:rsidRPr="00000000" w14:paraId="00000077">
      <w:pPr>
        <w:spacing w:line="240" w:lineRule="auto"/>
        <w:rPr>
          <w:b w:val="1"/>
          <w:bCs w:val="1"/>
          <w:sz w:val="24"/>
          <w:szCs w:val="24"/>
        </w:rPr>
      </w:pPr>
      <w:r w:rsidDel="00000000" w:rsidR="00000000" w:rsidRPr="00000000">
        <w:rPr>
          <w:b w:val="1"/>
          <w:bCs w:val="1"/>
          <w:sz w:val="24"/>
          <w:szCs w:val="24"/>
          <w:rtl w:val="0"/>
        </w:rPr>
        <w:t xml:space="preserve">Legend: </w:t>
      </w:r>
      <w:r w:rsidDel="00000000" w:rsidR="00000000" w:rsidRPr="00000000">
        <w:rPr>
          <w:sz w:val="24"/>
          <w:szCs w:val="24"/>
          <w:rtl w:val="0"/>
        </w:rPr>
        <w:t xml:space="preserve">R = Responsible, A = Accountable, C = Consulted, I = Informed.</w:t>
      </w: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b w:val="1"/>
          <w:bCs w:val="1"/>
          <w:sz w:val="24"/>
          <w:szCs w:val="24"/>
          <w:rtl w:val="0"/>
        </w:rPr>
        <w:t xml:space="preserve">Root-cause analysis and corrective action plan.</w:t>
      </w:r>
      <w:r w:rsidDel="00000000" w:rsidR="00000000" w:rsidRPr="00000000">
        <w:rPr>
          <w:sz w:val="24"/>
          <w:szCs w:val="24"/>
          <w:rtl w:val="0"/>
        </w:rPr>
        <w:t xml:space="preserve"> Every P1 and P2 incident requires an RCA within 2 business days and a corrective action plan within 5 business days. The RCA must capture the incident timeline, trigger, failed control, why the issue was not detected earlier, user impact, and the control gap. The CAP must assign an owner, due date, and validation metric such as lower repeat-alert rate, lower null-rate variance, or improved freshness compliance. This reflects the NIST emphasis on improving detection, response, and recovery effectiveness after incidents (NIST, 2025).</w:t>
      </w:r>
    </w:p>
    <w:p w:rsidR="00000000" w:rsidDel="00000000" w:rsidP="00000000" w:rsidRDefault="00000000" w:rsidRPr="00000000" w14:paraId="00000079">
      <w:pPr>
        <w:spacing w:line="240" w:lineRule="auto"/>
        <w:rPr>
          <w:sz w:val="24"/>
          <w:szCs w:val="24"/>
        </w:rPr>
      </w:pPr>
      <w:r w:rsidDel="00000000" w:rsidR="00000000" w:rsidRPr="00000000">
        <w:rPr>
          <w:b w:val="1"/>
          <w:bCs w:val="1"/>
          <w:sz w:val="24"/>
          <w:szCs w:val="24"/>
          <w:rtl w:val="0"/>
        </w:rPr>
        <w:t xml:space="preserve">Risk assessment levels.</w:t>
      </w:r>
      <w:r w:rsidDel="00000000" w:rsidR="00000000" w:rsidRPr="00000000">
        <w:rPr>
          <w:sz w:val="24"/>
          <w:szCs w:val="24"/>
          <w:rtl w:val="0"/>
        </w:rPr>
        <w:t xml:space="preserve"> Level 1 = high risk; direct impact on dashboard availability, critical feed freshness, or data integrity. Level 2 = medium risk; partial degradation with workaround. Level 3 = low risk; localized defect or informational alert. For this dataset, key resilience concerns are schema drift from marketplace pages, multilingual and Taglish misclassification, review spam, missing competitor mappings, and accidental exposure of personal data. Controls include schema contracts, confidence thresholds, quarantine tables, human review for low-confidence AI outputs, and secure secret handling in Azure Key Vault. NIST’s AI RMF supports the use of trust, governance, and risk controls for AI systems, while Azure Key Vault is designed for secure storage and access to secrets, keys, and certificates (NIST, 2023; Microsoft Learn, 2025–2026). </w:t>
      </w:r>
    </w:p>
    <w:p w:rsidR="00000000" w:rsidDel="00000000" w:rsidP="00000000" w:rsidRDefault="00000000" w:rsidRPr="00000000" w14:paraId="0000007A">
      <w:pPr>
        <w:spacing w:line="240" w:lineRule="auto"/>
        <w:rPr>
          <w:sz w:val="24"/>
          <w:szCs w:val="24"/>
        </w:rPr>
      </w:pPr>
      <w:r w:rsidDel="00000000" w:rsidR="00000000" w:rsidRPr="00000000">
        <w:rPr>
          <w:b w:val="1"/>
          <w:bCs w:val="1"/>
          <w:sz w:val="24"/>
          <w:szCs w:val="24"/>
          <w:rtl w:val="0"/>
        </w:rPr>
        <w:t xml:space="preserve">Backlog and release management.</w:t>
      </w:r>
      <w:r w:rsidDel="00000000" w:rsidR="00000000" w:rsidRPr="00000000">
        <w:rPr>
          <w:sz w:val="24"/>
          <w:szCs w:val="24"/>
          <w:rtl w:val="0"/>
        </w:rPr>
        <w:t xml:space="preserve"> Improvements are prioritized by </w:t>
      </w:r>
      <w:r w:rsidDel="00000000" w:rsidR="00000000" w:rsidRPr="00000000">
        <w:rPr>
          <w:b w:val="1"/>
          <w:bCs w:val="1"/>
          <w:sz w:val="24"/>
          <w:szCs w:val="24"/>
          <w:rtl w:val="0"/>
        </w:rPr>
        <w:t xml:space="preserve">(business impact × recurrence × detectability gap) ÷ implementation effort</w:t>
      </w:r>
      <w:r w:rsidDel="00000000" w:rsidR="00000000" w:rsidRPr="00000000">
        <w:rPr>
          <w:sz w:val="24"/>
          <w:szCs w:val="24"/>
          <w:rtl w:val="0"/>
        </w:rPr>
        <w:t xml:space="preserve">. Priority 1 backlog items: freshness alerts, publish gates, fallback dataset, and dashboard uptime checks. Priority 2: schema-drift rules, AI confidence gates, and duplicate or null controls. Priority 3: automated retries, runbook automation, synthetic health-check scripts, and capacity dashboards. Releases should use a controlled change window, rollback plan, health-check script, and post-release validation of freshness, availability, and AI output quality before full promotion.</w:t>
      </w:r>
    </w:p>
    <w:p w:rsidR="00000000" w:rsidDel="00000000" w:rsidP="00000000" w:rsidRDefault="00000000" w:rsidRPr="00000000" w14:paraId="0000007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Keyword explanations.</w:t>
      </w:r>
      <w:r w:rsidDel="00000000" w:rsidR="00000000" w:rsidRPr="00000000">
        <w:rPr>
          <w:rtl w:val="0"/>
        </w:rPr>
        <w:t xml:space="preserve"> SLI = measured reliability metric; SLO = target value for an SLI; schema drift = unexpected change in columns, required fields, or data types; malformed JSON = AI output that breaks the required structure; last known good dataset = the most recent validated dataset that can be safely served during recovery.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color w:val="17365d"/>
          <w:sz w:val="30"/>
          <w:szCs w:val="30"/>
        </w:rPr>
      </w:pPr>
      <w:r w:rsidDel="00000000" w:rsidR="00000000" w:rsidRPr="00000000">
        <w:rPr>
          <w:b w:val="1"/>
          <w:bCs w:val="1"/>
          <w:rtl w:val="0"/>
        </w:rPr>
        <w:t xml:space="preserve">Reference basis for design choices.</w:t>
      </w:r>
      <w:r w:rsidDel="00000000" w:rsidR="00000000" w:rsidRPr="00000000">
        <w:rPr>
          <w:rtl w:val="0"/>
        </w:rPr>
        <w:t xml:space="preserve"> SLI and SLO definitions follow Google SRE guidance. Incident detection, response, and recovery follow NIST SP 800-61 Rev. 3. Azure monitoring, alerts, and Action Groups follow Microsoft Learn documentation. An SLO is a target value for a service level measured by an SLI. </w:t>
      </w:r>
      <w:r w:rsidDel="00000000" w:rsidR="00000000" w:rsidRPr="00000000">
        <w:rPr>
          <w:rtl w:val="0"/>
        </w:rPr>
      </w:r>
    </w:p>
    <w:p w:rsidR="00000000" w:rsidDel="00000000" w:rsidP="00000000" w:rsidRDefault="00000000" w:rsidRPr="00000000" w14:paraId="00000080">
      <w:pPr>
        <w:jc w:val="center"/>
        <w:rPr>
          <w:b w:val="1"/>
          <w:bCs w:val="1"/>
          <w:color w:val="17365d"/>
          <w:sz w:val="30"/>
          <w:szCs w:val="30"/>
        </w:rPr>
      </w:pPr>
      <w:r w:rsidDel="00000000" w:rsidR="00000000" w:rsidRPr="00000000">
        <w:rPr>
          <w:rtl w:val="0"/>
        </w:rPr>
      </w:r>
    </w:p>
    <w:p w:rsidR="00000000" w:rsidDel="00000000" w:rsidP="00000000" w:rsidRDefault="00000000" w:rsidRPr="00000000" w14:paraId="00000081">
      <w:pPr>
        <w:jc w:val="center"/>
        <w:rPr>
          <w:b w:val="1"/>
          <w:bCs w:val="1"/>
          <w:color w:val="17365d"/>
          <w:sz w:val="32"/>
          <w:szCs w:val="32"/>
        </w:rPr>
      </w:pPr>
      <w:r w:rsidDel="00000000" w:rsidR="00000000" w:rsidRPr="00000000">
        <w:rPr>
          <w:b w:val="1"/>
          <w:bCs w:val="1"/>
          <w:color w:val="17365d"/>
          <w:sz w:val="30"/>
          <w:szCs w:val="30"/>
          <w:rtl w:val="0"/>
        </w:rPr>
        <w:t xml:space="preserve">SRE Companion Appendix: References, Rationale, and Keyword Explanations</w:t>
      </w:r>
      <w:r w:rsidDel="00000000" w:rsidR="00000000" w:rsidRPr="00000000">
        <w:rPr>
          <w:rtl w:val="0"/>
        </w:rPr>
      </w:r>
    </w:p>
    <w:p w:rsidR="00000000" w:rsidDel="00000000" w:rsidP="00000000" w:rsidRDefault="00000000" w:rsidRPr="00000000" w14:paraId="00000082">
      <w:pPr>
        <w:spacing w:after="80" w:line="240" w:lineRule="auto"/>
        <w:rPr>
          <w:sz w:val="24"/>
          <w:szCs w:val="24"/>
        </w:rPr>
      </w:pPr>
      <w:r w:rsidDel="00000000" w:rsidR="00000000" w:rsidRPr="00000000">
        <w:rPr>
          <w:sz w:val="24"/>
          <w:szCs w:val="24"/>
          <w:rtl w:val="0"/>
        </w:rPr>
        <w:t xml:space="preserve">Use this appendix for Q&amp;A, panel defense, and technical clarification. The main submission stays concise; this appendix explains why each SRE choice is reasonable for a conceptual Azure-based consumer insight platform.</w:t>
      </w:r>
    </w:p>
    <w:p w:rsidR="00000000" w:rsidDel="00000000" w:rsidP="00000000" w:rsidRDefault="00000000" w:rsidRPr="00000000" w14:paraId="00000083">
      <w:pPr>
        <w:pStyle w:val="Heading1"/>
        <w:spacing w:after="40" w:before="0" w:line="240" w:lineRule="auto"/>
        <w:rPr>
          <w:b w:val="1"/>
          <w:bCs w:val="1"/>
          <w:color w:val="19467d"/>
          <w:sz w:val="26"/>
          <w:szCs w:val="26"/>
        </w:rPr>
      </w:pPr>
      <w:r w:rsidDel="00000000" w:rsidR="00000000" w:rsidRPr="00000000">
        <w:rPr>
          <w:b w:val="1"/>
          <w:bCs w:val="1"/>
          <w:color w:val="19467d"/>
          <w:sz w:val="26"/>
          <w:szCs w:val="26"/>
          <w:rtl w:val="0"/>
        </w:rPr>
        <w:t xml:space="preserve">A. Why these SRE metrics and controls</w:t>
      </w:r>
    </w:p>
    <w:p w:rsidR="00000000" w:rsidDel="00000000" w:rsidP="00000000" w:rsidRDefault="00000000" w:rsidRPr="00000000" w14:paraId="00000084">
      <w:pPr>
        <w:spacing w:after="40" w:line="240" w:lineRule="auto"/>
        <w:rPr>
          <w:sz w:val="24"/>
          <w:szCs w:val="24"/>
        </w:rPr>
      </w:pPr>
      <w:r w:rsidDel="00000000" w:rsidR="00000000" w:rsidRPr="00000000">
        <w:rPr>
          <w:b w:val="1"/>
          <w:bCs w:val="1"/>
          <w:sz w:val="24"/>
          <w:szCs w:val="24"/>
          <w:rtl w:val="0"/>
        </w:rPr>
        <w:t xml:space="preserve">Why use SLIs and SLOs? </w:t>
      </w:r>
      <w:r w:rsidDel="00000000" w:rsidR="00000000" w:rsidRPr="00000000">
        <w:rPr>
          <w:sz w:val="24"/>
          <w:szCs w:val="24"/>
          <w:rtl w:val="0"/>
        </w:rPr>
        <w:t xml:space="preserve">Google SRE defines an SLO as a target value measured by an SLI. That is why the document separates the metric itself from the target. Pipeline success rate, freshness, and analytics availability are practical top-level reliability indicators for a data product because they directly affect whether the dashboard is usable and timely.</w:t>
      </w:r>
    </w:p>
    <w:p w:rsidR="00000000" w:rsidDel="00000000" w:rsidP="00000000" w:rsidRDefault="00000000" w:rsidRPr="00000000" w14:paraId="00000085">
      <w:pPr>
        <w:spacing w:after="40" w:line="240" w:lineRule="auto"/>
        <w:rPr>
          <w:sz w:val="24"/>
          <w:szCs w:val="24"/>
        </w:rPr>
      </w:pPr>
      <w:r w:rsidDel="00000000" w:rsidR="00000000" w:rsidRPr="00000000">
        <w:rPr>
          <w:b w:val="1"/>
          <w:bCs w:val="1"/>
          <w:sz w:val="24"/>
          <w:szCs w:val="24"/>
          <w:rtl w:val="0"/>
        </w:rPr>
        <w:t xml:space="preserve">Why monitor freshness? </w:t>
      </w:r>
      <w:r w:rsidDel="00000000" w:rsidR="00000000" w:rsidRPr="00000000">
        <w:rPr>
          <w:sz w:val="24"/>
          <w:szCs w:val="24"/>
          <w:rtl w:val="0"/>
        </w:rPr>
        <w:t xml:space="preserve">A dashboard can be online but still misleading if the latest data has not arrived. That is why freshness is treated as a first-class reliability metric instead of just a data engineering detail.</w:t>
      </w:r>
    </w:p>
    <w:p w:rsidR="00000000" w:rsidDel="00000000" w:rsidP="00000000" w:rsidRDefault="00000000" w:rsidRPr="00000000" w14:paraId="00000086">
      <w:pPr>
        <w:spacing w:after="40" w:line="240" w:lineRule="auto"/>
        <w:rPr>
          <w:sz w:val="24"/>
          <w:szCs w:val="24"/>
        </w:rPr>
      </w:pPr>
      <w:r w:rsidDel="00000000" w:rsidR="00000000" w:rsidRPr="00000000">
        <w:rPr>
          <w:b w:val="1"/>
          <w:bCs w:val="1"/>
          <w:sz w:val="24"/>
          <w:szCs w:val="24"/>
          <w:rtl w:val="0"/>
        </w:rPr>
        <w:t xml:space="preserve">Why use Azure Monitor, Application Insights, and Log Analytics together? </w:t>
      </w:r>
      <w:r w:rsidDel="00000000" w:rsidR="00000000" w:rsidRPr="00000000">
        <w:rPr>
          <w:sz w:val="24"/>
          <w:szCs w:val="24"/>
          <w:rtl w:val="0"/>
        </w:rPr>
        <w:t xml:space="preserve">Azure Monitor is the unified observability layer, Application Insights provides application performance monitoring for live web apps and APIs, and Log Analytics provides the query layer for logs. This makes the stack coherent for a separate web front end plus Azure data services.</w:t>
      </w:r>
    </w:p>
    <w:p w:rsidR="00000000" w:rsidDel="00000000" w:rsidP="00000000" w:rsidRDefault="00000000" w:rsidRPr="00000000" w14:paraId="00000087">
      <w:pPr>
        <w:spacing w:after="40" w:line="240" w:lineRule="auto"/>
        <w:rPr>
          <w:sz w:val="24"/>
          <w:szCs w:val="24"/>
        </w:rPr>
      </w:pPr>
      <w:r w:rsidDel="00000000" w:rsidR="00000000" w:rsidRPr="00000000">
        <w:rPr>
          <w:b w:val="1"/>
          <w:bCs w:val="1"/>
          <w:sz w:val="24"/>
          <w:szCs w:val="24"/>
          <w:rtl w:val="0"/>
        </w:rPr>
        <w:t xml:space="preserve">Why use Action Groups? </w:t>
      </w:r>
      <w:r w:rsidDel="00000000" w:rsidR="00000000" w:rsidRPr="00000000">
        <w:rPr>
          <w:sz w:val="24"/>
          <w:szCs w:val="24"/>
          <w:rtl w:val="0"/>
        </w:rPr>
        <w:t xml:space="preserve">Azure Action Groups define who gets notified and what action is taken when an alert fires. They support email, SMS, push, webhook, and automation actions, so they fit the requirement to specify how people are alerted.</w:t>
      </w:r>
    </w:p>
    <w:p w:rsidR="00000000" w:rsidDel="00000000" w:rsidP="00000000" w:rsidRDefault="00000000" w:rsidRPr="00000000" w14:paraId="00000088">
      <w:pPr>
        <w:spacing w:after="40" w:line="240" w:lineRule="auto"/>
        <w:rPr>
          <w:sz w:val="24"/>
          <w:szCs w:val="24"/>
        </w:rPr>
      </w:pPr>
      <w:r w:rsidDel="00000000" w:rsidR="00000000" w:rsidRPr="00000000">
        <w:rPr>
          <w:b w:val="1"/>
          <w:bCs w:val="1"/>
          <w:sz w:val="24"/>
          <w:szCs w:val="24"/>
          <w:rtl w:val="0"/>
        </w:rPr>
        <w:t xml:space="preserve">Why self-healing only for bounded cases? </w:t>
      </w:r>
      <w:r w:rsidDel="00000000" w:rsidR="00000000" w:rsidRPr="00000000">
        <w:rPr>
          <w:sz w:val="24"/>
          <w:szCs w:val="24"/>
          <w:rtl w:val="0"/>
        </w:rPr>
        <w:t xml:space="preserve">Automated recovery is useful only when the blast radius is controlled. Safe actions include retrying a failed connector, restarting a stateless worker, quarantining a bad batch, or temporarily serving the last known good dataset. Anything involving schema changes, security/privacy concerns, or repeated failure should hand off to manual intervention.</w:t>
      </w:r>
    </w:p>
    <w:p w:rsidR="00000000" w:rsidDel="00000000" w:rsidP="00000000" w:rsidRDefault="00000000" w:rsidRPr="00000000" w14:paraId="00000089">
      <w:pPr>
        <w:spacing w:after="40" w:line="240" w:lineRule="auto"/>
        <w:rPr>
          <w:sz w:val="24"/>
          <w:szCs w:val="24"/>
        </w:rPr>
      </w:pPr>
      <w:r w:rsidDel="00000000" w:rsidR="00000000" w:rsidRPr="00000000">
        <w:rPr>
          <w:b w:val="1"/>
          <w:bCs w:val="1"/>
          <w:sz w:val="24"/>
          <w:szCs w:val="24"/>
          <w:rtl w:val="0"/>
        </w:rPr>
        <w:t xml:space="preserve">Why include AI quality controls in an SRE document? </w:t>
      </w:r>
      <w:r w:rsidDel="00000000" w:rsidR="00000000" w:rsidRPr="00000000">
        <w:rPr>
          <w:sz w:val="24"/>
          <w:szCs w:val="24"/>
          <w:rtl w:val="0"/>
        </w:rPr>
        <w:t xml:space="preserve">NIST’s AI RMF says AI systems should be designed, deployed, and evaluated with trustworthiness considerations in mind. For this use case, malformed JSON, low confidence, hallucination risk, and language-detection failure affect operational reliability because bad AI output can create bad business decisions.</w:t>
      </w:r>
    </w:p>
    <w:p w:rsidR="00000000" w:rsidDel="00000000" w:rsidP="00000000" w:rsidRDefault="00000000" w:rsidRPr="00000000" w14:paraId="0000008A">
      <w:pPr>
        <w:pStyle w:val="Heading1"/>
        <w:spacing w:after="40" w:before="0" w:line="240" w:lineRule="auto"/>
        <w:rPr>
          <w:b w:val="1"/>
          <w:bCs w:val="1"/>
          <w:color w:val="19467d"/>
          <w:sz w:val="26"/>
          <w:szCs w:val="26"/>
        </w:rPr>
      </w:pPr>
      <w:r w:rsidDel="00000000" w:rsidR="00000000" w:rsidRPr="00000000">
        <w:rPr>
          <w:b w:val="1"/>
          <w:bCs w:val="1"/>
          <w:color w:val="19467d"/>
          <w:sz w:val="26"/>
          <w:szCs w:val="26"/>
          <w:rtl w:val="0"/>
        </w:rPr>
        <w:t xml:space="preserve">B. Keyword explanations and formulas</w:t>
      </w:r>
    </w:p>
    <w:tbl>
      <w:tblPr>
        <w:tblStyle w:val="Table4"/>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shd w:fill="d9eaf7" w:val="clear"/>
            <w:tcMar>
              <w:top w:w="60.0" w:type="dxa"/>
              <w:bottom w:w="60.0" w:type="dxa"/>
            </w:tcMar>
          </w:tcPr>
          <w:p w:rsidR="00000000" w:rsidDel="00000000" w:rsidP="00000000" w:rsidRDefault="00000000" w:rsidRPr="00000000" w14:paraId="0000008B">
            <w:pPr>
              <w:rPr>
                <w:sz w:val="24"/>
                <w:szCs w:val="24"/>
              </w:rPr>
            </w:pPr>
            <w:r w:rsidDel="00000000" w:rsidR="00000000" w:rsidRPr="00000000">
              <w:rPr>
                <w:b w:val="1"/>
                <w:bCs w:val="1"/>
                <w:rtl w:val="0"/>
              </w:rPr>
              <w:t xml:space="preserve">Term</w:t>
            </w:r>
            <w:r w:rsidDel="00000000" w:rsidR="00000000" w:rsidRPr="00000000">
              <w:rPr>
                <w:rtl w:val="0"/>
              </w:rPr>
            </w:r>
          </w:p>
        </w:tc>
        <w:tc>
          <w:tcPr>
            <w:shd w:fill="d9eaf7" w:val="clear"/>
            <w:tcMar>
              <w:top w:w="60.0" w:type="dxa"/>
              <w:bottom w:w="60.0" w:type="dxa"/>
            </w:tcMar>
          </w:tcPr>
          <w:p w:rsidR="00000000" w:rsidDel="00000000" w:rsidP="00000000" w:rsidRDefault="00000000" w:rsidRPr="00000000" w14:paraId="0000008C">
            <w:pPr>
              <w:rPr>
                <w:sz w:val="24"/>
                <w:szCs w:val="24"/>
              </w:rPr>
            </w:pPr>
            <w:r w:rsidDel="00000000" w:rsidR="00000000" w:rsidRPr="00000000">
              <w:rPr>
                <w:b w:val="1"/>
                <w:bCs w:val="1"/>
                <w:rtl w:val="0"/>
              </w:rPr>
              <w:t xml:space="preserve">Meaning / Calculation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D">
            <w:pPr>
              <w:rPr>
                <w:sz w:val="24"/>
                <w:szCs w:val="24"/>
              </w:rPr>
            </w:pPr>
            <w:r w:rsidDel="00000000" w:rsidR="00000000" w:rsidRPr="00000000">
              <w:rPr>
                <w:sz w:val="21"/>
                <w:szCs w:val="21"/>
                <w:rtl w:val="0"/>
              </w:rPr>
              <w:t xml:space="preserve">SLI</w:t>
            </w:r>
            <w:r w:rsidDel="00000000" w:rsidR="00000000" w:rsidRPr="00000000">
              <w:rPr>
                <w:rtl w:val="0"/>
              </w:rPr>
            </w:r>
          </w:p>
        </w:tc>
        <w:tc>
          <w:tcPr>
            <w:tcMar>
              <w:top w:w="50.0" w:type="dxa"/>
              <w:bottom w:w="50.0" w:type="dxa"/>
            </w:tcMar>
          </w:tcPr>
          <w:p w:rsidR="00000000" w:rsidDel="00000000" w:rsidP="00000000" w:rsidRDefault="00000000" w:rsidRPr="00000000" w14:paraId="0000008E">
            <w:pPr>
              <w:rPr>
                <w:sz w:val="24"/>
                <w:szCs w:val="24"/>
              </w:rPr>
            </w:pPr>
            <w:r w:rsidDel="00000000" w:rsidR="00000000" w:rsidRPr="00000000">
              <w:rPr>
                <w:sz w:val="21"/>
                <w:szCs w:val="21"/>
                <w:rtl w:val="0"/>
              </w:rPr>
              <w:t xml:space="preserve">Service Level Indicator. The metric you monitor, such as pipeline success rate or dashboard availability.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8F">
            <w:pPr>
              <w:rPr>
                <w:sz w:val="24"/>
                <w:szCs w:val="24"/>
              </w:rPr>
            </w:pPr>
            <w:r w:rsidDel="00000000" w:rsidR="00000000" w:rsidRPr="00000000">
              <w:rPr>
                <w:sz w:val="21"/>
                <w:szCs w:val="21"/>
                <w:rtl w:val="0"/>
              </w:rPr>
              <w:t xml:space="preserve">SLO</w:t>
            </w:r>
            <w:r w:rsidDel="00000000" w:rsidR="00000000" w:rsidRPr="00000000">
              <w:rPr>
                <w:rtl w:val="0"/>
              </w:rPr>
            </w:r>
          </w:p>
        </w:tc>
        <w:tc>
          <w:tcPr>
            <w:tcMar>
              <w:top w:w="50.0" w:type="dxa"/>
              <w:bottom w:w="50.0" w:type="dxa"/>
            </w:tcMar>
          </w:tcPr>
          <w:p w:rsidR="00000000" w:rsidDel="00000000" w:rsidP="00000000" w:rsidRDefault="00000000" w:rsidRPr="00000000" w14:paraId="00000090">
            <w:pPr>
              <w:rPr>
                <w:sz w:val="24"/>
                <w:szCs w:val="24"/>
              </w:rPr>
            </w:pPr>
            <w:r w:rsidDel="00000000" w:rsidR="00000000" w:rsidRPr="00000000">
              <w:rPr>
                <w:sz w:val="21"/>
                <w:szCs w:val="21"/>
                <w:rtl w:val="0"/>
              </w:rPr>
              <w:t xml:space="preserve">Service Level Objective. The target level for an SLI, such as 99.5% monthly availability.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1">
            <w:pPr>
              <w:rPr>
                <w:sz w:val="24"/>
                <w:szCs w:val="24"/>
              </w:rPr>
            </w:pPr>
            <w:r w:rsidDel="00000000" w:rsidR="00000000" w:rsidRPr="00000000">
              <w:rPr>
                <w:sz w:val="21"/>
                <w:szCs w:val="21"/>
                <w:rtl w:val="0"/>
              </w:rPr>
              <w:t xml:space="preserve">Pipeline success rate</w:t>
            </w:r>
            <w:r w:rsidDel="00000000" w:rsidR="00000000" w:rsidRPr="00000000">
              <w:rPr>
                <w:rtl w:val="0"/>
              </w:rPr>
            </w:r>
          </w:p>
        </w:tc>
        <w:tc>
          <w:tcPr>
            <w:tcMar>
              <w:top w:w="50.0" w:type="dxa"/>
              <w:bottom w:w="50.0" w:type="dxa"/>
            </w:tcMar>
          </w:tcPr>
          <w:p w:rsidR="00000000" w:rsidDel="00000000" w:rsidP="00000000" w:rsidRDefault="00000000" w:rsidRPr="00000000" w14:paraId="00000092">
            <w:pPr>
              <w:rPr>
                <w:sz w:val="24"/>
                <w:szCs w:val="24"/>
              </w:rPr>
            </w:pPr>
            <w:r w:rsidDel="00000000" w:rsidR="00000000" w:rsidRPr="00000000">
              <w:rPr>
                <w:sz w:val="21"/>
                <w:szCs w:val="21"/>
                <w:rtl w:val="0"/>
              </w:rPr>
              <w:t xml:space="preserve">successful scheduled runs ÷ total scheduled runs. If 99 out of 100 scheduled runs succeed, the success rate is 99%.</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3">
            <w:pPr>
              <w:rPr>
                <w:sz w:val="24"/>
                <w:szCs w:val="24"/>
              </w:rPr>
            </w:pPr>
            <w:r w:rsidDel="00000000" w:rsidR="00000000" w:rsidRPr="00000000">
              <w:rPr>
                <w:sz w:val="21"/>
                <w:szCs w:val="21"/>
                <w:rtl w:val="0"/>
              </w:rPr>
              <w:t xml:space="preserve">Data freshness</w:t>
            </w:r>
            <w:r w:rsidDel="00000000" w:rsidR="00000000" w:rsidRPr="00000000">
              <w:rPr>
                <w:rtl w:val="0"/>
              </w:rPr>
            </w:r>
          </w:p>
        </w:tc>
        <w:tc>
          <w:tcPr>
            <w:tcMar>
              <w:top w:w="50.0" w:type="dxa"/>
              <w:bottom w:w="50.0" w:type="dxa"/>
            </w:tcMar>
          </w:tcPr>
          <w:p w:rsidR="00000000" w:rsidDel="00000000" w:rsidP="00000000" w:rsidRDefault="00000000" w:rsidRPr="00000000" w14:paraId="00000094">
            <w:pPr>
              <w:rPr>
                <w:sz w:val="24"/>
                <w:szCs w:val="24"/>
              </w:rPr>
            </w:pPr>
            <w:r w:rsidDel="00000000" w:rsidR="00000000" w:rsidRPr="00000000">
              <w:rPr>
                <w:sz w:val="21"/>
                <w:szCs w:val="21"/>
                <w:rtl w:val="0"/>
              </w:rPr>
              <w:t xml:space="preserve">The elapsed time between expected data arrival and the time the processed output becomes available to users.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5">
            <w:pPr>
              <w:rPr>
                <w:sz w:val="24"/>
                <w:szCs w:val="24"/>
              </w:rPr>
            </w:pPr>
            <w:r w:rsidDel="00000000" w:rsidR="00000000" w:rsidRPr="00000000">
              <w:rPr>
                <w:sz w:val="21"/>
                <w:szCs w:val="21"/>
                <w:rtl w:val="0"/>
              </w:rPr>
              <w:t xml:space="preserve">Analytics availability</w:t>
            </w:r>
            <w:r w:rsidDel="00000000" w:rsidR="00000000" w:rsidRPr="00000000">
              <w:rPr>
                <w:rtl w:val="0"/>
              </w:rPr>
            </w:r>
          </w:p>
        </w:tc>
        <w:tc>
          <w:tcPr>
            <w:tcMar>
              <w:top w:w="50.0" w:type="dxa"/>
              <w:bottom w:w="50.0" w:type="dxa"/>
            </w:tcMar>
          </w:tcPr>
          <w:p w:rsidR="00000000" w:rsidDel="00000000" w:rsidP="00000000" w:rsidRDefault="00000000" w:rsidRPr="00000000" w14:paraId="00000096">
            <w:pPr>
              <w:rPr>
                <w:sz w:val="24"/>
                <w:szCs w:val="24"/>
              </w:rPr>
            </w:pPr>
            <w:r w:rsidDel="00000000" w:rsidR="00000000" w:rsidRPr="00000000">
              <w:rPr>
                <w:sz w:val="21"/>
                <w:szCs w:val="21"/>
                <w:rtl w:val="0"/>
              </w:rPr>
              <w:t xml:space="preserve">successful dashboard or API requests ÷ total dashboard or API requests.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7">
            <w:pPr>
              <w:rPr>
                <w:sz w:val="24"/>
                <w:szCs w:val="24"/>
              </w:rPr>
            </w:pPr>
            <w:r w:rsidDel="00000000" w:rsidR="00000000" w:rsidRPr="00000000">
              <w:rPr>
                <w:sz w:val="21"/>
                <w:szCs w:val="21"/>
                <w:rtl w:val="0"/>
              </w:rPr>
              <w:t xml:space="preserve">p50 / median</w:t>
            </w:r>
            <w:r w:rsidDel="00000000" w:rsidR="00000000" w:rsidRPr="00000000">
              <w:rPr>
                <w:rtl w:val="0"/>
              </w:rPr>
            </w:r>
          </w:p>
        </w:tc>
        <w:tc>
          <w:tcPr>
            <w:tcMar>
              <w:top w:w="50.0" w:type="dxa"/>
              <w:bottom w:w="50.0" w:type="dxa"/>
            </w:tcMar>
          </w:tcPr>
          <w:p w:rsidR="00000000" w:rsidDel="00000000" w:rsidP="00000000" w:rsidRDefault="00000000" w:rsidRPr="00000000" w14:paraId="00000098">
            <w:pPr>
              <w:rPr>
                <w:sz w:val="24"/>
                <w:szCs w:val="24"/>
              </w:rPr>
            </w:pPr>
            <w:r w:rsidDel="00000000" w:rsidR="00000000" w:rsidRPr="00000000">
              <w:rPr>
                <w:sz w:val="21"/>
                <w:szCs w:val="21"/>
                <w:rtl w:val="0"/>
              </w:rPr>
              <w:t xml:space="preserve">The middle value. Half of requests are faster than this and half are slower.</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9">
            <w:pPr>
              <w:rPr>
                <w:sz w:val="24"/>
                <w:szCs w:val="24"/>
              </w:rPr>
            </w:pPr>
            <w:r w:rsidDel="00000000" w:rsidR="00000000" w:rsidRPr="00000000">
              <w:rPr>
                <w:sz w:val="21"/>
                <w:szCs w:val="21"/>
                <w:rtl w:val="0"/>
              </w:rPr>
              <w:t xml:space="preserve">p95</w:t>
            </w:r>
            <w:r w:rsidDel="00000000" w:rsidR="00000000" w:rsidRPr="00000000">
              <w:rPr>
                <w:rtl w:val="0"/>
              </w:rPr>
            </w:r>
          </w:p>
        </w:tc>
        <w:tc>
          <w:tcPr>
            <w:tcMar>
              <w:top w:w="50.0" w:type="dxa"/>
              <w:bottom w:w="50.0" w:type="dxa"/>
            </w:tcMar>
          </w:tcPr>
          <w:p w:rsidR="00000000" w:rsidDel="00000000" w:rsidP="00000000" w:rsidRDefault="00000000" w:rsidRPr="00000000" w14:paraId="0000009A">
            <w:pPr>
              <w:rPr>
                <w:sz w:val="24"/>
                <w:szCs w:val="24"/>
              </w:rPr>
            </w:pPr>
            <w:r w:rsidDel="00000000" w:rsidR="00000000" w:rsidRPr="00000000">
              <w:rPr>
                <w:sz w:val="21"/>
                <w:szCs w:val="21"/>
                <w:rtl w:val="0"/>
              </w:rPr>
              <w:t xml:space="preserve">The 95th percentile. Ninety-five percent of requests are as fast as or faster than this value.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B">
            <w:pPr>
              <w:rPr>
                <w:sz w:val="24"/>
                <w:szCs w:val="24"/>
              </w:rPr>
            </w:pPr>
            <w:r w:rsidDel="00000000" w:rsidR="00000000" w:rsidRPr="00000000">
              <w:rPr>
                <w:sz w:val="21"/>
                <w:szCs w:val="21"/>
                <w:rtl w:val="0"/>
              </w:rPr>
              <w:t xml:space="preserve">Null rate</w:t>
            </w:r>
            <w:r w:rsidDel="00000000" w:rsidR="00000000" w:rsidRPr="00000000">
              <w:rPr>
                <w:rtl w:val="0"/>
              </w:rPr>
            </w:r>
          </w:p>
        </w:tc>
        <w:tc>
          <w:tcPr>
            <w:tcMar>
              <w:top w:w="50.0" w:type="dxa"/>
              <w:bottom w:w="50.0" w:type="dxa"/>
            </w:tcMar>
          </w:tcPr>
          <w:p w:rsidR="00000000" w:rsidDel="00000000" w:rsidP="00000000" w:rsidRDefault="00000000" w:rsidRPr="00000000" w14:paraId="0000009C">
            <w:pPr>
              <w:rPr>
                <w:sz w:val="24"/>
                <w:szCs w:val="24"/>
              </w:rPr>
            </w:pPr>
            <w:r w:rsidDel="00000000" w:rsidR="00000000" w:rsidRPr="00000000">
              <w:rPr>
                <w:sz w:val="21"/>
                <w:szCs w:val="21"/>
                <w:rtl w:val="0"/>
              </w:rPr>
              <w:t xml:space="preserve">null values in required fields ÷ total records in the batch.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D">
            <w:pPr>
              <w:rPr>
                <w:sz w:val="24"/>
                <w:szCs w:val="24"/>
              </w:rPr>
            </w:pPr>
            <w:r w:rsidDel="00000000" w:rsidR="00000000" w:rsidRPr="00000000">
              <w:rPr>
                <w:sz w:val="21"/>
                <w:szCs w:val="21"/>
                <w:rtl w:val="0"/>
              </w:rPr>
              <w:t xml:space="preserve">Duplicate rate</w:t>
            </w:r>
            <w:r w:rsidDel="00000000" w:rsidR="00000000" w:rsidRPr="00000000">
              <w:rPr>
                <w:rtl w:val="0"/>
              </w:rPr>
            </w:r>
          </w:p>
        </w:tc>
        <w:tc>
          <w:tcPr>
            <w:tcMar>
              <w:top w:w="50.0" w:type="dxa"/>
              <w:bottom w:w="50.0" w:type="dxa"/>
            </w:tcMar>
          </w:tcPr>
          <w:p w:rsidR="00000000" w:rsidDel="00000000" w:rsidP="00000000" w:rsidRDefault="00000000" w:rsidRPr="00000000" w14:paraId="0000009E">
            <w:pPr>
              <w:rPr>
                <w:sz w:val="24"/>
                <w:szCs w:val="24"/>
              </w:rPr>
            </w:pPr>
            <w:r w:rsidDel="00000000" w:rsidR="00000000" w:rsidRPr="00000000">
              <w:rPr>
                <w:sz w:val="21"/>
                <w:szCs w:val="21"/>
                <w:rtl w:val="0"/>
              </w:rPr>
              <w:t xml:space="preserve">duplicate records ÷ total records in the batch, based on a stable key or hash.</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9F">
            <w:pPr>
              <w:rPr>
                <w:sz w:val="24"/>
                <w:szCs w:val="24"/>
              </w:rPr>
            </w:pPr>
            <w:r w:rsidDel="00000000" w:rsidR="00000000" w:rsidRPr="00000000">
              <w:rPr>
                <w:sz w:val="21"/>
                <w:szCs w:val="21"/>
                <w:rtl w:val="0"/>
              </w:rPr>
              <w:t xml:space="preserve">Schema drift</w:t>
            </w:r>
            <w:r w:rsidDel="00000000" w:rsidR="00000000" w:rsidRPr="00000000">
              <w:rPr>
                <w:rtl w:val="0"/>
              </w:rPr>
            </w:r>
          </w:p>
        </w:tc>
        <w:tc>
          <w:tcPr>
            <w:tcMar>
              <w:top w:w="50.0" w:type="dxa"/>
              <w:bottom w:w="50.0" w:type="dxa"/>
            </w:tcMar>
          </w:tcPr>
          <w:p w:rsidR="00000000" w:rsidDel="00000000" w:rsidP="00000000" w:rsidRDefault="00000000" w:rsidRPr="00000000" w14:paraId="000000A0">
            <w:pPr>
              <w:rPr>
                <w:sz w:val="24"/>
                <w:szCs w:val="24"/>
              </w:rPr>
            </w:pPr>
            <w:r w:rsidDel="00000000" w:rsidR="00000000" w:rsidRPr="00000000">
              <w:rPr>
                <w:sz w:val="21"/>
                <w:szCs w:val="21"/>
                <w:rtl w:val="0"/>
              </w:rPr>
              <w:t xml:space="preserve">A source changes column names, required fields, or data types without warning.</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1">
            <w:pPr>
              <w:rPr>
                <w:sz w:val="24"/>
                <w:szCs w:val="24"/>
              </w:rPr>
            </w:pPr>
            <w:r w:rsidDel="00000000" w:rsidR="00000000" w:rsidRPr="00000000">
              <w:rPr>
                <w:sz w:val="21"/>
                <w:szCs w:val="21"/>
                <w:rtl w:val="0"/>
              </w:rPr>
              <w:t xml:space="preserve">Validation pass rate</w:t>
            </w:r>
            <w:r w:rsidDel="00000000" w:rsidR="00000000" w:rsidRPr="00000000">
              <w:rPr>
                <w:rtl w:val="0"/>
              </w:rPr>
            </w:r>
          </w:p>
        </w:tc>
        <w:tc>
          <w:tcPr>
            <w:tcMar>
              <w:top w:w="50.0" w:type="dxa"/>
              <w:bottom w:w="50.0" w:type="dxa"/>
            </w:tcMar>
          </w:tcPr>
          <w:p w:rsidR="00000000" w:rsidDel="00000000" w:rsidP="00000000" w:rsidRDefault="00000000" w:rsidRPr="00000000" w14:paraId="000000A2">
            <w:pPr>
              <w:rPr>
                <w:sz w:val="24"/>
                <w:szCs w:val="24"/>
              </w:rPr>
            </w:pPr>
            <w:r w:rsidDel="00000000" w:rsidR="00000000" w:rsidRPr="00000000">
              <w:rPr>
                <w:sz w:val="21"/>
                <w:szCs w:val="21"/>
                <w:rtl w:val="0"/>
              </w:rPr>
              <w:t xml:space="preserve">rules passed ÷ total validation rules executed for a batch or job run.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3">
            <w:pPr>
              <w:rPr>
                <w:sz w:val="24"/>
                <w:szCs w:val="24"/>
              </w:rPr>
            </w:pPr>
            <w:r w:rsidDel="00000000" w:rsidR="00000000" w:rsidRPr="00000000">
              <w:rPr>
                <w:sz w:val="21"/>
                <w:szCs w:val="21"/>
                <w:rtl w:val="0"/>
              </w:rPr>
              <w:t xml:space="preserve">Fallback dataset</w:t>
            </w:r>
            <w:r w:rsidDel="00000000" w:rsidR="00000000" w:rsidRPr="00000000">
              <w:rPr>
                <w:rtl w:val="0"/>
              </w:rPr>
            </w:r>
          </w:p>
        </w:tc>
        <w:tc>
          <w:tcPr>
            <w:tcMar>
              <w:top w:w="50.0" w:type="dxa"/>
              <w:bottom w:w="50.0" w:type="dxa"/>
            </w:tcMar>
          </w:tcPr>
          <w:p w:rsidR="00000000" w:rsidDel="00000000" w:rsidP="00000000" w:rsidRDefault="00000000" w:rsidRPr="00000000" w14:paraId="000000A4">
            <w:pPr>
              <w:rPr>
                <w:sz w:val="24"/>
                <w:szCs w:val="24"/>
              </w:rPr>
            </w:pPr>
            <w:r w:rsidDel="00000000" w:rsidR="00000000" w:rsidRPr="00000000">
              <w:rPr>
                <w:sz w:val="21"/>
                <w:szCs w:val="21"/>
                <w:rtl w:val="0"/>
              </w:rPr>
              <w:t xml:space="preserve">The most recent validated dataset that can be safely served while the latest batch is under investigation.</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5">
            <w:pPr>
              <w:rPr>
                <w:sz w:val="24"/>
                <w:szCs w:val="24"/>
              </w:rPr>
            </w:pPr>
            <w:r w:rsidDel="00000000" w:rsidR="00000000" w:rsidRPr="00000000">
              <w:rPr>
                <w:sz w:val="21"/>
                <w:szCs w:val="21"/>
                <w:rtl w:val="0"/>
              </w:rPr>
              <w:t xml:space="preserve">Quarantine table</w:t>
            </w:r>
            <w:r w:rsidDel="00000000" w:rsidR="00000000" w:rsidRPr="00000000">
              <w:rPr>
                <w:rtl w:val="0"/>
              </w:rPr>
            </w:r>
          </w:p>
        </w:tc>
        <w:tc>
          <w:tcPr>
            <w:tcMar>
              <w:top w:w="50.0" w:type="dxa"/>
              <w:bottom w:w="50.0" w:type="dxa"/>
            </w:tcMar>
          </w:tcPr>
          <w:p w:rsidR="00000000" w:rsidDel="00000000" w:rsidP="00000000" w:rsidRDefault="00000000" w:rsidRPr="00000000" w14:paraId="000000A6">
            <w:pPr>
              <w:rPr>
                <w:sz w:val="24"/>
                <w:szCs w:val="24"/>
              </w:rPr>
            </w:pPr>
            <w:r w:rsidDel="00000000" w:rsidR="00000000" w:rsidRPr="00000000">
              <w:rPr>
                <w:sz w:val="21"/>
                <w:szCs w:val="21"/>
                <w:rtl w:val="0"/>
              </w:rPr>
              <w:t xml:space="preserve">A holding table for bad or suspect records so that one broken batch does not contaminate published analytics.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7">
            <w:pPr>
              <w:rPr>
                <w:sz w:val="24"/>
                <w:szCs w:val="24"/>
              </w:rPr>
            </w:pPr>
            <w:r w:rsidDel="00000000" w:rsidR="00000000" w:rsidRPr="00000000">
              <w:rPr>
                <w:sz w:val="21"/>
                <w:szCs w:val="21"/>
                <w:rtl w:val="0"/>
              </w:rPr>
              <w:t xml:space="preserve">RCA</w:t>
            </w:r>
            <w:r w:rsidDel="00000000" w:rsidR="00000000" w:rsidRPr="00000000">
              <w:rPr>
                <w:rtl w:val="0"/>
              </w:rPr>
            </w:r>
          </w:p>
        </w:tc>
        <w:tc>
          <w:tcPr>
            <w:tcMar>
              <w:top w:w="50.0" w:type="dxa"/>
              <w:bottom w:w="50.0" w:type="dxa"/>
            </w:tcMar>
          </w:tcPr>
          <w:p w:rsidR="00000000" w:rsidDel="00000000" w:rsidP="00000000" w:rsidRDefault="00000000" w:rsidRPr="00000000" w14:paraId="000000A8">
            <w:pPr>
              <w:rPr>
                <w:sz w:val="24"/>
                <w:szCs w:val="24"/>
              </w:rPr>
            </w:pPr>
            <w:r w:rsidDel="00000000" w:rsidR="00000000" w:rsidRPr="00000000">
              <w:rPr>
                <w:sz w:val="21"/>
                <w:szCs w:val="21"/>
                <w:rtl w:val="0"/>
              </w:rPr>
              <w:t xml:space="preserve">Root-Cause Analysis. A structured review of what failed, why it failed, why it was not caught earlier, and what control must be improved.</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9">
            <w:pPr>
              <w:rPr>
                <w:sz w:val="24"/>
                <w:szCs w:val="24"/>
              </w:rPr>
            </w:pPr>
            <w:r w:rsidDel="00000000" w:rsidR="00000000" w:rsidRPr="00000000">
              <w:rPr>
                <w:sz w:val="21"/>
                <w:szCs w:val="21"/>
                <w:rtl w:val="0"/>
              </w:rPr>
              <w:t xml:space="preserve">CAP</w:t>
            </w:r>
            <w:r w:rsidDel="00000000" w:rsidR="00000000" w:rsidRPr="00000000">
              <w:rPr>
                <w:rtl w:val="0"/>
              </w:rPr>
            </w:r>
          </w:p>
        </w:tc>
        <w:tc>
          <w:tcPr>
            <w:tcMar>
              <w:top w:w="50.0" w:type="dxa"/>
              <w:bottom w:w="50.0" w:type="dxa"/>
            </w:tcMar>
          </w:tcPr>
          <w:p w:rsidR="00000000" w:rsidDel="00000000" w:rsidP="00000000" w:rsidRDefault="00000000" w:rsidRPr="00000000" w14:paraId="000000AA">
            <w:pPr>
              <w:rPr>
                <w:sz w:val="24"/>
                <w:szCs w:val="24"/>
              </w:rPr>
            </w:pPr>
            <w:r w:rsidDel="00000000" w:rsidR="00000000" w:rsidRPr="00000000">
              <w:rPr>
                <w:sz w:val="21"/>
                <w:szCs w:val="21"/>
                <w:rtl w:val="0"/>
              </w:rPr>
              <w:t xml:space="preserve">Corrective Action Plan. The specific fix, owner, due date, and validation metric created after the RCA.</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AB">
            <w:pPr>
              <w:rPr>
                <w:sz w:val="24"/>
                <w:szCs w:val="24"/>
              </w:rPr>
            </w:pPr>
            <w:r w:rsidDel="00000000" w:rsidR="00000000" w:rsidRPr="00000000">
              <w:rPr>
                <w:sz w:val="21"/>
                <w:szCs w:val="21"/>
                <w:rtl w:val="0"/>
              </w:rPr>
              <w:t xml:space="preserve">RACI</w:t>
            </w:r>
            <w:r w:rsidDel="00000000" w:rsidR="00000000" w:rsidRPr="00000000">
              <w:rPr>
                <w:rtl w:val="0"/>
              </w:rPr>
            </w:r>
          </w:p>
        </w:tc>
        <w:tc>
          <w:tcPr>
            <w:tcMar>
              <w:top w:w="50.0" w:type="dxa"/>
              <w:bottom w:w="50.0" w:type="dxa"/>
            </w:tcMar>
          </w:tcPr>
          <w:p w:rsidR="00000000" w:rsidDel="00000000" w:rsidP="00000000" w:rsidRDefault="00000000" w:rsidRPr="00000000" w14:paraId="000000AC">
            <w:pPr>
              <w:rPr>
                <w:sz w:val="24"/>
                <w:szCs w:val="24"/>
              </w:rPr>
            </w:pPr>
            <w:r w:rsidDel="00000000" w:rsidR="00000000" w:rsidRPr="00000000">
              <w:rPr>
                <w:sz w:val="21"/>
                <w:szCs w:val="21"/>
                <w:rtl w:val="0"/>
              </w:rPr>
              <w:t xml:space="preserve">Responsible, Accountable, Consulted, Informed. A matrix that clarifies role ownership during delivery and incidents.</w:t>
            </w:r>
            <w:r w:rsidDel="00000000" w:rsidR="00000000" w:rsidRPr="00000000">
              <w:rPr>
                <w:rtl w:val="0"/>
              </w:rPr>
            </w:r>
          </w:p>
        </w:tc>
      </w:tr>
    </w:tbl>
    <w:p w:rsidR="00000000" w:rsidDel="00000000" w:rsidP="00000000" w:rsidRDefault="00000000" w:rsidRPr="00000000" w14:paraId="000000AD">
      <w:pPr>
        <w:pStyle w:val="Heading1"/>
        <w:spacing w:after="40" w:before="0" w:line="240" w:lineRule="auto"/>
        <w:rPr>
          <w:b w:val="1"/>
          <w:bCs w:val="1"/>
          <w:color w:val="19467d"/>
          <w:sz w:val="26"/>
          <w:szCs w:val="26"/>
        </w:rPr>
      </w:pPr>
      <w:r w:rsidDel="00000000" w:rsidR="00000000" w:rsidRPr="00000000">
        <w:rPr>
          <w:b w:val="1"/>
          <w:bCs w:val="1"/>
          <w:color w:val="19467d"/>
          <w:sz w:val="26"/>
          <w:szCs w:val="26"/>
          <w:rtl w:val="0"/>
        </w:rPr>
        <w:t xml:space="preserve">C. Reference links</w:t>
      </w:r>
    </w:p>
    <w:p w:rsidR="00000000" w:rsidDel="00000000" w:rsidP="00000000" w:rsidRDefault="00000000" w:rsidRPr="00000000" w14:paraId="000000AE">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Google SRE Book - Service Level Objectives: https://sre.google/sre-book/service-level-objectives/</w:t>
      </w:r>
    </w:p>
    <w:p w:rsidR="00000000" w:rsidDel="00000000" w:rsidP="00000000" w:rsidRDefault="00000000" w:rsidRPr="00000000" w14:paraId="000000AF">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NIST SP 800-61 Rev. 3 - Incident Response Recommendations and Considerations for Cybersecurity Risk Management: https://csrc.nist.gov/pubs/sp/800/61/r3/final</w:t>
      </w:r>
    </w:p>
    <w:p w:rsidR="00000000" w:rsidDel="00000000" w:rsidP="00000000" w:rsidRDefault="00000000" w:rsidRPr="00000000" w14:paraId="000000B0">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NIST AI Risk Management Framework: https://www.nist.gov/itl/ai-risk-management-framework</w:t>
      </w:r>
    </w:p>
    <w:p w:rsidR="00000000" w:rsidDel="00000000" w:rsidP="00000000" w:rsidRDefault="00000000" w:rsidRPr="00000000" w14:paraId="000000B1">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Azure Monitor overview: https://learn.microsoft.com/en-us/azure/azure-monitor/fundamentals/overview</w:t>
      </w:r>
    </w:p>
    <w:p w:rsidR="00000000" w:rsidDel="00000000" w:rsidP="00000000" w:rsidRDefault="00000000" w:rsidRPr="00000000" w14:paraId="000000B2">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Application Insights overview: https://learn.microsoft.com/en-us/azure/azure-monitor/app/app-insights-overview</w:t>
      </w:r>
    </w:p>
    <w:p w:rsidR="00000000" w:rsidDel="00000000" w:rsidP="00000000" w:rsidRDefault="00000000" w:rsidRPr="00000000" w14:paraId="000000B3">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Log Analytics overview: https://learn.microsoft.com/en-us/azure/azure-monitor/logs/log-analytics-overview</w:t>
      </w:r>
    </w:p>
    <w:p w:rsidR="00000000" w:rsidDel="00000000" w:rsidP="00000000" w:rsidRDefault="00000000" w:rsidRPr="00000000" w14:paraId="000000B4">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Azure Monitor alerts overview: https://learn.microsoft.com/en-us/azure/azure-monitor/alerts/alerts-overview</w:t>
      </w:r>
    </w:p>
    <w:p w:rsidR="00000000" w:rsidDel="00000000" w:rsidP="00000000" w:rsidRDefault="00000000" w:rsidRPr="00000000" w14:paraId="000000B5">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Azure Monitor action groups: https://learn.microsoft.com/en-us/azure/azure-monitor/alerts/action-groups</w:t>
      </w:r>
    </w:p>
    <w:p w:rsidR="00000000" w:rsidDel="00000000" w:rsidP="00000000" w:rsidRDefault="00000000" w:rsidRPr="00000000" w14:paraId="000000B6">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Monitor Azure Data Factory: https://learn.microsoft.com/en-us/azure/data-factory/monitor-data-factory</w:t>
      </w:r>
    </w:p>
    <w:p w:rsidR="00000000" w:rsidDel="00000000" w:rsidP="00000000" w:rsidRDefault="00000000" w:rsidRPr="00000000" w14:paraId="000000B7">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Monitor Azure Blob Storage: https://learn.microsoft.com/en-us/azure/storage/blobs/monitor-blob-storage</w:t>
      </w:r>
    </w:p>
    <w:p w:rsidR="00000000" w:rsidDel="00000000" w:rsidP="00000000" w:rsidRDefault="00000000" w:rsidRPr="00000000" w14:paraId="000000B8">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Azure Container Apps jobs: https://learn.microsoft.com/en-us/azure/container-apps/jobs</w:t>
      </w:r>
    </w:p>
    <w:p w:rsidR="00000000" w:rsidDel="00000000" w:rsidP="00000000" w:rsidRDefault="00000000" w:rsidRPr="00000000" w14:paraId="000000B9">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Azure Key Vault overview: https://learn.microsoft.com/en-us/azure/key-vault/general/overview</w:t>
      </w:r>
    </w:p>
    <w:p w:rsidR="00000000" w:rsidDel="00000000" w:rsidP="00000000" w:rsidRDefault="00000000" w:rsidRPr="00000000" w14:paraId="000000BA">
      <w:pPr>
        <w:spacing w:line="240" w:lineRule="auto"/>
        <w:ind w:hanging="173"/>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P&amp;G 2025 Annual Report - Superiority across product, package, brand communication, retail execution and value: https://us.pg.com/annualreport2025/superiority-across-product-package-brand-communication-retail-execution-and-value/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spacing w:line="240" w:lineRule="auto"/>
      <w:jc w:val="center"/>
      <w:rPr/>
    </w:pPr>
    <w:r w:rsidDel="00000000" w:rsidR="00000000" w:rsidRPr="00000000">
      <w:rPr>
        <w:b w:val="1"/>
        <w:bCs w:val="1"/>
        <w:sz w:val="24"/>
        <w:szCs w:val="24"/>
        <w:rtl w:val="0"/>
      </w:rPr>
      <w:t xml:space="preserve">SRE Strategy Document and Incident Response Playbook</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