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rzjwd8xwbobf"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Final project- draft</w:t>
      </w:r>
      <w:r w:rsidDel="00000000" w:rsidR="00000000" w:rsidRPr="00000000">
        <w:rPr>
          <w:rtl w:val="0"/>
        </w:rPr>
      </w:r>
    </w:p>
    <w:p w:rsidR="00000000" w:rsidDel="00000000" w:rsidP="00000000" w:rsidRDefault="00000000" w:rsidRPr="00000000" w14:paraId="00000002">
      <w:pPr>
        <w:pStyle w:val="Title"/>
        <w:keepNext w:val="0"/>
        <w:keepLines w:val="0"/>
        <w:shd w:fill="ffffff" w:val="clear"/>
        <w:spacing w:after="220" w:before="220" w:lineRule="auto"/>
        <w:rPr>
          <w:rFonts w:ascii="Times New Roman" w:cs="Times New Roman" w:eastAsia="Times New Roman" w:hAnsi="Times New Roman"/>
          <w:color w:val="1f1f1f"/>
          <w:sz w:val="61"/>
          <w:szCs w:val="61"/>
        </w:rPr>
      </w:pPr>
      <w:bookmarkStart w:colFirst="0" w:colLast="0" w:name="_mu9crfpjtpfj" w:id="1"/>
      <w:bookmarkEnd w:id="1"/>
      <w:r w:rsidDel="00000000" w:rsidR="00000000" w:rsidRPr="00000000">
        <w:rPr>
          <w:rFonts w:ascii="Times New Roman" w:cs="Times New Roman" w:eastAsia="Times New Roman" w:hAnsi="Times New Roman"/>
          <w:color w:val="1f1f1f"/>
          <w:sz w:val="61"/>
          <w:szCs w:val="61"/>
          <w:rtl w:val="0"/>
        </w:rPr>
        <w:t xml:space="preserve">Practical Machine Learning Final Assignment - Midpoint</w:t>
      </w:r>
    </w:p>
    <w:p w:rsidR="00000000" w:rsidDel="00000000" w:rsidP="00000000" w:rsidRDefault="00000000" w:rsidRPr="00000000" w14:paraId="00000003">
      <w:pPr>
        <w:pStyle w:val="Heading2"/>
        <w:keepNext w:val="0"/>
        <w:keepLines w:val="0"/>
        <w:shd w:fill="ffffff" w:val="clear"/>
        <w:spacing w:after="100" w:before="100" w:line="360" w:lineRule="auto"/>
        <w:rPr>
          <w:color w:val="2d3b45"/>
          <w:sz w:val="34"/>
          <w:szCs w:val="34"/>
        </w:rPr>
      </w:pPr>
      <w:bookmarkStart w:colFirst="0" w:colLast="0" w:name="_xe7rgo4wfpxj" w:id="2"/>
      <w:bookmarkEnd w:id="2"/>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80" w:before="280" w:lineRule="auto"/>
        <w:rPr>
          <w:color w:val="2d3b45"/>
          <w:sz w:val="34"/>
          <w:szCs w:val="34"/>
        </w:rPr>
      </w:pPr>
      <w:bookmarkStart w:colFirst="0" w:colLast="0" w:name="_ovfg3oa4e0mu" w:id="3"/>
      <w:bookmarkEnd w:id="3"/>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80" w:before="280" w:lineRule="auto"/>
        <w:rPr>
          <w:color w:val="2d3b45"/>
          <w:sz w:val="34"/>
          <w:szCs w:val="34"/>
        </w:rPr>
      </w:pPr>
      <w:bookmarkStart w:colFirst="0" w:colLast="0" w:name="_68ieb71cgkqp" w:id="4"/>
      <w:bookmarkEnd w:id="4"/>
      <w:r w:rsidDel="00000000" w:rsidR="00000000" w:rsidRPr="00000000">
        <w:rPr>
          <w:color w:val="2d3b45"/>
          <w:sz w:val="34"/>
          <w:szCs w:val="34"/>
          <w:rtl w:val="0"/>
        </w:rPr>
        <w:t xml:space="preserve">Executive Summary</w:t>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color w:val="2d3b45"/>
          <w:rtl w:val="0"/>
        </w:rPr>
        <w:t xml:space="preserve">Our project targets to predict the annual direct point greenhouse gas (GHG) emissions from industrial facilities before they are officially reported. This prediction model will serve three primary business purposes: understanding industry trends, informing policymakers, and validating reported emissions. We will use EPA direct point GHG emissions data from industrial facilities from 2011 to 2023 to build our machine learning model. Success will be measured by the accuracy of our emissions predictions, evaluated through cross-validation of test-train datasets.</w:t>
      </w:r>
      <w:r w:rsidDel="00000000" w:rsidR="00000000" w:rsidRPr="00000000">
        <w:rPr>
          <w:rtl w:val="0"/>
        </w:rPr>
      </w:r>
    </w:p>
    <w:p w:rsidR="00000000" w:rsidDel="00000000" w:rsidP="00000000" w:rsidRDefault="00000000" w:rsidRPr="00000000" w14:paraId="00000007">
      <w:pPr>
        <w:shd w:fill="ffffff" w:val="clear"/>
        <w:spacing w:after="100" w:before="12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Group Members</w:t>
      </w:r>
    </w:p>
    <w:p w:rsidR="00000000" w:rsidDel="00000000" w:rsidP="00000000" w:rsidRDefault="00000000" w:rsidRPr="00000000" w14:paraId="00000008">
      <w:pPr>
        <w:numPr>
          <w:ilvl w:val="0"/>
          <w:numId w:val="4"/>
        </w:numPr>
        <w:shd w:fill="ffffff" w:val="clear"/>
        <w:spacing w:after="0" w:afterAutospacing="0" w:before="120" w:lineRule="auto"/>
        <w:ind w:left="720" w:hanging="36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David Van Dyke</w:t>
      </w:r>
    </w:p>
    <w:p w:rsidR="00000000" w:rsidDel="00000000" w:rsidP="00000000" w:rsidRDefault="00000000" w:rsidRPr="00000000" w14:paraId="00000009">
      <w:pPr>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Ethan Norton</w:t>
      </w:r>
    </w:p>
    <w:p w:rsidR="00000000" w:rsidDel="00000000" w:rsidP="00000000" w:rsidRDefault="00000000" w:rsidRPr="00000000" w14:paraId="0000000A">
      <w:pPr>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Migus Wong</w:t>
      </w:r>
    </w:p>
    <w:p w:rsidR="00000000" w:rsidDel="00000000" w:rsidP="00000000" w:rsidRDefault="00000000" w:rsidRPr="00000000" w14:paraId="0000000B">
      <w:pPr>
        <w:numPr>
          <w:ilvl w:val="0"/>
          <w:numId w:val="4"/>
        </w:numPr>
        <w:shd w:fill="ffffff" w:val="clear"/>
        <w:spacing w:after="100" w:before="0" w:beforeAutospacing="0" w:lineRule="auto"/>
        <w:ind w:left="720" w:hanging="36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Michael Yoo</w:t>
      </w:r>
      <w:r w:rsidDel="00000000" w:rsidR="00000000" w:rsidRPr="00000000">
        <w:rPr>
          <w:rtl w:val="0"/>
        </w:rPr>
      </w:r>
    </w:p>
    <w:p w:rsidR="00000000" w:rsidDel="00000000" w:rsidP="00000000" w:rsidRDefault="00000000" w:rsidRPr="00000000" w14:paraId="0000000C">
      <w:pPr>
        <w:pStyle w:val="Title"/>
        <w:keepNext w:val="0"/>
        <w:keepLines w:val="0"/>
        <w:shd w:fill="ffffff" w:val="clear"/>
        <w:spacing w:after="220" w:before="220" w:line="360" w:lineRule="auto"/>
        <w:rPr>
          <w:rFonts w:ascii="Times New Roman" w:cs="Times New Roman" w:eastAsia="Times New Roman" w:hAnsi="Times New Roman"/>
          <w:color w:val="1f1f1f"/>
          <w:sz w:val="24"/>
          <w:szCs w:val="24"/>
        </w:rPr>
      </w:pPr>
      <w:bookmarkStart w:colFirst="0" w:colLast="0" w:name="_cpjdcw3jo9cw" w:id="5"/>
      <w:bookmarkEnd w:id="5"/>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Style w:val="Heading2"/>
        <w:spacing w:line="360" w:lineRule="auto"/>
        <w:rPr>
          <w:sz w:val="24"/>
          <w:szCs w:val="24"/>
        </w:rPr>
      </w:pPr>
      <w:bookmarkStart w:colFirst="0" w:colLast="0" w:name="_78sh9ac1rzmk" w:id="6"/>
      <w:bookmarkEnd w:id="6"/>
      <w:r w:rsidDel="00000000" w:rsidR="00000000" w:rsidRPr="00000000">
        <w:rPr>
          <w:rtl w:val="0"/>
        </w:rPr>
      </w:r>
    </w:p>
    <w:p w:rsidR="00000000" w:rsidDel="00000000" w:rsidP="00000000" w:rsidRDefault="00000000" w:rsidRPr="00000000" w14:paraId="00000015">
      <w:pPr>
        <w:pStyle w:val="Heading2"/>
        <w:spacing w:line="360" w:lineRule="auto"/>
        <w:rPr>
          <w:sz w:val="24"/>
          <w:szCs w:val="24"/>
        </w:rPr>
      </w:pPr>
      <w:bookmarkStart w:colFirst="0" w:colLast="0" w:name="_u0bpxx5mzer5" w:id="7"/>
      <w:bookmarkEnd w:id="7"/>
      <w:r w:rsidDel="00000000" w:rsidR="00000000" w:rsidRPr="00000000">
        <w:rPr>
          <w:sz w:val="24"/>
          <w:szCs w:val="24"/>
          <w:rtl w:val="0"/>
        </w:rPr>
        <w:t xml:space="preserve">Business Objective</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predict the annual direct point GHG emissions from industrial facilities before they are officially reported. This prediction model will serve the following business purposes:</w:t>
      </w:r>
    </w:p>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Understand Industry Trends</w:t>
      </w:r>
      <w:r w:rsidDel="00000000" w:rsidR="00000000" w:rsidRPr="00000000">
        <w:rPr>
          <w:rFonts w:ascii="Times New Roman" w:cs="Times New Roman" w:eastAsia="Times New Roman" w:hAnsi="Times New Roman"/>
          <w:sz w:val="24"/>
          <w:szCs w:val="24"/>
          <w:rtl w:val="0"/>
        </w:rPr>
        <w:t xml:space="preserve">: Identify future changes in emissions levels to guide potential investment strategies.</w:t>
      </w:r>
    </w:p>
    <w:p w:rsidR="00000000" w:rsidDel="00000000" w:rsidP="00000000" w:rsidRDefault="00000000" w:rsidRPr="00000000" w14:paraId="0000001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Inform Policy Makers:</w:t>
      </w:r>
      <w:r w:rsidDel="00000000" w:rsidR="00000000" w:rsidRPr="00000000">
        <w:rPr>
          <w:rFonts w:ascii="Times New Roman" w:cs="Times New Roman" w:eastAsia="Times New Roman" w:hAnsi="Times New Roman"/>
          <w:sz w:val="24"/>
          <w:szCs w:val="24"/>
          <w:rtl w:val="0"/>
        </w:rPr>
        <w:t xml:space="preserve"> Deliver accurate, timely predictions that enable regulators to shape future environmental policies.</w:t>
      </w:r>
      <w:r w:rsidDel="00000000" w:rsidR="00000000" w:rsidRPr="00000000">
        <w:rPr>
          <w:rtl w:val="0"/>
        </w:rPr>
      </w:r>
    </w:p>
    <w:p w:rsidR="00000000" w:rsidDel="00000000" w:rsidP="00000000" w:rsidRDefault="00000000" w:rsidRPr="00000000" w14:paraId="0000001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Resource Optimization and Cost Reduction:</w:t>
      </w:r>
      <w:r w:rsidDel="00000000" w:rsidR="00000000" w:rsidRPr="00000000">
        <w:rPr>
          <w:rFonts w:ascii="Times New Roman" w:cs="Times New Roman" w:eastAsia="Times New Roman" w:hAnsi="Times New Roman"/>
          <w:sz w:val="24"/>
          <w:szCs w:val="24"/>
          <w:rtl w:val="0"/>
        </w:rPr>
        <w:t xml:space="preserve">  Flag facilities that deviate from industry norms so that investments and regulatory focus can be directed to those areas, reducing unnecessary costs</w:t>
      </w:r>
    </w:p>
    <w:p w:rsidR="00000000" w:rsidDel="00000000" w:rsidP="00000000" w:rsidRDefault="00000000" w:rsidRPr="00000000" w14:paraId="0000001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Validate and Forecast Emissions:</w:t>
      </w:r>
      <w:r w:rsidDel="00000000" w:rsidR="00000000" w:rsidRPr="00000000">
        <w:rPr>
          <w:rFonts w:ascii="Times New Roman" w:cs="Times New Roman" w:eastAsia="Times New Roman" w:hAnsi="Times New Roman"/>
          <w:sz w:val="24"/>
          <w:szCs w:val="24"/>
          <w:rtl w:val="0"/>
        </w:rPr>
        <w:t xml:space="preserve"> Serve as an independent benchmark to assess the accuracy and reasonableness of reported data, thereby informing risk assessments and ESG evaluations.</w:t>
        <w:br w:type="textWrapping"/>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C">
      <w:pPr>
        <w:spacing w:line="360"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Industrial facilities must report their GHG emissions if they meet or exceed a threshold (typically ≥25,000 metric tons CO₂ per year). However, relying solely on end‑of‑year reported data can delay critical interventions. More importantly, there is a lack of regulation overall within the energy sector. Regulation is primarily focused on the emission of harmful emissions, but not all of them. Our task is to build predictive models that estimate facility emissions in advance, using historical data and engineered features. This will empower stakeholders—including investors and policymakers—to act proactively rather than reactively.</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OBJECTIVES</w:t>
      </w:r>
    </w:p>
    <w:p w:rsidR="00000000" w:rsidDel="00000000" w:rsidP="00000000" w:rsidRDefault="00000000" w:rsidRPr="00000000" w14:paraId="0000001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Primarily, our goal is to develop a machine-learning pipeline that automates data ingestion, cleaning, feature engineering, and model training, as well as analyze trends and industry differences to detect anomalies and forecast future emissions. Ultimately, we want to provide actionable insights through comprehensive visualizations and analysis for policymakers and investors. </w:t>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will be measured by predictive accuracy, validation, and compliance detection.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scores will assess how well the model captures the variability of emissions and RMSE to quantify prediction error. Validation will be evaluated by K-fold cross-validation to ensure consistency in model performance using different subsets of data. Lastly, compliance detection will be measured through precision and recall. High recall is key in catching potential non-compliant facilities, while high precision mitigates false alarms. </w:t>
      </w:r>
    </w:p>
    <w:p w:rsidR="00000000" w:rsidDel="00000000" w:rsidP="00000000" w:rsidRDefault="00000000" w:rsidRPr="00000000" w14:paraId="00000021">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leverage annual greenhouse gas </w:t>
      </w:r>
      <w:hyperlink r:id="rId6">
        <w:r w:rsidDel="00000000" w:rsidR="00000000" w:rsidRPr="00000000">
          <w:rPr>
            <w:rFonts w:ascii="Times New Roman" w:cs="Times New Roman" w:eastAsia="Times New Roman" w:hAnsi="Times New Roman"/>
            <w:color w:val="1155cc"/>
            <w:sz w:val="24"/>
            <w:szCs w:val="24"/>
            <w:u w:val="single"/>
            <w:rtl w:val="0"/>
          </w:rPr>
          <w:t xml:space="preserve">(GHG) emissions</w:t>
        </w:r>
      </w:hyperlink>
      <w:r w:rsidDel="00000000" w:rsidR="00000000" w:rsidRPr="00000000">
        <w:rPr>
          <w:rFonts w:ascii="Times New Roman" w:cs="Times New Roman" w:eastAsia="Times New Roman" w:hAnsi="Times New Roman"/>
          <w:sz w:val="24"/>
          <w:szCs w:val="24"/>
          <w:rtl w:val="0"/>
        </w:rPr>
        <w:t xml:space="preserve"> data from industrial facilities—collected from 2011 through 2023—to build our machine-learning models. This dataset originates from the </w:t>
      </w:r>
      <w:hyperlink r:id="rId7">
        <w:r w:rsidDel="00000000" w:rsidR="00000000" w:rsidRPr="00000000">
          <w:rPr>
            <w:rFonts w:ascii="Times New Roman" w:cs="Times New Roman" w:eastAsia="Times New Roman" w:hAnsi="Times New Roman"/>
            <w:color w:val="1155cc"/>
            <w:sz w:val="24"/>
            <w:szCs w:val="24"/>
            <w:u w:val="single"/>
            <w:rtl w:val="0"/>
          </w:rPr>
          <w:t xml:space="preserve">EPA’s Greenhouse Gas Reporting Program (GHGRP)</w:t>
        </w:r>
      </w:hyperlink>
      <w:r w:rsidDel="00000000" w:rsidR="00000000" w:rsidRPr="00000000">
        <w:rPr>
          <w:rFonts w:ascii="Times New Roman" w:cs="Times New Roman" w:eastAsia="Times New Roman" w:hAnsi="Times New Roman"/>
          <w:sz w:val="24"/>
          <w:szCs w:val="24"/>
          <w:rtl w:val="0"/>
        </w:rPr>
        <w:t xml:space="preserve">, which requires facilities and suppliers to report their emissions if they exceed defined thresholds—typically 25,000 metric tons of CO₂ per year for most industries. Since 2010, the EPA has published annual spreadsheets summarizing these reported emissions, using a consistent Facility ID as the primary key to track each facility's data over time. We analyzed the multi-year summary of</w:t>
      </w:r>
      <w:hyperlink r:id="rId8">
        <w:r w:rsidDel="00000000" w:rsidR="00000000" w:rsidRPr="00000000">
          <w:rPr>
            <w:rFonts w:ascii="Times New Roman" w:cs="Times New Roman" w:eastAsia="Times New Roman" w:hAnsi="Times New Roman"/>
            <w:color w:val="1155cc"/>
            <w:sz w:val="24"/>
            <w:szCs w:val="24"/>
            <w:u w:val="single"/>
            <w:rtl w:val="0"/>
          </w:rPr>
          <w:t xml:space="preserve"> EPA GHG emissions </w:t>
        </w:r>
      </w:hyperlink>
      <w:r w:rsidDel="00000000" w:rsidR="00000000" w:rsidRPr="00000000">
        <w:rPr>
          <w:rFonts w:ascii="Times New Roman" w:cs="Times New Roman" w:eastAsia="Times New Roman" w:hAnsi="Times New Roman"/>
          <w:sz w:val="24"/>
          <w:szCs w:val="24"/>
          <w:rtl w:val="0"/>
        </w:rPr>
        <w:t xml:space="preserve">from direct point emitters (measured in metric tons). Our data sources include:</w:t>
      </w:r>
    </w:p>
    <w:p w:rsidR="00000000" w:rsidDel="00000000" w:rsidP="00000000" w:rsidRDefault="00000000" w:rsidRPr="00000000" w14:paraId="00000022">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Multi-Year Data Summary: High-level information for facilities over multiple years.</w:t>
      </w:r>
    </w:p>
    <w:p w:rsidR="00000000" w:rsidDel="00000000" w:rsidP="00000000" w:rsidRDefault="00000000" w:rsidRPr="00000000" w14:paraId="0000002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 Spreadsheets: Detailed yearly information, including reported emissions by greenhouse gas and process.</w:t>
      </w:r>
    </w:p>
    <w:p w:rsidR="00000000" w:rsidDel="00000000" w:rsidP="00000000" w:rsidRDefault="00000000" w:rsidRPr="00000000" w14:paraId="00000024">
      <w:pPr>
        <w:pStyle w:val="Heading2"/>
        <w:spacing w:line="360" w:lineRule="auto"/>
        <w:rPr>
          <w:sz w:val="24"/>
          <w:szCs w:val="24"/>
        </w:rPr>
      </w:pPr>
      <w:bookmarkStart w:colFirst="0" w:colLast="0" w:name="_ggqwjucn20zd" w:id="8"/>
      <w:bookmarkEnd w:id="8"/>
      <w:r w:rsidDel="00000000" w:rsidR="00000000" w:rsidRPr="00000000">
        <w:rPr>
          <w:sz w:val="24"/>
          <w:szCs w:val="24"/>
          <w:rtl w:val="0"/>
        </w:rPr>
        <w:t xml:space="preserve">EDA &gt; DATA PREPARATION &gt; FEATURE ENGINEERING</w:t>
      </w:r>
    </w:p>
    <w:p w:rsidR="00000000" w:rsidDel="00000000" w:rsidP="00000000" w:rsidRDefault="00000000" w:rsidRPr="00000000" w14:paraId="00000025">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leverage annual greenhouse gas </w:t>
      </w:r>
      <w:hyperlink r:id="rId9">
        <w:r w:rsidDel="00000000" w:rsidR="00000000" w:rsidRPr="00000000">
          <w:rPr>
            <w:rFonts w:ascii="Times New Roman" w:cs="Times New Roman" w:eastAsia="Times New Roman" w:hAnsi="Times New Roman"/>
            <w:color w:val="1155cc"/>
            <w:sz w:val="24"/>
            <w:szCs w:val="24"/>
            <w:u w:val="single"/>
            <w:rtl w:val="0"/>
          </w:rPr>
          <w:t xml:space="preserve">(GHG) emissions</w:t>
        </w:r>
      </w:hyperlink>
      <w:r w:rsidDel="00000000" w:rsidR="00000000" w:rsidRPr="00000000">
        <w:rPr>
          <w:rFonts w:ascii="Times New Roman" w:cs="Times New Roman" w:eastAsia="Times New Roman" w:hAnsi="Times New Roman"/>
          <w:sz w:val="24"/>
          <w:szCs w:val="24"/>
          <w:rtl w:val="0"/>
        </w:rPr>
        <w:t xml:space="preserve"> data from industrial facilities—collected from 2011 through 2023—to build our machine-learning models. This dataset originates from the </w:t>
      </w:r>
      <w:hyperlink r:id="rId10">
        <w:r w:rsidDel="00000000" w:rsidR="00000000" w:rsidRPr="00000000">
          <w:rPr>
            <w:rFonts w:ascii="Times New Roman" w:cs="Times New Roman" w:eastAsia="Times New Roman" w:hAnsi="Times New Roman"/>
            <w:color w:val="1155cc"/>
            <w:sz w:val="24"/>
            <w:szCs w:val="24"/>
            <w:u w:val="single"/>
            <w:rtl w:val="0"/>
          </w:rPr>
          <w:t xml:space="preserve">EPA’s Greenhouse Gas Reporting Program (GHGRP)</w:t>
        </w:r>
      </w:hyperlink>
      <w:r w:rsidDel="00000000" w:rsidR="00000000" w:rsidRPr="00000000">
        <w:rPr>
          <w:rFonts w:ascii="Times New Roman" w:cs="Times New Roman" w:eastAsia="Times New Roman" w:hAnsi="Times New Roman"/>
          <w:sz w:val="24"/>
          <w:szCs w:val="24"/>
          <w:rtl w:val="0"/>
        </w:rPr>
        <w:t xml:space="preserve">, which requires facilities and suppliers to report their emissions if they exceed defined thresholds—typically 25,000 metric tons of CO₂ per year for most industries. Since 2010, the EPA has published annual spreadsheets summarizing these reported emissions, using a consistent Facility ID as the primary key to track each facility's data over time. We evaluated the multi-year summary of</w:t>
      </w:r>
      <w:hyperlink r:id="rId11">
        <w:r w:rsidDel="00000000" w:rsidR="00000000" w:rsidRPr="00000000">
          <w:rPr>
            <w:rFonts w:ascii="Times New Roman" w:cs="Times New Roman" w:eastAsia="Times New Roman" w:hAnsi="Times New Roman"/>
            <w:color w:val="1155cc"/>
            <w:sz w:val="24"/>
            <w:szCs w:val="24"/>
            <w:u w:val="single"/>
            <w:rtl w:val="0"/>
          </w:rPr>
          <w:t xml:space="preserve"> EPA GHG emissions </w:t>
        </w:r>
      </w:hyperlink>
      <w:r w:rsidDel="00000000" w:rsidR="00000000" w:rsidRPr="00000000">
        <w:rPr>
          <w:rFonts w:ascii="Times New Roman" w:cs="Times New Roman" w:eastAsia="Times New Roman" w:hAnsi="Times New Roman"/>
          <w:sz w:val="24"/>
          <w:szCs w:val="24"/>
          <w:rtl w:val="0"/>
        </w:rPr>
        <w:t xml:space="preserve">from direct point emitters (measured in metric tons) for our analysis. Our data sources include:</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Multi-Year Data Summary: High-level information for facilities over multiple years.</w:t>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 Spreadsheets: Detailed yearly information, including reported emissions by greenhouse gas and process.</w:t>
      </w:r>
    </w:p>
    <w:p w:rsidR="00000000" w:rsidDel="00000000" w:rsidP="00000000" w:rsidRDefault="00000000" w:rsidRPr="00000000" w14:paraId="00000029">
      <w:pPr>
        <w:pStyle w:val="Heading2"/>
        <w:spacing w:line="360" w:lineRule="auto"/>
        <w:rPr>
          <w:sz w:val="24"/>
          <w:szCs w:val="24"/>
        </w:rPr>
      </w:pPr>
      <w:bookmarkStart w:colFirst="0" w:colLast="0" w:name="_6ypf34tieugz" w:id="9"/>
      <w:bookmarkEnd w:id="9"/>
      <w:r w:rsidDel="00000000" w:rsidR="00000000" w:rsidRPr="00000000">
        <w:rPr>
          <w:sz w:val="24"/>
          <w:szCs w:val="24"/>
          <w:rtl w:val="0"/>
        </w:rPr>
        <w:t xml:space="preserve">EDA/FEATURE ENGINEERING</w:t>
      </w:r>
    </w:p>
    <w:p w:rsidR="00000000" w:rsidDel="00000000" w:rsidP="00000000" w:rsidRDefault="00000000" w:rsidRPr="00000000" w14:paraId="0000002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table summary of the team's EDA and data preparation. Please reference our Python notebook if you’d like more details. However, we also highlight some key findings that caught our attention below.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1.7161290322583"/>
        <w:gridCol w:w="4601.496774193549"/>
        <w:gridCol w:w="2306.7870967741937"/>
        <w:tblGridChange w:id="0">
          <w:tblGrid>
            <w:gridCol w:w="2451.7161290322583"/>
            <w:gridCol w:w="4601.496774193549"/>
            <w:gridCol w:w="2306.7870967741937"/>
          </w:tblGrid>
        </w:tblGridChange>
      </w:tblGrid>
      <w:tr>
        <w:trPr>
          <w:cantSplit w:val="0"/>
          <w:trHeight w:val="315" w:hRule="atLeast"/>
          <w:tblHeader w:val="0"/>
        </w:trPr>
        <w:tc>
          <w:tcPr>
            <w:tcBorders>
              <w:top w:color="000000" w:space="0" w:sz="4" w:val="single"/>
              <w:left w:color="000000" w:space="0" w:sz="4" w:val="single"/>
              <w:bottom w:color="cccccc" w:space="0" w:sz="4" w:val="single"/>
              <w:right w:color="cccccc" w:space="0" w:sz="4" w:val="single"/>
            </w:tcBorders>
            <w:shd w:fill="0b5394"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rFonts w:ascii="Times New Roman" w:cs="Times New Roman" w:eastAsia="Times New Roman" w:hAnsi="Times New Roman"/>
                <w:b w:val="1"/>
                <w:color w:val="ffffff"/>
                <w:rtl w:val="0"/>
              </w:rPr>
              <w:t xml:space="preserve">EDA</w:t>
            </w:r>
            <w:r w:rsidDel="00000000" w:rsidR="00000000" w:rsidRPr="00000000">
              <w:rPr>
                <w:rtl w:val="0"/>
              </w:rPr>
            </w:r>
          </w:p>
        </w:tc>
        <w:tc>
          <w:tcPr>
            <w:tcBorders>
              <w:top w:color="000000" w:space="0" w:sz="4" w:val="single"/>
              <w:left w:color="cccccc" w:space="0" w:sz="4" w:val="single"/>
              <w:bottom w:color="cccccc" w:space="0" w:sz="4" w:val="single"/>
              <w:right w:color="cccccc" w:space="0" w:sz="4" w:val="single"/>
            </w:tcBorders>
            <w:shd w:fill="0b5394" w:val="clear"/>
            <w:tcMar>
              <w:top w:w="40.0" w:type="dxa"/>
              <w:left w:w="40.0" w:type="dxa"/>
              <w:bottom w:w="4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rFonts w:ascii="Times New Roman" w:cs="Times New Roman" w:eastAsia="Times New Roman" w:hAnsi="Times New Roman"/>
                <w:b w:val="1"/>
                <w:color w:val="ffffff"/>
                <w:rtl w:val="0"/>
              </w:rPr>
              <w:t xml:space="preserve">TASK</w:t>
            </w:r>
            <w:r w:rsidDel="00000000" w:rsidR="00000000" w:rsidRPr="00000000">
              <w:rPr>
                <w:rtl w:val="0"/>
              </w:rPr>
            </w:r>
          </w:p>
        </w:tc>
        <w:tc>
          <w:tcPr>
            <w:tcBorders>
              <w:top w:color="000000" w:space="0" w:sz="4" w:val="single"/>
              <w:left w:color="cccccc" w:space="0" w:sz="4" w:val="single"/>
              <w:bottom w:color="cccccc" w:space="0" w:sz="4" w:val="single"/>
              <w:right w:color="000000" w:space="0" w:sz="4" w:val="single"/>
            </w:tcBorders>
            <w:shd w:fill="0b5394" w:val="clear"/>
            <w:tcMar>
              <w:top w:w="40.0" w:type="dxa"/>
              <w:left w:w="40.0" w:type="dxa"/>
              <w:bottom w:w="4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rFonts w:ascii="Times New Roman" w:cs="Times New Roman" w:eastAsia="Times New Roman" w:hAnsi="Times New Roman"/>
                <w:b w:val="1"/>
                <w:color w:val="ffffff"/>
                <w:rtl w:val="0"/>
              </w:rPr>
              <w:t xml:space="preserve">VISUALS</w:t>
            </w:r>
            <w:r w:rsidDel="00000000" w:rsidR="00000000" w:rsidRPr="00000000">
              <w:rPr>
                <w:rtl w:val="0"/>
              </w:rPr>
            </w:r>
          </w:p>
        </w:tc>
      </w:tr>
      <w:tr>
        <w:trPr>
          <w:cantSplit w:val="0"/>
          <w:trHeight w:val="570" w:hRule="atLeast"/>
          <w:tblHeader w:val="0"/>
        </w:trPr>
        <w:tc>
          <w:tcPr>
            <w:tcBorders>
              <w:top w:color="cccccc" w:space="0" w:sz="4" w:val="single"/>
              <w:left w:color="000000"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16"/>
                <w:szCs w:val="16"/>
              </w:rPr>
            </w:pPr>
            <w:r w:rsidDel="00000000" w:rsidR="00000000" w:rsidRPr="00000000">
              <w:rPr>
                <w:rFonts w:ascii="Times New Roman" w:cs="Times New Roman" w:eastAsia="Times New Roman" w:hAnsi="Times New Roman"/>
                <w:sz w:val="18"/>
                <w:szCs w:val="18"/>
                <w:rtl w:val="0"/>
              </w:rPr>
              <w:t xml:space="preserve">Missing Data Analysis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•Checked Null values and dropped columns w/ &gt;70%</w:t>
            </w:r>
          </w:p>
          <w:p w:rsidR="00000000" w:rsidDel="00000000" w:rsidP="00000000" w:rsidRDefault="00000000" w:rsidRPr="00000000" w14:paraId="00000030">
            <w:pPr>
              <w:widowControl w:val="0"/>
              <w:rPr>
                <w:sz w:val="16"/>
                <w:szCs w:val="16"/>
              </w:rPr>
            </w:pPr>
            <w:r w:rsidDel="00000000" w:rsidR="00000000" w:rsidRPr="00000000">
              <w:rPr>
                <w:rFonts w:ascii="Times New Roman" w:cs="Times New Roman" w:eastAsia="Times New Roman" w:hAnsi="Times New Roman"/>
                <w:sz w:val="18"/>
                <w:szCs w:val="18"/>
                <w:rtl w:val="0"/>
              </w:rPr>
              <w:t xml:space="preserve">•Created table.summary logs for missing counts</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16"/>
                <w:szCs w:val="16"/>
              </w:rPr>
            </w:pPr>
            <w:r w:rsidDel="00000000" w:rsidR="00000000" w:rsidRPr="00000000">
              <w:rPr>
                <w:rFonts w:ascii="Times New Roman" w:cs="Times New Roman" w:eastAsia="Times New Roman" w:hAnsi="Times New Roman"/>
                <w:sz w:val="18"/>
                <w:szCs w:val="18"/>
                <w:rtl w:val="0"/>
              </w:rPr>
              <w:t xml:space="preserve">Python print statement</w:t>
            </w:r>
            <w:r w:rsidDel="00000000" w:rsidR="00000000" w:rsidRPr="00000000">
              <w:rPr>
                <w:rtl w:val="0"/>
              </w:rPr>
            </w:r>
          </w:p>
        </w:tc>
      </w:tr>
      <w:tr>
        <w:trPr>
          <w:cantSplit w:val="0"/>
          <w:trHeight w:val="825" w:hRule="atLeast"/>
          <w:tblHeader w:val="0"/>
        </w:trPr>
        <w:tc>
          <w:tcPr>
            <w:tcBorders>
              <w:top w:color="cccccc" w:space="0" w:sz="4" w:val="single"/>
              <w:left w:color="000000"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jc w:val="center"/>
              <w:rPr>
                <w:sz w:val="16"/>
                <w:szCs w:val="16"/>
              </w:rPr>
            </w:pPr>
            <w:r w:rsidDel="00000000" w:rsidR="00000000" w:rsidRPr="00000000">
              <w:rPr>
                <w:rFonts w:ascii="Times New Roman" w:cs="Times New Roman" w:eastAsia="Times New Roman" w:hAnsi="Times New Roman"/>
                <w:sz w:val="18"/>
                <w:szCs w:val="18"/>
                <w:rtl w:val="0"/>
              </w:rPr>
              <w:t xml:space="preserve">Yearly Emissions Stats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Calculated facilities count per/yr</w:t>
            </w:r>
          </w:p>
          <w:p w:rsidR="00000000" w:rsidDel="00000000" w:rsidP="00000000" w:rsidRDefault="00000000" w:rsidRPr="00000000" w14:paraId="0000003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Mean + total emissions</w:t>
            </w:r>
          </w:p>
          <w:p w:rsidR="00000000" w:rsidDel="00000000" w:rsidP="00000000" w:rsidRDefault="00000000" w:rsidRPr="00000000" w14:paraId="00000035">
            <w:pPr>
              <w:widowControl w:val="0"/>
              <w:rPr>
                <w:sz w:val="16"/>
                <w:szCs w:val="16"/>
              </w:rPr>
            </w:pPr>
            <w:r w:rsidDel="00000000" w:rsidR="00000000" w:rsidRPr="00000000">
              <w:rPr>
                <w:rFonts w:ascii="Times New Roman" w:cs="Times New Roman" w:eastAsia="Times New Roman" w:hAnsi="Times New Roman"/>
                <w:sz w:val="18"/>
                <w:szCs w:val="18"/>
                <w:rtl w:val="0"/>
              </w:rPr>
              <w:t xml:space="preserve">• Observed trends</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16"/>
                <w:szCs w:val="16"/>
              </w:rPr>
            </w:pPr>
            <w:r w:rsidDel="00000000" w:rsidR="00000000" w:rsidRPr="00000000">
              <w:rPr>
                <w:rFonts w:ascii="Times New Roman" w:cs="Times New Roman" w:eastAsia="Times New Roman" w:hAnsi="Times New Roman"/>
                <w:sz w:val="18"/>
                <w:szCs w:val="18"/>
                <w:rtl w:val="0"/>
              </w:rPr>
              <w:t xml:space="preserve">Table/Summary Logs</w:t>
            </w:r>
            <w:r w:rsidDel="00000000" w:rsidR="00000000" w:rsidRPr="00000000">
              <w:rPr>
                <w:rtl w:val="0"/>
              </w:rPr>
            </w:r>
          </w:p>
        </w:tc>
      </w:tr>
      <w:tr>
        <w:trPr>
          <w:cantSplit w:val="0"/>
          <w:trHeight w:val="570" w:hRule="atLeast"/>
          <w:tblHeader w:val="0"/>
        </w:trPr>
        <w:tc>
          <w:tcPr>
            <w:tcBorders>
              <w:top w:color="cccccc" w:space="0" w:sz="4" w:val="single"/>
              <w:left w:color="000000"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16"/>
                <w:szCs w:val="16"/>
              </w:rPr>
            </w:pPr>
            <w:r w:rsidDel="00000000" w:rsidR="00000000" w:rsidRPr="00000000">
              <w:rPr>
                <w:rFonts w:ascii="Times New Roman" w:cs="Times New Roman" w:eastAsia="Times New Roman" w:hAnsi="Times New Roman"/>
                <w:sz w:val="18"/>
                <w:szCs w:val="18"/>
                <w:rtl w:val="0"/>
              </w:rPr>
              <w:t xml:space="preserve">State Level Analysis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Grouped data by state to compare total &amp; mean emissions</w:t>
            </w:r>
          </w:p>
          <w:p w:rsidR="00000000" w:rsidDel="00000000" w:rsidP="00000000" w:rsidRDefault="00000000" w:rsidRPr="00000000" w14:paraId="00000039">
            <w:pPr>
              <w:widowControl w:val="0"/>
              <w:rPr>
                <w:sz w:val="16"/>
                <w:szCs w:val="16"/>
              </w:rPr>
            </w:pPr>
            <w:r w:rsidDel="00000000" w:rsidR="00000000" w:rsidRPr="00000000">
              <w:rPr>
                <w:rFonts w:ascii="Times New Roman" w:cs="Times New Roman" w:eastAsia="Times New Roman" w:hAnsi="Times New Roman"/>
                <w:sz w:val="18"/>
                <w:szCs w:val="18"/>
                <w:rtl w:val="0"/>
              </w:rPr>
              <w:t xml:space="preserve">• Compared facility counts and emission</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jc w:val="center"/>
              <w:rPr>
                <w:sz w:val="16"/>
                <w:szCs w:val="16"/>
              </w:rPr>
            </w:pPr>
            <w:r w:rsidDel="00000000" w:rsidR="00000000" w:rsidRPr="00000000">
              <w:rPr>
                <w:rFonts w:ascii="Times New Roman" w:cs="Times New Roman" w:eastAsia="Times New Roman" w:hAnsi="Times New Roman"/>
                <w:sz w:val="18"/>
                <w:szCs w:val="18"/>
                <w:rtl w:val="0"/>
              </w:rPr>
              <w:t xml:space="preserve">Line plots</w:t>
            </w:r>
            <w:r w:rsidDel="00000000" w:rsidR="00000000" w:rsidRPr="00000000">
              <w:rPr>
                <w:rtl w:val="0"/>
              </w:rPr>
            </w:r>
          </w:p>
        </w:tc>
      </w:tr>
      <w:tr>
        <w:trPr>
          <w:cantSplit w:val="0"/>
          <w:trHeight w:val="570" w:hRule="atLeast"/>
          <w:tblHeader w:val="0"/>
        </w:trPr>
        <w:tc>
          <w:tcPr>
            <w:tcBorders>
              <w:top w:color="cccccc" w:space="0" w:sz="4" w:val="single"/>
              <w:left w:color="000000"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16"/>
                <w:szCs w:val="16"/>
              </w:rPr>
            </w:pPr>
            <w:r w:rsidDel="00000000" w:rsidR="00000000" w:rsidRPr="00000000">
              <w:rPr>
                <w:rFonts w:ascii="Times New Roman" w:cs="Times New Roman" w:eastAsia="Times New Roman" w:hAnsi="Times New Roman"/>
                <w:sz w:val="18"/>
                <w:szCs w:val="18"/>
                <w:rtl w:val="0"/>
              </w:rPr>
              <w:t xml:space="preserve">Outlier Detection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Identified top 100</w:t>
            </w:r>
          </w:p>
          <w:p w:rsidR="00000000" w:rsidDel="00000000" w:rsidP="00000000" w:rsidRDefault="00000000" w:rsidRPr="00000000" w14:paraId="0000003D">
            <w:pPr>
              <w:widowControl w:val="0"/>
              <w:rPr>
                <w:sz w:val="16"/>
                <w:szCs w:val="16"/>
              </w:rPr>
            </w:pPr>
            <w:r w:rsidDel="00000000" w:rsidR="00000000" w:rsidRPr="00000000">
              <w:rPr>
                <w:rFonts w:ascii="Times New Roman" w:cs="Times New Roman" w:eastAsia="Times New Roman" w:hAnsi="Times New Roman"/>
                <w:sz w:val="18"/>
                <w:szCs w:val="18"/>
                <w:rtl w:val="0"/>
              </w:rPr>
              <w:t xml:space="preserve">• Filtered data for deeper review</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16"/>
                <w:szCs w:val="16"/>
              </w:rPr>
            </w:pPr>
            <w:r w:rsidDel="00000000" w:rsidR="00000000" w:rsidRPr="00000000">
              <w:rPr>
                <w:rFonts w:ascii="Times New Roman" w:cs="Times New Roman" w:eastAsia="Times New Roman" w:hAnsi="Times New Roman"/>
                <w:sz w:val="18"/>
                <w:szCs w:val="18"/>
                <w:rtl w:val="0"/>
              </w:rPr>
              <w:t xml:space="preserve">Box/Violin plot</w:t>
            </w:r>
            <w:r w:rsidDel="00000000" w:rsidR="00000000" w:rsidRPr="00000000">
              <w:rPr>
                <w:rtl w:val="0"/>
              </w:rPr>
            </w:r>
          </w:p>
        </w:tc>
      </w:tr>
      <w:tr>
        <w:trPr>
          <w:cantSplit w:val="0"/>
          <w:trHeight w:val="570" w:hRule="atLeast"/>
          <w:tblHeader w:val="0"/>
        </w:trPr>
        <w:tc>
          <w:tcPr>
            <w:tcBorders>
              <w:top w:color="cccccc" w:space="0" w:sz="4" w:val="single"/>
              <w:left w:color="000000"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16"/>
                <w:szCs w:val="16"/>
              </w:rPr>
            </w:pPr>
            <w:r w:rsidDel="00000000" w:rsidR="00000000" w:rsidRPr="00000000">
              <w:rPr>
                <w:rFonts w:ascii="Times New Roman" w:cs="Times New Roman" w:eastAsia="Times New Roman" w:hAnsi="Times New Roman"/>
                <w:sz w:val="18"/>
                <w:szCs w:val="18"/>
                <w:rtl w:val="0"/>
              </w:rPr>
              <w:t xml:space="preserve">Top 100 Emitters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Ranked Facilities by total emissions</w:t>
            </w:r>
          </w:p>
          <w:p w:rsidR="00000000" w:rsidDel="00000000" w:rsidP="00000000" w:rsidRDefault="00000000" w:rsidRPr="00000000" w14:paraId="00000041">
            <w:pPr>
              <w:widowControl w:val="0"/>
              <w:rPr>
                <w:sz w:val="16"/>
                <w:szCs w:val="16"/>
              </w:rPr>
            </w:pPr>
            <w:r w:rsidDel="00000000" w:rsidR="00000000" w:rsidRPr="00000000">
              <w:rPr>
                <w:rFonts w:ascii="Times New Roman" w:cs="Times New Roman" w:eastAsia="Times New Roman" w:hAnsi="Times New Roman"/>
                <w:sz w:val="18"/>
                <w:szCs w:val="18"/>
                <w:rtl w:val="0"/>
              </w:rPr>
              <w:t xml:space="preserve">• Summarized by state and industry sector</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Bar Charts</w:t>
            </w:r>
          </w:p>
          <w:p w:rsidR="00000000" w:rsidDel="00000000" w:rsidP="00000000" w:rsidRDefault="00000000" w:rsidRPr="00000000" w14:paraId="00000043">
            <w:pPr>
              <w:widowControl w:val="0"/>
              <w:jc w:val="center"/>
              <w:rPr>
                <w:sz w:val="16"/>
                <w:szCs w:val="16"/>
              </w:rPr>
            </w:pPr>
            <w:r w:rsidDel="00000000" w:rsidR="00000000" w:rsidRPr="00000000">
              <w:rPr>
                <w:rFonts w:ascii="Times New Roman" w:cs="Times New Roman" w:eastAsia="Times New Roman" w:hAnsi="Times New Roman"/>
                <w:sz w:val="18"/>
                <w:szCs w:val="18"/>
                <w:rtl w:val="0"/>
              </w:rPr>
              <w:t xml:space="preserve">Heatmaps</w:t>
            </w:r>
            <w:r w:rsidDel="00000000" w:rsidR="00000000" w:rsidRPr="00000000">
              <w:rPr>
                <w:rtl w:val="0"/>
              </w:rPr>
            </w:r>
          </w:p>
        </w:tc>
      </w:tr>
      <w:tr>
        <w:trPr>
          <w:cantSplit w:val="0"/>
          <w:trHeight w:val="570" w:hRule="atLeast"/>
          <w:tblHeader w:val="0"/>
        </w:trPr>
        <w:tc>
          <w:tcPr>
            <w:tcBorders>
              <w:top w:color="cccccc" w:space="0" w:sz="4" w:val="single"/>
              <w:left w:color="000000"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16"/>
                <w:szCs w:val="16"/>
              </w:rPr>
            </w:pPr>
            <w:r w:rsidDel="00000000" w:rsidR="00000000" w:rsidRPr="00000000">
              <w:rPr>
                <w:rFonts w:ascii="Times New Roman" w:cs="Times New Roman" w:eastAsia="Times New Roman" w:hAnsi="Times New Roman"/>
                <w:sz w:val="18"/>
                <w:szCs w:val="18"/>
                <w:rtl w:val="0"/>
              </w:rPr>
              <w:t xml:space="preserve">Monitoring Status Exploration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Compared emissions for continuous monitoring</w:t>
            </w:r>
          </w:p>
          <w:p w:rsidR="00000000" w:rsidDel="00000000" w:rsidP="00000000" w:rsidRDefault="00000000" w:rsidRPr="00000000" w14:paraId="00000046">
            <w:pPr>
              <w:widowControl w:val="0"/>
              <w:rPr>
                <w:sz w:val="16"/>
                <w:szCs w:val="16"/>
              </w:rPr>
            </w:pPr>
            <w:r w:rsidDel="00000000" w:rsidR="00000000" w:rsidRPr="00000000">
              <w:rPr>
                <w:rFonts w:ascii="Times New Roman" w:cs="Times New Roman" w:eastAsia="Times New Roman" w:hAnsi="Times New Roman"/>
                <w:sz w:val="18"/>
                <w:szCs w:val="18"/>
                <w:rtl w:val="0"/>
              </w:rPr>
              <w:t xml:space="preserve">• Conducted t-tests for emission differences</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Box and Violin Plots</w:t>
            </w:r>
          </w:p>
          <w:p w:rsidR="00000000" w:rsidDel="00000000" w:rsidP="00000000" w:rsidRDefault="00000000" w:rsidRPr="00000000" w14:paraId="00000048">
            <w:pPr>
              <w:widowControl w:val="0"/>
              <w:jc w:val="center"/>
              <w:rPr>
                <w:sz w:val="16"/>
                <w:szCs w:val="16"/>
              </w:rPr>
            </w:pPr>
            <w:r w:rsidDel="00000000" w:rsidR="00000000" w:rsidRPr="00000000">
              <w:rPr>
                <w:rFonts w:ascii="Times New Roman" w:cs="Times New Roman" w:eastAsia="Times New Roman" w:hAnsi="Times New Roman"/>
                <w:sz w:val="18"/>
                <w:szCs w:val="18"/>
                <w:rtl w:val="0"/>
              </w:rPr>
              <w:t xml:space="preserve">t-test summaries</w:t>
            </w:r>
            <w:r w:rsidDel="00000000" w:rsidR="00000000" w:rsidRPr="00000000">
              <w:rPr>
                <w:rtl w:val="0"/>
              </w:rPr>
            </w:r>
          </w:p>
        </w:tc>
      </w:tr>
      <w:tr>
        <w:trPr>
          <w:cantSplit w:val="0"/>
          <w:trHeight w:val="570" w:hRule="atLeast"/>
          <w:tblHeader w:val="0"/>
        </w:trPr>
        <w:tc>
          <w:tcPr>
            <w:tcBorders>
              <w:top w:color="cccccc" w:space="0" w:sz="4" w:val="single"/>
              <w:left w:color="000000"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16"/>
                <w:szCs w:val="16"/>
              </w:rPr>
            </w:pPr>
            <w:r w:rsidDel="00000000" w:rsidR="00000000" w:rsidRPr="00000000">
              <w:rPr>
                <w:rFonts w:ascii="Times New Roman" w:cs="Times New Roman" w:eastAsia="Times New Roman" w:hAnsi="Times New Roman"/>
                <w:sz w:val="18"/>
                <w:szCs w:val="18"/>
                <w:rtl w:val="0"/>
              </w:rPr>
              <w:t xml:space="preserve">Industry/Sector Analysis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Examined Industry Type (sector) for top contributors</w:t>
            </w:r>
          </w:p>
          <w:p w:rsidR="00000000" w:rsidDel="00000000" w:rsidP="00000000" w:rsidRDefault="00000000" w:rsidRPr="00000000" w14:paraId="0000004B">
            <w:pPr>
              <w:widowControl w:val="0"/>
              <w:rPr>
                <w:sz w:val="16"/>
                <w:szCs w:val="16"/>
              </w:rPr>
            </w:pPr>
            <w:r w:rsidDel="00000000" w:rsidR="00000000" w:rsidRPr="00000000">
              <w:rPr>
                <w:rFonts w:ascii="Times New Roman" w:cs="Times New Roman" w:eastAsia="Times New Roman" w:hAnsi="Times New Roman"/>
                <w:sz w:val="18"/>
                <w:szCs w:val="18"/>
                <w:rtl w:val="0"/>
              </w:rPr>
              <w:t xml:space="preserve">• Created dummy variables for correlation check</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Bar Charts</w:t>
            </w:r>
          </w:p>
          <w:p w:rsidR="00000000" w:rsidDel="00000000" w:rsidP="00000000" w:rsidRDefault="00000000" w:rsidRPr="00000000" w14:paraId="0000004D">
            <w:pPr>
              <w:widowControl w:val="0"/>
              <w:jc w:val="center"/>
              <w:rPr>
                <w:sz w:val="16"/>
                <w:szCs w:val="16"/>
              </w:rPr>
            </w:pPr>
            <w:r w:rsidDel="00000000" w:rsidR="00000000" w:rsidRPr="00000000">
              <w:rPr>
                <w:rFonts w:ascii="Times New Roman" w:cs="Times New Roman" w:eastAsia="Times New Roman" w:hAnsi="Times New Roman"/>
                <w:sz w:val="18"/>
                <w:szCs w:val="18"/>
                <w:rtl w:val="0"/>
              </w:rPr>
              <w:t xml:space="preserve">Correlation Heatmaps</w:t>
            </w:r>
            <w:r w:rsidDel="00000000" w:rsidR="00000000" w:rsidRPr="00000000">
              <w:rPr>
                <w:rtl w:val="0"/>
              </w:rPr>
            </w:r>
          </w:p>
        </w:tc>
      </w:tr>
      <w:tr>
        <w:trPr>
          <w:cantSplit w:val="0"/>
          <w:trHeight w:val="825" w:hRule="atLeast"/>
          <w:tblHeader w:val="0"/>
        </w:trPr>
        <w:tc>
          <w:tcPr>
            <w:tcBorders>
              <w:top w:color="cccccc" w:space="0" w:sz="4" w:val="single"/>
              <w:left w:color="000000" w:space="0" w:sz="4" w:val="single"/>
              <w:bottom w:color="000000"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Modeling (Random Forrest</w:t>
            </w:r>
          </w:p>
          <w:p w:rsidR="00000000" w:rsidDel="00000000" w:rsidP="00000000" w:rsidRDefault="00000000" w:rsidRPr="00000000" w14:paraId="0000004F">
            <w:pPr>
              <w:widowControl w:val="0"/>
              <w:jc w:val="center"/>
              <w:rPr>
                <w:sz w:val="16"/>
                <w:szCs w:val="16"/>
              </w:rPr>
            </w:pPr>
            <w:r w:rsidDel="00000000" w:rsidR="00000000" w:rsidRPr="00000000">
              <w:rPr>
                <w:rFonts w:ascii="Times New Roman" w:cs="Times New Roman" w:eastAsia="Times New Roman" w:hAnsi="Times New Roman"/>
                <w:sz w:val="18"/>
                <w:szCs w:val="18"/>
                <w:rtl w:val="0"/>
              </w:rPr>
              <w:t xml:space="preserve">&amp; Decision Tree)</w:t>
            </w: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Encoded categorial columns</w:t>
            </w:r>
          </w:p>
          <w:p w:rsidR="00000000" w:rsidDel="00000000" w:rsidP="00000000" w:rsidRDefault="00000000" w:rsidRPr="00000000" w14:paraId="0000005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Trained ML models to predict emissions</w:t>
            </w:r>
          </w:p>
          <w:p w:rsidR="00000000" w:rsidDel="00000000" w:rsidP="00000000" w:rsidRDefault="00000000" w:rsidRPr="00000000" w14:paraId="00000052">
            <w:pPr>
              <w:widowControl w:val="0"/>
              <w:rPr>
                <w:sz w:val="16"/>
                <w:szCs w:val="16"/>
              </w:rPr>
            </w:pPr>
            <w:r w:rsidDel="00000000" w:rsidR="00000000" w:rsidRPr="00000000">
              <w:rPr>
                <w:rFonts w:ascii="Times New Roman" w:cs="Times New Roman" w:eastAsia="Times New Roman" w:hAnsi="Times New Roman"/>
                <w:sz w:val="18"/>
                <w:szCs w:val="18"/>
                <w:rtl w:val="0"/>
              </w:rPr>
              <w:t xml:space="preserve">• Checked feature importance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Feature Importance Bar Plot</w:t>
            </w:r>
          </w:p>
          <w:p w:rsidR="00000000" w:rsidDel="00000000" w:rsidP="00000000" w:rsidRDefault="00000000" w:rsidRPr="00000000" w14:paraId="00000054">
            <w:pPr>
              <w:widowControl w:val="0"/>
              <w:jc w:val="center"/>
              <w:rPr>
                <w:sz w:val="16"/>
                <w:szCs w:val="16"/>
              </w:rPr>
            </w:pPr>
            <w:r w:rsidDel="00000000" w:rsidR="00000000" w:rsidRPr="00000000">
              <w:rPr>
                <w:rFonts w:ascii="Times New Roman" w:cs="Times New Roman" w:eastAsia="Times New Roman" w:hAnsi="Times New Roman"/>
                <w:sz w:val="18"/>
                <w:szCs w:val="18"/>
                <w:rtl w:val="0"/>
              </w:rPr>
              <w:t xml:space="preserve">Actual vs Predicted Scatter</w:t>
            </w:r>
            <w:r w:rsidDel="00000000" w:rsidR="00000000" w:rsidRPr="00000000">
              <w:rPr>
                <w:rtl w:val="0"/>
              </w:rPr>
            </w:r>
          </w:p>
        </w:tc>
      </w:tr>
    </w:tbl>
    <w:p w:rsidR="00000000" w:rsidDel="00000000" w:rsidP="00000000" w:rsidRDefault="00000000" w:rsidRPr="00000000" w14:paraId="0000005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top 10 states by total emissions over time helped us understand which states should be flagged for further review.</w:t>
      </w:r>
    </w:p>
    <w:p w:rsidR="00000000" w:rsidDel="00000000" w:rsidP="00000000" w:rsidRDefault="00000000" w:rsidRPr="00000000" w14:paraId="0000006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0913" cy="182727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90913" cy="18272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used advanced visual tools like folium to understand the severity of emissions across the US. </w:t>
      </w:r>
    </w:p>
    <w:p w:rsidR="00000000" w:rsidDel="00000000" w:rsidP="00000000" w:rsidRDefault="00000000" w:rsidRPr="00000000" w14:paraId="0000006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ranked the correlation between industries using the encoded primary NAICS code and industry type. This ranking supports management and regulators by highlighting the most significant sources of emissions, thereby helping prioritize initiatives by sector.</w:t>
      </w:r>
      <w:r w:rsidDel="00000000" w:rsidR="00000000" w:rsidRPr="00000000">
        <w:rPr>
          <w:rFonts w:ascii="Times New Roman" w:cs="Times New Roman" w:eastAsia="Times New Roman" w:hAnsi="Times New Roman"/>
          <w:sz w:val="24"/>
          <w:szCs w:val="24"/>
        </w:rPr>
        <w:drawing>
          <wp:inline distB="114300" distT="114300" distL="114300" distR="114300">
            <wp:extent cx="5526509" cy="3667683"/>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526509" cy="366768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examined the mean emissions by state to create potential benchmarking metrics.</w:t>
      </w:r>
    </w:p>
    <w:p w:rsidR="00000000" w:rsidDel="00000000" w:rsidP="00000000" w:rsidRDefault="00000000" w:rsidRPr="00000000" w14:paraId="0000006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5738" cy="2462489"/>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995738" cy="246248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we performed one‑hot coding for the CO₂‑related survey questions regarding continuous monitoring—including whether CO₂ is collected on‑site. By comparing facilities that employ continuous monitoring against those that do not, we observed an interesting trend: the adoption of continuous monitoring appears to have begun around 2017, and this timing may correlate with a decrease in overall year‑over‑year emissions. In this observation, continuous monitoring may have been a factor in reducing overall emissions YoY.</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36576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816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observation where continuous monitoring may have been a factor in the decrease in overall emissions YoY.</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29288" cy="2826449"/>
            <wp:effectExtent b="0" l="0" r="0" t="0"/>
            <wp:docPr id="1" name="image2.png"/>
            <a:graphic>
              <a:graphicData uri="http://schemas.openxmlformats.org/drawingml/2006/picture">
                <pic:pic>
                  <pic:nvPicPr>
                    <pic:cNvPr id="0" name="image2.png"/>
                    <pic:cNvPicPr preferRelativeResize="0"/>
                  </pic:nvPicPr>
                  <pic:blipFill>
                    <a:blip r:embed="rId16"/>
                    <a:srcRect b="0" l="0" r="0" t="1748"/>
                    <a:stretch>
                      <a:fillRect/>
                    </a:stretch>
                  </pic:blipFill>
                  <pic:spPr>
                    <a:xfrm>
                      <a:off x="0" y="0"/>
                      <a:ext cx="5729288" cy="282644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our analysis revealed that although power plants dominate the top 20 emission sites among the top 10 plants, they represent only about 21% of the total facility population.</w:t>
      </w:r>
      <w:r w:rsidDel="00000000" w:rsidR="00000000" w:rsidRPr="00000000">
        <w:rPr>
          <w:rFonts w:ascii="Times New Roman" w:cs="Times New Roman" w:eastAsia="Times New Roman" w:hAnsi="Times New Roman"/>
          <w:sz w:val="24"/>
          <w:szCs w:val="24"/>
        </w:rPr>
        <w:drawing>
          <wp:inline distB="114300" distT="114300" distL="114300" distR="114300">
            <wp:extent cx="6176001" cy="2311812"/>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176001" cy="2311812"/>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ENGINEERING </w:t>
      </w:r>
    </w:p>
    <w:p w:rsidR="00000000" w:rsidDel="00000000" w:rsidP="00000000" w:rsidRDefault="00000000" w:rsidRPr="00000000" w14:paraId="0000006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preparing our data, we first evaluated the null values, examined the raw dataset, and assessed the completeness of each variable. We set a threshold whereby any column with more than 70% null values (i.e., less than 30% available data) was discarded, ensuring that only “usable” variables remained. </w:t>
      </w:r>
    </w:p>
    <w:p w:rsidR="00000000" w:rsidDel="00000000" w:rsidP="00000000" w:rsidRDefault="00000000" w:rsidRPr="00000000" w14:paraId="0000006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2189" cy="2547938"/>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882189" cy="25479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summary of the feature engineering/data preparation the group executed. There may be some carry over from the EDA summary we shared earlier, as they are interchangeable.</w:t>
      </w:r>
    </w:p>
    <w:p w:rsidR="00000000" w:rsidDel="00000000" w:rsidP="00000000" w:rsidRDefault="00000000" w:rsidRPr="00000000" w14:paraId="0000007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One-hot encoding </w:t>
      </w:r>
      <w:r w:rsidDel="00000000" w:rsidR="00000000" w:rsidRPr="00000000">
        <w:rPr>
          <w:rFonts w:ascii="Times New Roman" w:cs="Times New Roman" w:eastAsia="Times New Roman" w:hAnsi="Times New Roman"/>
          <w:sz w:val="24"/>
          <w:szCs w:val="24"/>
          <w:rtl w:val="0"/>
        </w:rPr>
        <w:t xml:space="preserve">-  was applied to categorical fields to prepare categorical data for learning models. The State and NAICS codes were one‑hot coded to observe geographical differences and further clean our data.</w:t>
      </w:r>
    </w:p>
    <w:p w:rsidR="00000000" w:rsidDel="00000000" w:rsidP="00000000" w:rsidRDefault="00000000" w:rsidRPr="00000000" w14:paraId="0000007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Binary one-hot encoding</w:t>
      </w:r>
      <w:r w:rsidDel="00000000" w:rsidR="00000000" w:rsidRPr="00000000">
        <w:rPr>
          <w:rFonts w:ascii="Times New Roman" w:cs="Times New Roman" w:eastAsia="Times New Roman" w:hAnsi="Times New Roman"/>
          <w:sz w:val="24"/>
          <w:szCs w:val="24"/>
          <w:rtl w:val="0"/>
        </w:rPr>
        <w:t xml:space="preserve"> -  used transform survey questions regarding CO₂ collection and continuous monitoring, converting responses to 1 for “Yes” and 0 for “No.”</w:t>
      </w:r>
    </w:p>
    <w:p w:rsidR="00000000" w:rsidDel="00000000" w:rsidP="00000000" w:rsidRDefault="00000000" w:rsidRPr="00000000" w14:paraId="0000007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Feature engineering for Year</w:t>
      </w:r>
      <w:r w:rsidDel="00000000" w:rsidR="00000000" w:rsidRPr="00000000">
        <w:rPr>
          <w:rFonts w:ascii="Times New Roman" w:cs="Times New Roman" w:eastAsia="Times New Roman" w:hAnsi="Times New Roman"/>
          <w:sz w:val="24"/>
          <w:szCs w:val="24"/>
          <w:rtl w:val="0"/>
        </w:rPr>
        <w:t xml:space="preserve"> -  “Year” variable was used as a predictor and to aggregate data for time‑series visualizations</w:t>
      </w:r>
    </w:p>
    <w:p w:rsidR="00000000" w:rsidDel="00000000" w:rsidP="00000000" w:rsidRDefault="00000000" w:rsidRPr="00000000" w14:paraId="0000007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Location Aggregation</w:t>
      </w:r>
      <w:r w:rsidDel="00000000" w:rsidR="00000000" w:rsidRPr="00000000">
        <w:rPr>
          <w:rFonts w:ascii="Times New Roman" w:cs="Times New Roman" w:eastAsia="Times New Roman" w:hAnsi="Times New Roman"/>
          <w:sz w:val="24"/>
          <w:szCs w:val="24"/>
          <w:rtl w:val="0"/>
        </w:rPr>
        <w:t xml:space="preserve"> - Location information, such as state, city, and zip code, was aggregated, with some “State” fields one‑hot coded.</w:t>
      </w:r>
    </w:p>
    <w:p w:rsidR="00000000" w:rsidDel="00000000" w:rsidP="00000000" w:rsidRDefault="00000000" w:rsidRPr="00000000" w14:paraId="0000007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Composite and Derived Variable Creation</w:t>
      </w:r>
      <w:r w:rsidDel="00000000" w:rsidR="00000000" w:rsidRPr="00000000">
        <w:rPr>
          <w:rFonts w:ascii="Times New Roman" w:cs="Times New Roman" w:eastAsia="Times New Roman" w:hAnsi="Times New Roman"/>
          <w:sz w:val="24"/>
          <w:szCs w:val="24"/>
          <w:rtl w:val="0"/>
        </w:rPr>
        <w:t xml:space="preserve"> - created by generating a new numerical variable for total emissions, allowing us to rank facilities nationally and by state. </w:t>
      </w:r>
    </w:p>
    <w:p w:rsidR="00000000" w:rsidDel="00000000" w:rsidP="00000000" w:rsidRDefault="00000000" w:rsidRPr="00000000" w14:paraId="0000007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Industry Subpart Splitting </w:t>
      </w:r>
      <w:r w:rsidDel="00000000" w:rsidR="00000000" w:rsidRPr="00000000">
        <w:rPr>
          <w:rFonts w:ascii="Times New Roman" w:cs="Times New Roman" w:eastAsia="Times New Roman" w:hAnsi="Times New Roman"/>
          <w:sz w:val="24"/>
          <w:szCs w:val="24"/>
          <w:rtl w:val="0"/>
        </w:rPr>
        <w:t xml:space="preserve">- commas split of the ‘Industry Type” field to generate binary indicator columns for each unique subpart, providing richer variables to improve model accuracy and support more precise recommendations.</w:t>
      </w:r>
    </w:p>
    <w:p w:rsidR="00000000" w:rsidDel="00000000" w:rsidP="00000000" w:rsidRDefault="00000000" w:rsidRPr="00000000" w14:paraId="0000007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Feature Scaling/Normalization</w:t>
      </w:r>
      <w:r w:rsidDel="00000000" w:rsidR="00000000" w:rsidRPr="00000000">
        <w:rPr>
          <w:rFonts w:ascii="Times New Roman" w:cs="Times New Roman" w:eastAsia="Times New Roman" w:hAnsi="Times New Roman"/>
          <w:sz w:val="24"/>
          <w:szCs w:val="24"/>
          <w:rtl w:val="0"/>
        </w:rPr>
        <w:t xml:space="preserve"> - used StandardScaler to ensure that features with different scales did not disproportionately influence the model.</w:t>
      </w:r>
    </w:p>
    <w:p w:rsidR="00000000" w:rsidDel="00000000" w:rsidP="00000000" w:rsidRDefault="00000000" w:rsidRPr="00000000" w14:paraId="0000007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Encoding combination + Continuous Features</w:t>
      </w:r>
      <w:r w:rsidDel="00000000" w:rsidR="00000000" w:rsidRPr="00000000">
        <w:rPr>
          <w:rFonts w:ascii="Times New Roman" w:cs="Times New Roman" w:eastAsia="Times New Roman" w:hAnsi="Times New Roman"/>
          <w:sz w:val="24"/>
          <w:szCs w:val="24"/>
          <w:rtl w:val="0"/>
        </w:rPr>
        <w:t xml:space="preserve"> - creating sparse matrix when applicable—to create a final feature matrix for modeling.</w:t>
      </w:r>
    </w:p>
    <w:p w:rsidR="00000000" w:rsidDel="00000000" w:rsidP="00000000" w:rsidRDefault="00000000" w:rsidRPr="00000000" w14:paraId="0000007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Outlier Filtering</w:t>
      </w:r>
      <w:r w:rsidDel="00000000" w:rsidR="00000000" w:rsidRPr="00000000">
        <w:rPr>
          <w:rFonts w:ascii="Times New Roman" w:cs="Times New Roman" w:eastAsia="Times New Roman" w:hAnsi="Times New Roman"/>
          <w:sz w:val="24"/>
          <w:szCs w:val="24"/>
          <w:rtl w:val="0"/>
        </w:rPr>
        <w:t xml:space="preserve"> - removed extreme outliers or separated top emitters into a separate set for further analysis.</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feature engineering process eliminated columns with high missing rates and identified key variables to build a solid foundation for our models. Encoding states and NAICS codes allowed us to explore deeper insights and test datasets interchangeably. Our early hypothesis—that continuous monitoring may reduce emissions—was supported by our preliminary findings of the binary conversion of monitoring questions, potentially facilitating technology adoption in certain facilities to adopt continuous monitoring. Most importantly, scaling, encoding, and creating composite features have prepared the data for success when applied to our model.</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cdsupport.com/confluence/pages/viewpage.action?pageId=93290546" TargetMode="External"/><Relationship Id="rId10" Type="http://schemas.openxmlformats.org/officeDocument/2006/relationships/hyperlink" Target="https://www.epa.gov/ghgreporting/what-ghgrp" TargetMode="External"/><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pa.gov/system/files/other-files/2024-10/2023_data_summary_spreadsheets.zip" TargetMode="Externa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epa.gov/system/files/other-files/2024-10/2023_data_summary_spreadsheets.zip" TargetMode="External"/><Relationship Id="rId18" Type="http://schemas.openxmlformats.org/officeDocument/2006/relationships/image" Target="media/image7.png"/><Relationship Id="rId7" Type="http://schemas.openxmlformats.org/officeDocument/2006/relationships/hyperlink" Target="https://www.epa.gov/ghgreporting/what-ghgrp" TargetMode="External"/><Relationship Id="rId8" Type="http://schemas.openxmlformats.org/officeDocument/2006/relationships/hyperlink" Target="https://ccdsupport.com/confluence/pages/viewpage.action?pageId=932905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