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Дани списки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list_1 = [1, 2, 3, 4, 5, 6, 7, 8, 9, 10]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list_2 = [11, 12, 13, 14, 15, 16, 17, 18, 19, 20]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list_3 = [21, 22, 23, 24, 25, 26, 27, 28, 29, 30]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Используя методи функционального програмирования: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1. С первого и третьего списков оставить все четний числа;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2. Со второго оставить все нечетние;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3. Обеденить списки в один список кортежей пар (значение первого списка, значение второго списка, значение третьего списка);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4. По каждому кортежу определить сумму его значений, получите список сумм кортежей;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5. После получения списка п.4 оставить в нем только нечетние значения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Весь повторяющийся и не только код оформить в виде функций.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Код должен бить максимально автоматизирован!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113</Words>
  <Characters>570</Characters>
  <CharactersWithSpaces>671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2021-03-30T12:45:01Z</dcterms:created>
  <dc:creator/>
  <dc:description/>
  <dc:language>en-US</dc:language>
  <cp:lastModifiedBy/>
  <dcterms:modified xsi:type="dcterms:W3CDTF">2021-03-30T13:01:30Z</dcterms:modified>
  <cp:revision>2</cp:revision>
  <dc:subject/>
  <dc:title/>
</cp:coreProperties>
</file>