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2478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mihael.network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:rsid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  <w:p w:rsid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C321B3" w:rsidRPr="00C321B3" w:rsidRDefault="00671ACB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  <w:hyperlink r:id="rId8" w:history="1">
              <w:r w:rsidR="00824783" w:rsidRPr="00C321B3">
                <w:rPr>
                  <w:rStyle w:val="af0"/>
                  <w:rFonts w:asciiTheme="minorHAnsi" w:hAnsiTheme="minorHAnsi" w:cstheme="minorHAnsi"/>
                  <w:szCs w:val="24"/>
                  <w:lang w:val="en-US"/>
                </w:rPr>
                <w:t>www.linkedin.com/in/mihael147work/</w:t>
              </w:r>
            </w:hyperlink>
          </w:p>
          <w:p w:rsidR="00C321B3" w:rsidRPr="00C321B3" w:rsidRDefault="00C321B3" w:rsidP="00E50452">
            <w:pPr>
              <w:autoSpaceDE/>
              <w:autoSpaceDN/>
              <w:jc w:val="left"/>
              <w:rPr>
                <w:rFonts w:asciiTheme="minorHAnsi" w:hAnsiTheme="minorHAnsi" w:cstheme="minorHAnsi"/>
                <w:szCs w:val="24"/>
              </w:rPr>
            </w:pPr>
          </w:p>
          <w:p w:rsidR="00E50452" w:rsidRPr="00C321B3" w:rsidRDefault="00671ACB" w:rsidP="00E50452">
            <w:pPr>
              <w:autoSpaceDE/>
              <w:autoSpaceDN/>
              <w:jc w:val="left"/>
            </w:pPr>
            <w:hyperlink r:id="rId9" w:history="1">
              <w:r w:rsidR="00C321B3" w:rsidRPr="00C321B3">
                <w:rPr>
                  <w:rStyle w:val="af0"/>
                  <w:rFonts w:asciiTheme="minorHAnsi" w:hAnsiTheme="minorHAnsi" w:cstheme="minorHAnsi"/>
                  <w:szCs w:val="24"/>
                </w:rPr>
                <w:t>https://github.com/mihael147work/info</w:t>
              </w:r>
            </w:hyperlink>
            <w:r w:rsidR="00C321B3" w:rsidRPr="00C321B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24783" w:rsidRPr="00C321B3">
              <w:rPr>
                <w:rFonts w:asciiTheme="minorHAnsi" w:hAnsiTheme="minorHAnsi" w:cstheme="minorHAnsi"/>
                <w:color w:val="2E74B5"/>
                <w:szCs w:val="24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23D9B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C23D9B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824783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671ACB" w:rsidP="00CD377C">
      <w:pPr>
        <w:pStyle w:val="ArrowBlueBullets"/>
        <w:rPr>
          <w:color w:val="595959" w:themeColor="text1" w:themeTint="A6"/>
        </w:rPr>
      </w:pPr>
      <w:hyperlink r:id="rId11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A849CA" w:rsidRP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redictive analytics</w:t>
            </w:r>
            <w:r w:rsidR="00DF0D9A"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</w:t>
            </w:r>
          </w:p>
          <w:p w:rsidR="00A849CA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>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including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>: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 xml:space="preserve"> statistical analysis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&amp; recommendations systems</w:t>
            </w:r>
            <w:r w:rsidRPr="00A849CA">
              <w:rPr>
                <w:rStyle w:val="hps"/>
                <w:color w:val="595959"/>
                <w:sz w:val="18"/>
                <w:szCs w:val="18"/>
              </w:rPr>
              <w:t>)</w:t>
            </w:r>
          </w:p>
          <w:p w:rsidR="00D25EA0" w:rsidRDefault="00A849CA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lastRenderedPageBreak/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A849CA" w:rsidRPr="00B11990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Task review and estimations</w:t>
            </w:r>
          </w:p>
          <w:p w:rsidR="00A849CA" w:rsidRPr="00B11990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A849CA" w:rsidRDefault="00A849CA" w:rsidP="00A849C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:rsidR="00B11990" w:rsidRPr="00805064" w:rsidRDefault="00A849CA" w:rsidP="00A849C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49CA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(</w:t>
            </w:r>
            <w:r w:rsidR="00DF0D9A" w:rsidRPr="00A849CA">
              <w:rPr>
                <w:rStyle w:val="hps"/>
                <w:color w:val="595959"/>
                <w:sz w:val="18"/>
                <w:szCs w:val="18"/>
              </w:rPr>
              <w:t>including</w:t>
            </w:r>
            <w:r w:rsidR="00DF0D9A">
              <w:rPr>
                <w:rStyle w:val="hps"/>
                <w:color w:val="595959"/>
                <w:sz w:val="18"/>
                <w:szCs w:val="18"/>
              </w:rPr>
              <w:t xml:space="preserve"> recommendations system for b2b and b2c)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B1749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 xml:space="preserve">I took part in several projects in the context </w:t>
            </w:r>
            <w:r w:rsidR="00B17494">
              <w:rPr>
                <w:rStyle w:val="hps"/>
                <w:sz w:val="18"/>
                <w:szCs w:val="18"/>
              </w:rPr>
              <w:t>cooperation with</w:t>
            </w:r>
            <w:r w:rsidRPr="000802B2">
              <w:rPr>
                <w:rStyle w:val="hps"/>
                <w:sz w:val="18"/>
                <w:szCs w:val="18"/>
              </w:rPr>
              <w:t xml:space="preserve"> Innovation Center </w:t>
            </w:r>
            <w:r w:rsidRPr="000802B2">
              <w:rPr>
                <w:rStyle w:val="hps"/>
                <w:sz w:val="18"/>
                <w:szCs w:val="18"/>
              </w:rPr>
              <w:lastRenderedPageBreak/>
              <w:t>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D9F" w:rsidRDefault="00443D9F">
      <w:r>
        <w:separator/>
      </w:r>
    </w:p>
  </w:endnote>
  <w:endnote w:type="continuationSeparator" w:id="0">
    <w:p w:rsidR="00443D9F" w:rsidRDefault="00443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671ACB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671ACB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671AC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671ACB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671ACB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DF0D9A" w:rsidRPr="00DF0D9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3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D9F" w:rsidRDefault="00443D9F">
      <w:r>
        <w:separator/>
      </w:r>
    </w:p>
  </w:footnote>
  <w:footnote w:type="continuationSeparator" w:id="0">
    <w:p w:rsidR="00443D9F" w:rsidRDefault="00443D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671ACB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4034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46B9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2314F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7A83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3D9F"/>
    <w:rsid w:val="00445CF3"/>
    <w:rsid w:val="00450CC9"/>
    <w:rsid w:val="00456524"/>
    <w:rsid w:val="004568F7"/>
    <w:rsid w:val="00476033"/>
    <w:rsid w:val="00486917"/>
    <w:rsid w:val="00490069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54"/>
    <w:rsid w:val="004D5E20"/>
    <w:rsid w:val="004D758C"/>
    <w:rsid w:val="004F0F40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37454"/>
    <w:rsid w:val="00642643"/>
    <w:rsid w:val="0064566A"/>
    <w:rsid w:val="006508CB"/>
    <w:rsid w:val="00650CFB"/>
    <w:rsid w:val="00662B21"/>
    <w:rsid w:val="006652C3"/>
    <w:rsid w:val="00671ACB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0DE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B65F3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478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0968"/>
    <w:rsid w:val="009169C9"/>
    <w:rsid w:val="00923618"/>
    <w:rsid w:val="00941B11"/>
    <w:rsid w:val="0096110C"/>
    <w:rsid w:val="00961357"/>
    <w:rsid w:val="00961AC0"/>
    <w:rsid w:val="0096276E"/>
    <w:rsid w:val="009749DE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849CA"/>
    <w:rsid w:val="00AB3745"/>
    <w:rsid w:val="00AE33FB"/>
    <w:rsid w:val="00AE7F95"/>
    <w:rsid w:val="00AF055A"/>
    <w:rsid w:val="00AF327C"/>
    <w:rsid w:val="00B04A11"/>
    <w:rsid w:val="00B11990"/>
    <w:rsid w:val="00B1694F"/>
    <w:rsid w:val="00B17494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3D9B"/>
    <w:rsid w:val="00C26EA0"/>
    <w:rsid w:val="00C321B3"/>
    <w:rsid w:val="00C342AF"/>
    <w:rsid w:val="00C36F4E"/>
    <w:rsid w:val="00C4645E"/>
    <w:rsid w:val="00C46B40"/>
    <w:rsid w:val="00C52948"/>
    <w:rsid w:val="00C67780"/>
    <w:rsid w:val="00C70B50"/>
    <w:rsid w:val="00C74F7D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54D6A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0D9A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43CB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hael147work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ihael147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ihael147work/inf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3603-C1D3-4D66-89F0-CFA006E8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7</Pages>
  <Words>1943</Words>
  <Characters>11080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12998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25</cp:revision>
  <cp:lastPrinted>2020-06-18T16:27:00Z</cp:lastPrinted>
  <dcterms:created xsi:type="dcterms:W3CDTF">2020-03-02T14:18:00Z</dcterms:created>
  <dcterms:modified xsi:type="dcterms:W3CDTF">2020-08-03T22:28:00Z</dcterms:modified>
</cp:coreProperties>
</file>