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A5F7" w14:textId="2AD1ECC2" w:rsidR="00C86AD1" w:rsidRDefault="00C86AD1" w:rsidP="00C86AD1">
      <w:pPr>
        <w:pStyle w:val="a3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Основные направления государственной политики в области охраны труда.</w:t>
      </w:r>
    </w:p>
    <w:p w14:paraId="27FBF437" w14:textId="07D4B95A" w:rsidR="00C86AD1" w:rsidRDefault="00C86AD1" w:rsidP="00C86AD1">
      <w:pPr>
        <w:pStyle w:val="a3"/>
        <w:spacing w:after="0"/>
        <w:ind w:left="0"/>
        <w:jc w:val="both"/>
        <w:rPr>
          <w:sz w:val="28"/>
          <w:szCs w:val="28"/>
        </w:rPr>
      </w:pPr>
    </w:p>
    <w:p w14:paraId="311399D8" w14:textId="0652A007" w:rsidR="00C86AD1" w:rsidRDefault="00C86AD1" w:rsidP="00C86AD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102. </w:t>
      </w:r>
      <w:r>
        <w:rPr>
          <w:sz w:val="28"/>
          <w:szCs w:val="28"/>
        </w:rPr>
        <w:t>Причины пожаров и взрывов на производстве.</w:t>
      </w:r>
    </w:p>
    <w:p w14:paraId="06D75D3C" w14:textId="6211D968" w:rsidR="00C86AD1" w:rsidRDefault="00C86AD1" w:rsidP="00C86AD1">
      <w:pPr>
        <w:pStyle w:val="a3"/>
        <w:spacing w:after="0"/>
        <w:ind w:left="0"/>
        <w:jc w:val="both"/>
        <w:rPr>
          <w:sz w:val="28"/>
          <w:szCs w:val="28"/>
        </w:rPr>
      </w:pPr>
    </w:p>
    <w:p w14:paraId="67FF8813" w14:textId="24E1D26F" w:rsidR="00794E4E" w:rsidRDefault="00C86AD1">
      <w:pPr>
        <w:rPr>
          <w:sz w:val="28"/>
          <w:szCs w:val="28"/>
        </w:rPr>
      </w:pPr>
      <w:r>
        <w:rPr>
          <w:sz w:val="28"/>
          <w:szCs w:val="28"/>
        </w:rPr>
        <w:t xml:space="preserve">73. </w:t>
      </w:r>
      <w:r>
        <w:rPr>
          <w:sz w:val="28"/>
          <w:szCs w:val="28"/>
        </w:rPr>
        <w:t>Источники искусственного света. Достоинства, недостатки, область применения.</w:t>
      </w:r>
    </w:p>
    <w:p w14:paraId="2F37F99A" w14:textId="177CAC11" w:rsidR="00C86AD1" w:rsidRDefault="00C86AD1" w:rsidP="00C86AD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47. </w:t>
      </w:r>
      <w:r>
        <w:rPr>
          <w:sz w:val="28"/>
          <w:szCs w:val="28"/>
        </w:rPr>
        <w:t>Порядок расследования и учета тяжелых несчастных случаев и со смертельным исходом на производстве.</w:t>
      </w:r>
    </w:p>
    <w:p w14:paraId="4F333374" w14:textId="52749B81" w:rsidR="00C86AD1" w:rsidRDefault="00C86AD1">
      <w:r>
        <w:br w:type="page"/>
      </w:r>
    </w:p>
    <w:p w14:paraId="3A0F4E43" w14:textId="77777777" w:rsidR="00C86AD1" w:rsidRDefault="00C86AD1" w:rsidP="00C86AD1">
      <w:pPr>
        <w:pStyle w:val="1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Задача 4</w:t>
      </w:r>
    </w:p>
    <w:p w14:paraId="783A29C4" w14:textId="77777777" w:rsidR="00C86AD1" w:rsidRDefault="00C86AD1" w:rsidP="00C86AD1">
      <w:pPr>
        <w:pStyle w:val="a3"/>
        <w:spacing w:after="0"/>
        <w:ind w:left="0" w:right="43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помещении длиной А, шириной В все рабочие места оборудованы персональными ЭВМ. Определите по СанПиН 2.2.2/2.4.1340-03 какое количество рабочих мест может располагаться в данном помещении и вычертите схему расположения рабочих мест.</w:t>
      </w:r>
    </w:p>
    <w:p w14:paraId="6A6144B4" w14:textId="77777777" w:rsidR="00C86AD1" w:rsidRDefault="00C86AD1" w:rsidP="00C86AD1">
      <w:pPr>
        <w:ind w:firstLine="851"/>
        <w:jc w:val="both"/>
        <w:rPr>
          <w:sz w:val="28"/>
          <w:szCs w:val="28"/>
        </w:rPr>
      </w:pP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689"/>
        <w:gridCol w:w="816"/>
        <w:gridCol w:w="816"/>
        <w:gridCol w:w="817"/>
        <w:gridCol w:w="817"/>
        <w:gridCol w:w="816"/>
        <w:gridCol w:w="817"/>
        <w:gridCol w:w="816"/>
        <w:gridCol w:w="817"/>
        <w:gridCol w:w="817"/>
      </w:tblGrid>
      <w:tr w:rsidR="00C86AD1" w14:paraId="24B47C56" w14:textId="77777777" w:rsidTr="00C86AD1">
        <w:trPr>
          <w:cantSplit/>
          <w:trHeight w:val="253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9B03" w14:textId="77777777" w:rsidR="00C86AD1" w:rsidRDefault="00C86AD1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Пара-метры</w:t>
            </w:r>
            <w:proofErr w:type="gramEnd"/>
            <w:r>
              <w:rPr>
                <w:sz w:val="28"/>
                <w:szCs w:val="28"/>
              </w:rPr>
              <w:t>, м</w:t>
            </w:r>
          </w:p>
        </w:tc>
        <w:tc>
          <w:tcPr>
            <w:tcW w:w="80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91F6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Последняя цифра шифра</w:t>
            </w:r>
          </w:p>
        </w:tc>
      </w:tr>
      <w:tr w:rsidR="00C86AD1" w14:paraId="37EB1B13" w14:textId="77777777" w:rsidTr="00C86AD1">
        <w:trPr>
          <w:cantSplit/>
          <w:trHeight w:val="217"/>
        </w:trPr>
        <w:tc>
          <w:tcPr>
            <w:tcW w:w="1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2AD5C" w14:textId="77777777" w:rsidR="00C86AD1" w:rsidRDefault="00C86AD1">
            <w:pPr>
              <w:rPr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6C26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E3D2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A5FD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A550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D610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0227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3994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D170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87406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0F2E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C86AD1" w14:paraId="73C5252E" w14:textId="77777777" w:rsidTr="00C86AD1">
        <w:trPr>
          <w:cantSplit/>
          <w:trHeight w:val="33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66B1" w14:textId="77777777" w:rsidR="00C86AD1" w:rsidRDefault="00C86A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7661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5E86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1B1D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F89B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40AE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1C1D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7A9F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09CB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7707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2FEB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86AD1" w14:paraId="3C89AC06" w14:textId="77777777" w:rsidTr="00C86AD1">
        <w:trPr>
          <w:cantSplit/>
          <w:trHeight w:val="27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5B9B" w14:textId="77777777" w:rsidR="00C86AD1" w:rsidRDefault="00C86A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39EC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133D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CD26A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22BF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C524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C20F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73F9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C59C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EDAD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F74B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5E7E7336" w14:textId="3416C62B" w:rsidR="00C86AD1" w:rsidRDefault="00C86AD1">
      <w:r>
        <w:br w:type="page"/>
      </w:r>
    </w:p>
    <w:p w14:paraId="09E54C74" w14:textId="77777777" w:rsidR="00C86AD1" w:rsidRDefault="00C86AD1" w:rsidP="00C86AD1">
      <w:pPr>
        <w:pStyle w:val="4"/>
        <w:spacing w:before="0" w:after="0"/>
        <w:jc w:val="center"/>
        <w:rPr>
          <w:bCs w:val="0"/>
        </w:rPr>
      </w:pPr>
      <w:r>
        <w:rPr>
          <w:bCs w:val="0"/>
        </w:rPr>
        <w:lastRenderedPageBreak/>
        <w:t>Задача 14</w:t>
      </w:r>
    </w:p>
    <w:p w14:paraId="3CB2AD45" w14:textId="77777777" w:rsidR="00C86AD1" w:rsidRDefault="00C86AD1" w:rsidP="00C86AD1">
      <w:pPr>
        <w:ind w:left="160" w:right="200" w:firstLine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Освещенность рабочего места через окна, измеренная с помощью люксметра, составила Е, </w:t>
      </w:r>
      <w:proofErr w:type="spellStart"/>
      <w:r>
        <w:rPr>
          <w:sz w:val="28"/>
          <w:szCs w:val="28"/>
        </w:rPr>
        <w:t>лк</w:t>
      </w:r>
      <w:proofErr w:type="spellEnd"/>
      <w:r>
        <w:rPr>
          <w:sz w:val="28"/>
          <w:szCs w:val="28"/>
        </w:rPr>
        <w:t xml:space="preserve"> при освещении снаружи </w:t>
      </w:r>
      <w:proofErr w:type="spellStart"/>
      <w:r>
        <w:rPr>
          <w:sz w:val="28"/>
          <w:szCs w:val="28"/>
        </w:rPr>
        <w:t>Е</w:t>
      </w:r>
      <w:r>
        <w:rPr>
          <w:sz w:val="28"/>
          <w:szCs w:val="28"/>
          <w:vertAlign w:val="subscript"/>
        </w:rPr>
        <w:t>нар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лк</w:t>
      </w:r>
      <w:proofErr w:type="spellEnd"/>
      <w:r>
        <w:rPr>
          <w:sz w:val="28"/>
          <w:szCs w:val="28"/>
        </w:rPr>
        <w:t>.</w:t>
      </w:r>
    </w:p>
    <w:p w14:paraId="2DAE1393" w14:textId="77777777" w:rsidR="00C86AD1" w:rsidRDefault="00C86AD1" w:rsidP="00C86AD1">
      <w:pPr>
        <w:ind w:left="160" w:right="200" w:firstLine="560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Определите коэффициент естественной освещенности и проверьте соответствуют ли условия освещения требованиям СНиП</w:t>
      </w:r>
      <w:r>
        <w:rPr>
          <w:noProof/>
          <w:sz w:val="28"/>
          <w:szCs w:val="28"/>
        </w:rPr>
        <w:t xml:space="preserve"> 23-05-95*.</w:t>
      </w:r>
    </w:p>
    <w:p w14:paraId="0A31AA46" w14:textId="77777777" w:rsidR="00C86AD1" w:rsidRDefault="00C86AD1" w:rsidP="00C86AD1">
      <w:pPr>
        <w:ind w:left="160" w:right="200" w:firstLine="560"/>
        <w:jc w:val="both"/>
        <w:rPr>
          <w:sz w:val="28"/>
          <w:szCs w:val="28"/>
        </w:rPr>
      </w:pPr>
    </w:p>
    <w:tbl>
      <w:tblPr>
        <w:tblW w:w="937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03"/>
        <w:gridCol w:w="768"/>
        <w:gridCol w:w="767"/>
        <w:gridCol w:w="767"/>
        <w:gridCol w:w="767"/>
        <w:gridCol w:w="767"/>
        <w:gridCol w:w="767"/>
        <w:gridCol w:w="767"/>
        <w:gridCol w:w="767"/>
        <w:gridCol w:w="767"/>
        <w:gridCol w:w="768"/>
      </w:tblGrid>
      <w:tr w:rsidR="00C86AD1" w14:paraId="397343B5" w14:textId="77777777" w:rsidTr="00C86AD1">
        <w:trPr>
          <w:cantSplit/>
          <w:trHeight w:hRule="exact" w:val="492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5DF7ED" w14:textId="77777777" w:rsidR="00C86AD1" w:rsidRDefault="00C86A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</w:t>
            </w:r>
          </w:p>
        </w:tc>
        <w:tc>
          <w:tcPr>
            <w:tcW w:w="767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FD1749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Предпоследняя цифра шифра</w:t>
            </w:r>
          </w:p>
        </w:tc>
      </w:tr>
      <w:tr w:rsidR="00C86AD1" w14:paraId="42D28BBA" w14:textId="77777777" w:rsidTr="00C86AD1">
        <w:trPr>
          <w:cantSplit/>
          <w:trHeight w:hRule="exact" w:val="502"/>
        </w:trPr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937B8" w14:textId="77777777" w:rsidR="00C86AD1" w:rsidRDefault="00C86AD1">
            <w:pPr>
              <w:rPr>
                <w:sz w:val="28"/>
                <w:szCs w:val="28"/>
              </w:rPr>
            </w:pP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DB53D4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2BB885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528B40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B4F448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0C6CC9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B633CF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EE6F67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34AF23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2FC10F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0E334B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</w:t>
            </w:r>
          </w:p>
        </w:tc>
      </w:tr>
      <w:tr w:rsidR="00C86AD1" w14:paraId="49E2D600" w14:textId="77777777" w:rsidTr="00C86AD1">
        <w:trPr>
          <w:trHeight w:hRule="exact" w:val="44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47435A" w14:textId="77777777" w:rsidR="00C86AD1" w:rsidRDefault="00C86A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Е, </w:t>
            </w:r>
            <w:proofErr w:type="spellStart"/>
            <w:r>
              <w:rPr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EF92F0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150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E4C05A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B41B41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866F4C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140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6872A1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280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0250ED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280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E73DAE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150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363525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A1ACB9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150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6C1EB5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85</w:t>
            </w:r>
          </w:p>
        </w:tc>
      </w:tr>
      <w:tr w:rsidR="00C86AD1" w14:paraId="06F164AD" w14:textId="77777777" w:rsidTr="00C86AD1">
        <w:trPr>
          <w:trHeight w:hRule="exact" w:val="83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38AC72" w14:textId="77777777" w:rsidR="00C86AD1" w:rsidRDefault="00C86AD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vertAlign w:val="subscript"/>
              </w:rPr>
              <w:t>нар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3C6136" w14:textId="77777777" w:rsidR="00C86AD1" w:rsidRDefault="00C86AD1">
            <w:pPr>
              <w:jc w:val="center"/>
              <w:rPr>
                <w:sz w:val="24"/>
                <w:szCs w:val="28"/>
              </w:rPr>
            </w:pPr>
            <w:r>
              <w:rPr>
                <w:noProof/>
                <w:szCs w:val="28"/>
              </w:rPr>
              <w:t>10000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6A3F9D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10000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17528F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7000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C720B3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20000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3E4A51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14000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B5F6B9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10000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C6BCE5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9000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9850B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13000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81C765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20000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CB43B5" w14:textId="77777777" w:rsidR="00C86AD1" w:rsidRDefault="00C86AD1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20000</w:t>
            </w:r>
          </w:p>
        </w:tc>
      </w:tr>
      <w:tr w:rsidR="00C86AD1" w14:paraId="75AF5B67" w14:textId="77777777" w:rsidTr="00C86AD1">
        <w:trPr>
          <w:cantSplit/>
          <w:trHeight w:val="125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5B0064E" w14:textId="77777777" w:rsidR="00C86AD1" w:rsidRDefault="00C86A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Разряд зрительных работ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CEEC6C8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IV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F4CEEF3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V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577C9B3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VI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F81C7C0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V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8BDA3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VI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EFC220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V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F70A0A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IV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48DA65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IV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6EF0BBA" w14:textId="77777777" w:rsidR="00C86AD1" w:rsidRDefault="00C86A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VII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BA1B527" w14:textId="77777777" w:rsidR="00C86AD1" w:rsidRDefault="00C86A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VIIIб</w:t>
            </w:r>
          </w:p>
        </w:tc>
      </w:tr>
      <w:tr w:rsidR="00C86AD1" w14:paraId="7BA4316E" w14:textId="77777777" w:rsidTr="00C86AD1">
        <w:trPr>
          <w:cantSplit/>
          <w:trHeight w:hRule="exact" w:val="189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526E22" w14:textId="77777777" w:rsidR="00C86AD1" w:rsidRDefault="00C86A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Место </w:t>
            </w:r>
            <w:proofErr w:type="spellStart"/>
            <w:r>
              <w:rPr>
                <w:sz w:val="28"/>
                <w:szCs w:val="28"/>
              </w:rPr>
              <w:t>нахожде</w:t>
            </w:r>
            <w:proofErr w:type="spellEnd"/>
            <w:r>
              <w:rPr>
                <w:sz w:val="28"/>
                <w:szCs w:val="28"/>
              </w:rPr>
              <w:t>-</w:t>
            </w:r>
          </w:p>
          <w:p w14:paraId="6C5807F5" w14:textId="77777777" w:rsidR="00C86AD1" w:rsidRDefault="00C86AD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ния</w:t>
            </w:r>
            <w:proofErr w:type="spellEnd"/>
            <w:r>
              <w:rPr>
                <w:sz w:val="28"/>
                <w:szCs w:val="28"/>
              </w:rPr>
              <w:t xml:space="preserve"> предприятия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8363AA4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</w:t>
            </w:r>
            <w:r>
              <w:rPr>
                <w:sz w:val="28"/>
                <w:szCs w:val="28"/>
              </w:rPr>
              <w:softHyphen/>
              <w:t>но</w:t>
            </w:r>
            <w:r>
              <w:rPr>
                <w:sz w:val="28"/>
                <w:szCs w:val="28"/>
              </w:rPr>
              <w:softHyphen/>
              <w:t>дар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3746A24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</w:t>
            </w:r>
            <w:r>
              <w:rPr>
                <w:sz w:val="28"/>
                <w:szCs w:val="28"/>
              </w:rPr>
              <w:softHyphen/>
              <w:t>ква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4418A246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</w:t>
            </w:r>
            <w:r>
              <w:rPr>
                <w:sz w:val="28"/>
                <w:szCs w:val="28"/>
              </w:rPr>
              <w:softHyphen/>
              <w:t>нодар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0161DF1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</w:t>
            </w:r>
            <w:r>
              <w:rPr>
                <w:sz w:val="28"/>
                <w:szCs w:val="28"/>
              </w:rPr>
              <w:softHyphen/>
              <w:t>ма</w:t>
            </w:r>
            <w:r>
              <w:rPr>
                <w:sz w:val="28"/>
                <w:szCs w:val="28"/>
              </w:rPr>
              <w:softHyphen/>
              <w:t>вир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B87571A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</w:t>
            </w:r>
            <w:r>
              <w:rPr>
                <w:sz w:val="28"/>
                <w:szCs w:val="28"/>
              </w:rPr>
              <w:softHyphen/>
              <w:t>пецк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42257543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Архангельск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2105359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Тю</w:t>
            </w:r>
            <w:r>
              <w:rPr>
                <w:sz w:val="28"/>
                <w:szCs w:val="28"/>
              </w:rPr>
              <w:softHyphen/>
              <w:t>мень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75A462A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</w:t>
            </w:r>
            <w:r>
              <w:rPr>
                <w:sz w:val="28"/>
                <w:szCs w:val="28"/>
              </w:rPr>
              <w:softHyphen/>
              <w:t>бинск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D428204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Став</w:t>
            </w:r>
            <w:r>
              <w:rPr>
                <w:sz w:val="28"/>
                <w:szCs w:val="28"/>
              </w:rPr>
              <w:softHyphen/>
              <w:t>ро</w:t>
            </w:r>
            <w:r>
              <w:rPr>
                <w:sz w:val="28"/>
                <w:szCs w:val="28"/>
              </w:rPr>
              <w:softHyphen/>
              <w:t>поль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B82953E" w14:textId="77777777" w:rsidR="00C86AD1" w:rsidRDefault="00C86AD1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Псков</w:t>
            </w:r>
          </w:p>
        </w:tc>
      </w:tr>
    </w:tbl>
    <w:p w14:paraId="68BD3A82" w14:textId="77777777" w:rsidR="00C86AD1" w:rsidRDefault="00C86AD1"/>
    <w:sectPr w:rsidR="00C86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101ED"/>
    <w:multiLevelType w:val="hybridMultilevel"/>
    <w:tmpl w:val="5EB6E8D8"/>
    <w:lvl w:ilvl="0" w:tplc="96E2E80A">
      <w:start w:val="1"/>
      <w:numFmt w:val="decimal"/>
      <w:lvlText w:val="%1."/>
      <w:lvlJc w:val="lef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FE"/>
    <w:rsid w:val="00130DFE"/>
    <w:rsid w:val="00794E4E"/>
    <w:rsid w:val="00C8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0050"/>
  <w15:chartTrackingRefBased/>
  <w15:docId w15:val="{09EE1C2B-9E4D-4610-AED2-9AC943FE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6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C86AD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C86AD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C86A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C86A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6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Mihail Babich</cp:lastModifiedBy>
  <cp:revision>2</cp:revision>
  <dcterms:created xsi:type="dcterms:W3CDTF">2020-05-01T17:41:00Z</dcterms:created>
  <dcterms:modified xsi:type="dcterms:W3CDTF">2020-05-01T17:50:00Z</dcterms:modified>
</cp:coreProperties>
</file>