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FD0F51" w:rsidRPr="006D7C11" w:rsidRDefault="00E25437" w:rsidP="00F714C7">
      <w:pPr>
        <w:pStyle w:val="JTitle"/>
      </w:pPr>
      <w:r>
        <w:t>Validation-First CPU/GPU Microbenchmarking of AES Implementations in the Context of Symmetric Cryptography Evolution</w:t>
      </w:r>
    </w:p>
    <w:p w:rsidR="00FD0F51" w:rsidRPr="006D7C11" w:rsidRDefault="00E25437" w:rsidP="00F714C7">
      <w:pPr>
        <w:pStyle w:val="JAuthor"/>
      </w:pPr>
      <w:r>
        <w:t>Marko Mihajlovic</w:t>
      </w:r>
      <w:r w:rsidR="00F714C7" w:rsidRPr="006D7C11">
        <w:rPr>
          <w:rStyle w:val="FootnoteReference"/>
        </w:rPr>
        <w:footnoteReference w:id="1"/>
      </w:r>
    </w:p>
    <w:p w:rsidR="00FD0F51" w:rsidRPr="006D7C11" w:rsidRDefault="00FD0F51" w:rsidP="00F714C7">
      <w:pPr>
        <w:pStyle w:val="JAbstract"/>
      </w:pPr>
      <w:r>
        <w:rPr>
          <w:b/>
        </w:rPr>
        <w:t xml:space="preserve">Abstract: </w:t>
      </w:r>
      <w:r>
        <w:t>This paper presents a validated and reproducible methodological framework for experimentally comparing cryptographic primitives and their implementations in a heterogeneous CPU/GPU environment. Starting from a DES/TDEA</w:t>
      </w:r>
      <w:r>
        <w:t>–</w:t>
      </w:r>
      <w:r>
        <w:t>AES retrospective, the study does not introduce a new cryptographic algorithm, but examines how implementation paths and measurement scope affect the interpretation of performance results. Particular emphasis is placed on a paired comparison between CPU AES-NI and CUDA AES-128 implementations, with a clear separation between isolated resident/kernel measurements and practical end-to-end pipelines that include host-device data transfers. The results show that GPU resident measurements can achieve high throughput for larger inputs, while the inclusion of transfer and synchronization costs changes the conclusion in favor of the AES-NI path in the tested environment. Reduced-keyspace and avalanche-effect demonstrations are used as controlled indicators of the limits of interpreting performance and security-related metrics.</w:t>
      </w:r>
    </w:p>
    <w:p w:rsidR="00FD0F51" w:rsidRPr="006D7C11" w:rsidRDefault="00FD0F51" w:rsidP="00F714C7">
      <w:pPr>
        <w:pStyle w:val="JAbstract"/>
      </w:pPr>
      <w:r>
        <w:rPr>
          <w:b/>
        </w:rPr>
        <w:t xml:space="preserve">Keywords: </w:t>
      </w:r>
      <w:r>
        <w:t>AES, DES, TDEA, AES-NI, CUDA, microbenchmarking, GPU, cryptographic performance, avalanche effect, reproducibility.</w:t>
      </w:r>
    </w:p>
    <w:p w:rsidR="00FD0F51" w:rsidRPr="006D7C11" w:rsidRDefault="00FD0F51" w:rsidP="00F714C7">
      <w:pPr>
        <w:pStyle w:val="JSubtitle"/>
      </w:pPr>
      <w:r>
        <w:t>1</w:t>
        <w:tab/>
      </w:r>
      <w:r>
        <w:t>Introduction</w:t>
      </w:r>
    </w:p>
    <w:p w:rsidR="00423302" w:rsidRDefault="00F26942" w:rsidP="00315F32">
      <w:pPr>
        <w:pStyle w:val="JText"/>
      </w:pPr>
      <w:r>
        <w:t>Savremena primena kriptografskih algoritama ne zavisi samo od njihove matematičke definicije, već i od načina na koji su implementirani, od hardverske podrške na kojoj se izvršavaju i od metodologije kojom se meri njihova performansa. Isti algoritam može imati bitno različitu cenu u softverskoj implementaciji, uz hardversku akceleraciju instrukcijama procesora ili u GPU okruženju. Zbog toga poređenja zasnovana samo na jednoj vrednosti propusnosti često nisu dovoljna za pravilno tumačenje rezultata.</w:t>
      </w:r>
    </w:p>
    <w:p w:rsidR="00423302" w:rsidRDefault="00F26942" w:rsidP="00315F32">
      <w:pPr>
        <w:pStyle w:val="JText"/>
      </w:pPr>
      <w:r>
        <w:t xml:space="preserve">DES i TDEA imaju pre svega istorijski značaj: FIPS 46-3 i FIPS 81 su povučeni, dok je TDEA prema NIST preporukama u fazi ukidanja za savremenu upotrebu (National Institute of Standards and Technology, 1999; National Bureau of Standards, 1980; Barker </w:t>
      </w:r>
      <w:r>
        <w:t>&amp;</w:t>
      </w:r>
      <w:r>
        <w:t xml:space="preserve"> Mouha, 2017; Barker </w:t>
      </w:r>
      <w:r>
        <w:t>&amp;</w:t>
      </w:r>
      <w:r>
        <w:t xml:space="preserve"> Roginsky, 2019). AES ostaje centralni savremeni standard za simetrično šifrovanje (National Institute of Standards and Technology, 2023). Međutim, poređenje ovih algoritama ne može se svesti samo na brzinu. Neophodno je razlikovati veličinu ključa, veličinu bloka, režim rada, autentifikaciju, hardversku akceleraciju i obuhvat merenja. Režimi rada blokovskih šifara, uključujući CBC, CTR i GCM, dodatno menjaju značenje performansnog rezultata, jer ne obavljaju svi isti kriptografski posao (Dworkin, 2001; Dworkin, 2007).</w:t>
      </w:r>
    </w:p>
    <w:p w:rsidR="00423302" w:rsidRDefault="00F26942" w:rsidP="00315F32">
      <w:pPr>
        <w:pStyle w:val="JText"/>
      </w:pPr>
      <w:r>
        <w:t>Polazni problem ovog rada jeste pitanje kako metodološki korektno uporediti kriptografske primitive i njihove implementacije u savremenom heterogenom okruženju. U praksi se često susreću tvrdnje o visokoj GPU propusnosti koje se zasnivaju na izolovanom merenju kernela, bez uključivanja troškova prenosa podataka između hosta i uređaja. Sa druge strane, savremene CPU implementacije AES-a često koriste AES-NI instrukcije (Intel Corporation, 2012), zbog čega poređenje GPU implementacije samo sa softverskim CPU AES-om može dovesti do neadekvatnih zaključaka.</w:t>
      </w:r>
    </w:p>
    <w:p w:rsidR="00423302" w:rsidRDefault="00F26942" w:rsidP="00315F32">
      <w:pPr>
        <w:pStyle w:val="JText"/>
      </w:pPr>
      <w:r>
        <w:t>Doprinos rada je prvenstveno metodološki. Rad ne uvodi novi kriptografski algoritam, novu kriptoanalitičku metodu niti tvrdi da postiže state-of-the-art GPU performanse. Umesto toga, uspostavlja se validiran, ponovljiv i dokumentovan okvir za mikrobenchmarking kriptografskih primitiva. Okvir obuhvata validacione kapije pre merenja, smoke/pilot/study profile, fiksirane seedove, izvoz sirovih i agregiranih rezultata, dokumentovanje izvornog koda i agregaciju po nezavisnim sesijama.</w:t>
      </w:r>
    </w:p>
    <w:p w:rsidR="00423302" w:rsidRDefault="00F26942" w:rsidP="00315F32">
      <w:pPr>
        <w:pStyle w:val="JText"/>
      </w:pPr>
      <w:r>
        <w:t>Centralno mesto zauzima upareni protokol poređenja CPU AES-NI i CUDA AES-128 implementacije, uz jasno razdvajanje resident/kernel i end-to-end pipeline obuhvata. Fixed-key GPU propusnost nije isto što i brzina pretrage velikog broja ključeva; resident GPU rezultat nije isto što i aplikacioni end-to-end rezultat; avalanche efekat nije dokaz ukupne kriptografske sigurnosti. Upravo ova razdvajanja čine osnovni istraživački fokus rada.</w:t>
      </w:r>
    </w:p>
    <w:p w:rsidR="00FD0F51" w:rsidRPr="006D7C11" w:rsidRDefault="00FD0F51" w:rsidP="00F714C7">
      <w:pPr>
        <w:pStyle w:val="JSubtitle"/>
      </w:pPr>
      <w:r>
        <w:t>2</w:t>
        <w:tab/>
      </w:r>
      <w:r>
        <w:t>Related Work and Research Gap</w:t>
      </w:r>
    </w:p>
    <w:p w:rsidR="00423302" w:rsidRDefault="00F26942" w:rsidP="00315F32">
      <w:pPr>
        <w:pStyle w:val="JText"/>
      </w:pPr>
      <w:r>
        <w:t xml:space="preserve">Prethodna istraživanja o AES izvršavanju na GPU platformama uglavnom se bave optimizacijom samog kernela i povećanjem propusnosti izolovanog šifarskog jezgra. Rani CUDA radovi i specifikacije režima rada podržavaju izbor ECB i CTR režima kao pogodnih kandidata za paralelizaciju, jer se blokovi mogu obrađivati nezavisno, dok CBC enkripcija sadrži zavisnost između susednih blokova (Dworkin, 2001; Iwai, Nishikawa, </w:t>
      </w:r>
      <w:r>
        <w:t>&amp;</w:t>
      </w:r>
      <w:r>
        <w:t xml:space="preserve"> Kurokawa, 2012). Iwai, Nishikawa i Kurokawa (2012) analizirali su AES implementaciju na CUDA GPU platformi i razmatrali i varijante u kojima se obrada preklapa sa transferom podataka. Savremeniji radovi idu dalje ka T-table, shared-memory, bitsliced i low-level optimizacijama. Tezcan (2021), na primer, pokazuje da pažljivo uklanjanje shared-memory bank konflikata može dovesti do veoma visokih AES-128 propusnosti na RTX 2070 Super GPU-u.</w:t>
      </w:r>
    </w:p>
    <w:p w:rsidR="00423302" w:rsidRDefault="00F26942" w:rsidP="00315F32">
      <w:pPr>
        <w:pStyle w:val="JText"/>
      </w:pPr>
      <w:r>
        <w:t>Takvi radovi su važni za razumevanje gornjih granica GPU AES performansi, ali često odgovaraju na drugačije pitanje od ovog rada. U fokusu optimizacionih radova najčešće je maksimalna device-resident ili kernel-only propusnost, često na snažnijem GPU hardveru, uz drugačije merne obuhvate i drugačije CPU reference. Nasuprot tome, praktično poređenje CPU i GPU izvršavanja zahteva da se jasno odvoje dve metrike: izolovano računanje nad podacima koji su već na GPU-u i kompletan host-driven tok koji uključuje H2D transfer, kernel, D2H transfer i sinhronizaciju. Bez te razlike, GPU rezultat može izgledati značajno povoljnije nego što jeste u aplikacionom scenariju.</w:t>
      </w:r>
    </w:p>
    <w:p w:rsidR="00423302" w:rsidRDefault="00F26942" w:rsidP="00315F32">
      <w:pPr>
        <w:pStyle w:val="JText"/>
      </w:pPr>
      <w:r>
        <w:t>Istraživački jaz ovog rada nalazi se upravo u tom razdvajanju. Rad ne pokušava da reprodukuje rekordne CUDA AES implementacije niti da uvede novu optimizacionu tehniku. Umesto toga, cilj je da se u jedinstvenom i validiranom protokolu uporede softversko CPU izvršavanje, CPU AES-NI, CUDA baseline i laka CUDA optimizacija, pri čemu se posebno prijavljuju rezidentno merenje na uređaju, odnosno izolovano merenje kernela (</w:t>
      </w:r>
      <w:r>
        <w:rPr>
          <w:i/>
        </w:rPr>
        <w:t>resident/kernel-only</w:t>
      </w:r>
      <w:r>
        <w:t>) i end-to-end pipeline rezultati. Time se doprinos pomera sa pitanja „koji je najbrži kernel” na pitanje „šta se realno meri kada se različite kriptografske putanje porede pod istim eksperimentalnim pravilima”.</w:t>
      </w:r>
    </w:p>
    <w:p w:rsidR="00423302" w:rsidRDefault="00F26942" w:rsidP="00315F32">
      <w:pPr>
        <w:pStyle w:val="JText"/>
      </w:pPr>
      <w:r>
        <w:t>Ovakvo pozicioniranje je posebno važno zato što AES-NI predstavlja snažnu savremenu CPU referencu. Poređenje GPU implementacije samo sa softverskim CPU AES-om može preceniti praktičan dobitak GPU-a. Zato ovaj rad koristi AES-NI kao primarnu CPU referencu u uparenom CPU</w:t>
      </w:r>
      <w:r>
        <w:t>–</w:t>
      </w:r>
      <w:r>
        <w:t>GPU eksperimentu, dok se softverski CPU AES zadržava kao sekundarna i retrospektivna putanja. Na taj način se GPU performanse ne posmatraju izolovano, već u odnosu na realističniju savremenu CPU akceleraciju.</w:t>
      </w:r>
    </w:p>
    <w:p w:rsidR="00FD0F51" w:rsidRPr="006D7C11" w:rsidRDefault="00FD0F51" w:rsidP="00F714C7">
      <w:pPr>
        <w:pStyle w:val="JSubtitle"/>
      </w:pPr>
      <w:r>
        <w:t>3</w:t>
        <w:tab/>
      </w:r>
      <w:r>
        <w:t>Methodology</w:t>
      </w:r>
    </w:p>
    <w:p w:rsidR="00423302" w:rsidRDefault="00F26942" w:rsidP="00315F32">
      <w:pPr>
        <w:pStyle w:val="JText"/>
      </w:pPr>
      <w:r>
        <w:t>Eksperimentalna platforma obuhvata Intel Core i5-10300H procesor, 16 GB RAM-a i NVIDIA GeForce GTX 1650 Ti GPU sa 4096 MiB VRAM-a. Korišćeni su Windows 10, Python 3.12, PyCryptodome, CuPy i CUDA runtime. GPU okruženje radi u WDDM režimu, što je relevantno za tumačenje host-driven GPU merenja, predaje komandi, sinhronizacije i mogućih režijskih troškova. PyCryptodome je korišćen kao kriptografska biblioteka za CPU eksperimente i referentne provere, pri čemu se rezultati tumače kao performanse konkretnih bibliotečkih putanja, a ne kao univerzalne performanse algoritama (PyCryptodome, n.d.). U ovom radu se WDDM tretira samo kao mogući izvor sistemske varijabilnosti, bez tvrdnje da je izolovani uzrok izmerenih razlika (Microsoft, n.d.-a; NVIDIA Corporation, n.d.-a).</w:t>
      </w:r>
    </w:p>
    <w:p w:rsidR="00423302" w:rsidRDefault="00F26942" w:rsidP="00315F32">
      <w:pPr>
        <w:pStyle w:val="JText"/>
      </w:pPr>
      <w:r>
        <w:t xml:space="preserve">Primenjen je pristup </w:t>
      </w:r>
      <w:r>
        <w:rPr>
          <w:i/>
        </w:rPr>
        <w:t>validation-first</w:t>
      </w:r>
      <w:r>
        <w:t>: poznati test vektori i funkcionalne provere prethode merenju. Neuspešna validacija zaustavlja eksperiment. Smoke provere ispituju funkcionalnost i izvoz, pilot služi proveri protokola, a finalne tabele koriste study sesije. Sesije imaju dokumentovane seedove, argumente i broj ponavljanja; zagrevanje ne ulazi u statistiku. Metadata, validation, raw i summary zapisi, prateći izveštaji i source snapshot/hash vrednosti omogućavaju sledljivost.</w:t>
      </w:r>
    </w:p>
    <w:p w:rsidR="00423302" w:rsidRDefault="00F26942" w:rsidP="00315F32">
      <w:pPr>
        <w:pStyle w:val="JText"/>
      </w:pPr>
      <w:r>
        <w:t xml:space="preserve">Primarni CPU tajmer je monotoni </w:t>
      </w:r>
      <w:r>
        <w:rPr>
          <w:rFonts w:ascii="Courier New" w:hAnsi="Courier New"/>
        </w:rPr>
        <w:t>perf</w:t>
      </w:r>
      <w:r>
        <w:rPr>
          <w:rFonts w:ascii="Courier New" w:hAnsi="Courier New"/>
        </w:rPr>
        <w:t>_</w:t>
      </w:r>
      <w:r>
        <w:rPr>
          <w:rFonts w:ascii="Courier New" w:hAnsi="Courier New"/>
        </w:rPr>
        <w:t>counter</w:t>
      </w:r>
      <w:r>
        <w:rPr>
          <w:rFonts w:ascii="Courier New" w:hAnsi="Courier New"/>
        </w:rPr>
        <w:t>_</w:t>
      </w:r>
      <w:r>
        <w:rPr>
          <w:rFonts w:ascii="Courier New" w:hAnsi="Courier New"/>
        </w:rPr>
        <w:t>ns()</w:t>
      </w:r>
      <w:r>
        <w:t xml:space="preserve">. Za </w:t>
      </w:r>
      <m:oMath>
        <m:box>
          <m:e>
            <m:r>
              <m:rPr>
                <m:sty m:val="i"/>
              </m:rPr>
              <m:t>N</m:t>
            </m:r>
          </m:e>
        </m:box>
      </m:oMath>
      <w:r>
        <w:t xml:space="preserve"> obrađenih bajtova i zidno vreme </w:t>
      </w:r>
      <m:oMath>
        <m:box>
          <m:e>
            <m:r>
              <m:rPr>
                <m:sty m:val="i"/>
              </m:rPr>
              <m:t>T</m:t>
            </m:r>
          </m:e>
        </m:box>
      </m:oMath>
      <w:r>
        <w:t xml:space="preserve"> u sekundama propusnost je:</w:t>
      </w:r>
    </w:p>
    <w:p w:rsidR="00FD0F51" w:rsidRPr="006D7C11" w:rsidRDefault="00FF0C4B" w:rsidP="000447C5">
      <w:pPr>
        <w:pStyle w:val="JEquation"/>
      </w:pPr>
      <w:r>
        <w:tab/>
      </w:r>
      <m:oMath>
        <m:box>
          <m:e>
            <m:r>
              <m:rPr>
                <m:sty m:val="i"/>
              </m:rPr>
              <m:t>R</m:t>
            </m:r>
            <m:r>
              <m:rPr>
                <m:sty m:val="p"/>
              </m:rPr>
              <m:t>=</m:t>
            </m:r>
            <m:f>
              <m:num>
                <m:box>
                  <m:e>
                    <m:r>
                      <m:rPr>
                        <m:sty m:val="i"/>
                      </m:rPr>
                      <m:t>N</m:t>
                    </m:r>
                  </m:e>
                </m:box>
              </m:num>
              <m:den>
                <m:box>
                  <m:e>
                    <m:sSup>
                      <m:e>
                        <m:r>
                          <m:rPr>
                            <m:sty m:val="p"/>
                          </m:rPr>
                          <m:t>10</m:t>
                        </m:r>
                      </m:e>
                      <m:sup>
                        <m:r>
                          <m:rPr>
                            <m:sty m:val="p"/>
                          </m:rPr>
                          <m:t>6</m:t>
                        </m:r>
                      </m:sup>
                    </m:sSup>
                    <m:r>
                      <m:rPr>
                        <m:sty m:val="i"/>
                      </m:rPr>
                      <m:t>T</m:t>
                    </m:r>
                  </m:e>
                </m:box>
              </m:den>
            </m:f>
            <m:r>
              <m:rPr>
                <m:sty m:val="p"/>
              </m:rPr>
              <m:t>,</m:t>
            </m:r>
          </m:e>
        </m:box>
      </m:oMath>
      <w:r>
        <w:tab/>
        <w:t>(1)</w:t>
      </w:r>
    </w:p>
    <w:p w:rsidR="00FD0F51" w:rsidRDefault="00871F77" w:rsidP="00663036">
      <w:pPr>
        <w:pStyle w:val="JText-noIndent"/>
      </w:pPr>
      <w:r>
        <w:t xml:space="preserve">u decimalnim MB/s. CPU transform-only merenja uključuju transformacioni poziv, ali ne obavezno punu aplikacionu cenu. CUDA resident meri kernel nad podacima već pripremljenim na uređaju, dok pipeline uključuje pinned H2D </w:t>
      </w:r>
      <m:oMath>
        <m:box>
          <m:e>
            <m:r>
              <m:rPr>
                <m:sty m:val="p"/>
              </m:rPr>
              <m:t>→</m:t>
            </m:r>
          </m:e>
        </m:box>
      </m:oMath>
      <w:r>
        <w:t xml:space="preserve"> kernel </w:t>
      </w:r>
      <m:oMath>
        <m:box>
          <m:e>
            <m:r>
              <m:rPr>
                <m:sty m:val="p"/>
              </m:rPr>
              <m:t>→</m:t>
            </m:r>
          </m:e>
        </m:box>
      </m:oMath>
      <w:r>
        <w:t xml:space="preserve"> D2H tok. Pinned memorija i CUDA događaji koriste se u skladu sa preporukama za merenje CUDA performansi (NVIDIA Corporation, n.d.-c; CuPy, n.d.-a).</w:t>
      </w:r>
    </w:p>
    <w:p w:rsidR="00423302" w:rsidRDefault="00F26942" w:rsidP="00315F32">
      <w:pPr>
        <w:pStyle w:val="JText"/>
      </w:pPr>
      <w:r>
        <w:t>Glavne performansne vrednosti agregiraju se kao medijane pet sesijskih medijana, bez objedinjavanja raw raspodela i bez uklanjanja ekstremnih vrednosti. Faktori ubrzanja računaju se po sesijskim odnosima medijana vremena. Ovakav okvir sprečava mešanje različitih obuhvata merenja: izolovani kernel, kompletan pipeline i CPU transformacija nisu ista metrika.</w:t>
      </w:r>
    </w:p>
    <w:p w:rsidR="00423302" w:rsidRDefault="00F26942" w:rsidP="00315F32">
      <w:pPr>
        <w:pStyle w:val="JText"/>
      </w:pPr>
      <w:r>
        <w:t>Stabilnost rezultata procenjivana je kroz pet nezavisnih study sesija sa različitim seedovima. Run-to-run varijabilnost analizirana je na nivou sesijskih medijana, pri čemu se standardna devijacija i raspon koriste kao opisne mere stabilnosti, a ne kao formalni intervali poverenja. Zbog toga se termin ponovljivost u ovom radu odnosi na dokumentovan i ponovljiv eksperimentalni protokol, validacione zapise i stabilnost agregiranih sesijskih rezultata, a ne na statističku generalizaciju na druge platforme.</w:t>
      </w:r>
    </w:p>
    <w:p w:rsidR="00FD0F51" w:rsidRPr="006D7C11" w:rsidRDefault="00FD0F51" w:rsidP="00F714C7">
      <w:pPr>
        <w:pStyle w:val="JSubtitle"/>
      </w:pPr>
      <w:r>
        <w:t>4</w:t>
        <w:tab/>
      </w:r>
      <w:r>
        <w:t>Results</w:t>
      </w:r>
    </w:p>
    <w:p w:rsidR="00256C7D" w:rsidRPr="006D7C11" w:rsidRDefault="00256C7D" w:rsidP="00256C7D">
      <w:pPr>
        <w:pStyle w:val="JSubSubTitle"/>
      </w:pPr>
      <w:r>
        <w:t>4.1</w:t>
        <w:tab/>
      </w:r>
      <w:r>
        <w:t>CPU poređenja DES/TDEA/AES i AES-NI akceleracija</w:t>
      </w:r>
    </w:p>
    <w:p w:rsidR="00423302" w:rsidRDefault="00F26942" w:rsidP="00315F32">
      <w:pPr>
        <w:pStyle w:val="JText"/>
      </w:pPr>
      <w:r>
        <w:t>Prvi eksperimenti postavljaju istorijsko i implementaciono polazište. DES, troključni TDEA i AES-128/192/256 poređeni su u CBC režimu bez padding-a. DES/TDEA rezultati imaju retrospektivnu funkciju, jer ovi algoritmi nisu preporuka za novu zaštitu podataka. AES se zatim meri softverski i uz AES-NI putanju. Validacija koristi poznate CBC test vektore iz standardizovanih izvora (National Bureau of Standards, 1980; Dworkin, 2001).</w:t>
      </w:r>
    </w:p>
    <w:p w:rsidR="00B939B1" w:rsidRPr="006D7C11" w:rsidRDefault="00001904" w:rsidP="00B939B1">
      <w:pPr>
        <w:pStyle w:val="JFigure"/>
        <w:keepNext/>
      </w:pPr>
      <w:r>
        <w:rPr>
          <w:b/>
        </w:rPr>
        <w:t>Table 1</w:t>
      </w:r>
      <w:r>
        <w:br/>
      </w:r>
      <w:r>
        <w:rPr>
          <w:i/>
        </w:rPr>
        <w:t>CPU performanse CBC i AES-NI eksperimenata. Propusnost je izražena u decimalnim MB/s; prikazane su agregirane medijane study sesija.</w:t>
      </w:r>
    </w:p>
    <w:tbl>
      <w:tblPr>
        <w:tblW w:w="7088" w:type="dxa"/>
        <w:jc w:val="center"/>
        <w:tblBorders>
          <w:top w:val="single" w:sz="6" w:space="0" w:color="auto"/>
          <w:left w:val="single" w:sz="6" w:space="0" w:color="auto"/>
          <w:bottom w:val="single" w:sz="6" w:space="0" w:color="auto"/>
          <w:right w:val="single" w:sz="6" w:space="0" w:color="auto"/>
          <w:insideH w:val="single" w:sz="4" w:space="0" w:color="auto"/>
          <w:insideV w:val="single" w:sz="4" w:space="0" w:color="auto"/>
        </w:tblBorders>
        <w:tblLayout w:type="fixed"/>
        <w:tblLook w:val="01E0" w:firstRow="1" w:lastRow="1" w:firstColumn="1" w:lastColumn="1" w:noHBand="0" w:noVBand="0"/>
      </w:tblPr>
      <w:tblGrid>
        <w:gridCol w:w="2011"/>
        <w:gridCol w:w="2203"/>
        <w:gridCol w:w="958"/>
        <w:gridCol w:w="766"/>
        <w:gridCol w:w="1149"/>
      </w:tblGrid>
      <w:tr>
        <w:trPr>
          <w:cantSplit/>
          <w:tblHeader/>
        </w:trPr>
        <w:tc>
          <w:tcPr>
            <w:tcW w:type="dxa" w:w="2011"/>
            <w:vAlign w:val="center"/>
          </w:tcPr>
          <w:p>
            <w:pPr>
              <w:pStyle w:val="JTableText"/>
              <w:keepNext/>
            </w:pPr>
            <w:r>
              <w:t>Eksperiment</w:t>
            </w:r>
          </w:p>
        </w:tc>
        <w:tc>
          <w:tcPr>
            <w:tcW w:type="dxa" w:w="2203"/>
            <w:vAlign w:val="center"/>
          </w:tcPr>
          <w:p>
            <w:pPr>
              <w:pStyle w:val="JTableText"/>
              <w:keepNext/>
            </w:pPr>
            <w:r>
              <w:t>Algoritam / operacija</w:t>
            </w:r>
          </w:p>
        </w:tc>
        <w:tc>
          <w:tcPr>
            <w:tcW w:type="dxa" w:w="958"/>
            <w:vAlign w:val="center"/>
          </w:tcPr>
          <w:p>
            <w:pPr>
              <w:pStyle w:val="JTableText"/>
              <w:keepNext/>
            </w:pPr>
            <w:r>
              <w:t>Software</w:t>
            </w:r>
          </w:p>
        </w:tc>
        <w:tc>
          <w:tcPr>
            <w:tcW w:type="dxa" w:w="766"/>
            <w:vAlign w:val="center"/>
          </w:tcPr>
          <w:p>
            <w:pPr>
              <w:pStyle w:val="JTableText"/>
              <w:keepNext/>
            </w:pPr>
            <w:r>
              <w:t>AES-NI</w:t>
            </w:r>
          </w:p>
        </w:tc>
        <w:tc>
          <w:tcPr>
            <w:tcW w:type="dxa" w:w="1149"/>
            <w:vAlign w:val="center"/>
          </w:tcPr>
          <w:p>
            <w:pPr>
              <w:pStyle w:val="JTableText"/>
              <w:keepNext/>
            </w:pPr>
            <w:r>
              <w:t>Faktor</w:t>
            </w:r>
          </w:p>
        </w:tc>
      </w:tr>
      <w:tr>
        <w:trPr>
          <w:cantSplit/>
        </w:trPr>
        <w:tc>
          <w:tcPr>
            <w:tcW w:type="dxa" w:w="2011"/>
            <w:vAlign w:val="center"/>
          </w:tcPr>
          <w:p>
            <w:pPr>
              <w:pStyle w:val="JTableText"/>
              <w:keepNext w:val="0"/>
            </w:pPr>
            <w:r>
              <w:t>CBC, 10 MiB enc.</w:t>
            </w:r>
          </w:p>
        </w:tc>
        <w:tc>
          <w:tcPr>
            <w:tcW w:type="dxa" w:w="2203"/>
            <w:vAlign w:val="center"/>
          </w:tcPr>
          <w:p>
            <w:pPr>
              <w:pStyle w:val="JTableText"/>
              <w:keepNext w:val="0"/>
            </w:pPr>
            <w:r>
              <w:t>DES</w:t>
            </w:r>
          </w:p>
        </w:tc>
        <w:tc>
          <w:tcPr>
            <w:tcW w:type="dxa" w:w="958"/>
            <w:vAlign w:val="center"/>
          </w:tcPr>
          <w:p>
            <w:pPr>
              <w:pStyle w:val="JTableText"/>
              <w:keepNext w:val="0"/>
            </w:pPr>
            <w:r>
              <w:t>87.4</w:t>
            </w:r>
          </w:p>
        </w:tc>
        <w:tc>
          <w:tcPr>
            <w:tcW w:type="dxa" w:w="766"/>
            <w:vAlign w:val="center"/>
          </w:tcPr>
          <w:p>
            <w:pPr>
              <w:pStyle w:val="JTableText"/>
              <w:keepNext w:val="0"/>
            </w:pPr>
            <w:r>
              <w:t>–</w:t>
            </w:r>
          </w:p>
        </w:tc>
        <w:tc>
          <w:tcPr>
            <w:tcW w:type="dxa" w:w="1149"/>
            <w:vAlign w:val="center"/>
          </w:tcPr>
          <w:p>
            <w:pPr>
              <w:pStyle w:val="JTableText"/>
              <w:keepNext w:val="0"/>
            </w:pPr>
            <w:r>
              <w:t>–</w:t>
            </w:r>
          </w:p>
        </w:tc>
      </w:tr>
      <w:tr>
        <w:trPr>
          <w:cantSplit/>
        </w:trPr>
        <w:tc>
          <w:tcPr>
            <w:tcW w:type="dxa" w:w="2011"/>
            <w:vAlign w:val="center"/>
          </w:tcPr>
          <w:p>
            <w:pPr>
              <w:pStyle w:val="JTableText"/>
              <w:keepNext w:val="0"/>
            </w:pPr>
            <w:r>
              <w:t>CBC, 10 MiB enc.</w:t>
            </w:r>
          </w:p>
        </w:tc>
        <w:tc>
          <w:tcPr>
            <w:tcW w:type="dxa" w:w="2203"/>
            <w:vAlign w:val="center"/>
          </w:tcPr>
          <w:p>
            <w:pPr>
              <w:pStyle w:val="JTableText"/>
              <w:keepNext w:val="0"/>
            </w:pPr>
            <w:r>
              <w:t>TDEA</w:t>
            </w:r>
          </w:p>
        </w:tc>
        <w:tc>
          <w:tcPr>
            <w:tcW w:type="dxa" w:w="958"/>
            <w:vAlign w:val="center"/>
          </w:tcPr>
          <w:p>
            <w:pPr>
              <w:pStyle w:val="JTableText"/>
              <w:keepNext w:val="0"/>
            </w:pPr>
            <w:r>
              <w:t>32.6</w:t>
            </w:r>
          </w:p>
        </w:tc>
        <w:tc>
          <w:tcPr>
            <w:tcW w:type="dxa" w:w="766"/>
            <w:vAlign w:val="center"/>
          </w:tcPr>
          <w:p>
            <w:pPr>
              <w:pStyle w:val="JTableText"/>
              <w:keepNext w:val="0"/>
            </w:pPr>
            <w:r>
              <w:t>–</w:t>
            </w:r>
          </w:p>
        </w:tc>
        <w:tc>
          <w:tcPr>
            <w:tcW w:type="dxa" w:w="1149"/>
            <w:vAlign w:val="center"/>
          </w:tcPr>
          <w:p>
            <w:pPr>
              <w:pStyle w:val="JTableText"/>
              <w:keepNext w:val="0"/>
            </w:pPr>
            <w:r>
              <w:t>–</w:t>
            </w:r>
          </w:p>
        </w:tc>
      </w:tr>
      <w:tr>
        <w:trPr>
          <w:cantSplit/>
        </w:trPr>
        <w:tc>
          <w:tcPr>
            <w:tcW w:type="dxa" w:w="2011"/>
            <w:vAlign w:val="center"/>
          </w:tcPr>
          <w:p>
            <w:pPr>
              <w:pStyle w:val="JTableText"/>
              <w:keepNext w:val="0"/>
            </w:pPr>
            <w:r>
              <w:t>CBC, 10 MiB enc.</w:t>
            </w:r>
          </w:p>
        </w:tc>
        <w:tc>
          <w:tcPr>
            <w:tcW w:type="dxa" w:w="2203"/>
            <w:vAlign w:val="center"/>
          </w:tcPr>
          <w:p>
            <w:pPr>
              <w:pStyle w:val="JTableText"/>
              <w:keepNext w:val="0"/>
            </w:pPr>
            <w:r>
              <w:t>AES-128</w:t>
            </w:r>
          </w:p>
        </w:tc>
        <w:tc>
          <w:tcPr>
            <w:tcW w:type="dxa" w:w="958"/>
            <w:vAlign w:val="center"/>
          </w:tcPr>
          <w:p>
            <w:pPr>
              <w:pStyle w:val="JTableText"/>
              <w:keepNext w:val="0"/>
            </w:pPr>
            <w:r>
              <w:t>223.8</w:t>
            </w:r>
          </w:p>
        </w:tc>
        <w:tc>
          <w:tcPr>
            <w:tcW w:type="dxa" w:w="766"/>
            <w:vAlign w:val="center"/>
          </w:tcPr>
          <w:p>
            <w:pPr>
              <w:pStyle w:val="JTableText"/>
              <w:keepNext w:val="0"/>
            </w:pPr>
            <w:r>
              <w:t>–</w:t>
            </w:r>
          </w:p>
        </w:tc>
        <w:tc>
          <w:tcPr>
            <w:tcW w:type="dxa" w:w="1149"/>
            <w:vAlign w:val="center"/>
          </w:tcPr>
          <w:p>
            <w:pPr>
              <w:pStyle w:val="JTableText"/>
              <w:keepNext w:val="0"/>
            </w:pPr>
            <w:r>
              <w:t>–</w:t>
            </w:r>
          </w:p>
        </w:tc>
      </w:tr>
      <w:tr>
        <w:trPr>
          <w:cantSplit/>
        </w:trPr>
        <w:tc>
          <w:tcPr>
            <w:tcW w:type="dxa" w:w="2011"/>
            <w:vAlign w:val="center"/>
          </w:tcPr>
          <w:p>
            <w:pPr>
              <w:pStyle w:val="JTableText"/>
              <w:keepNext w:val="0"/>
            </w:pPr>
            <w:r>
              <w:t>CBC, 10 MiB enc.</w:t>
            </w:r>
          </w:p>
        </w:tc>
        <w:tc>
          <w:tcPr>
            <w:tcW w:type="dxa" w:w="2203"/>
            <w:vAlign w:val="center"/>
          </w:tcPr>
          <w:p>
            <w:pPr>
              <w:pStyle w:val="JTableText"/>
              <w:keepNext w:val="0"/>
            </w:pPr>
            <w:r>
              <w:t>AES-192</w:t>
            </w:r>
          </w:p>
        </w:tc>
        <w:tc>
          <w:tcPr>
            <w:tcW w:type="dxa" w:w="958"/>
            <w:vAlign w:val="center"/>
          </w:tcPr>
          <w:p>
            <w:pPr>
              <w:pStyle w:val="JTableText"/>
              <w:keepNext w:val="0"/>
            </w:pPr>
            <w:r>
              <w:t>198.9</w:t>
            </w:r>
          </w:p>
        </w:tc>
        <w:tc>
          <w:tcPr>
            <w:tcW w:type="dxa" w:w="766"/>
            <w:vAlign w:val="center"/>
          </w:tcPr>
          <w:p>
            <w:pPr>
              <w:pStyle w:val="JTableText"/>
              <w:keepNext w:val="0"/>
            </w:pPr>
            <w:r>
              <w:t>–</w:t>
            </w:r>
          </w:p>
        </w:tc>
        <w:tc>
          <w:tcPr>
            <w:tcW w:type="dxa" w:w="1149"/>
            <w:vAlign w:val="center"/>
          </w:tcPr>
          <w:p>
            <w:pPr>
              <w:pStyle w:val="JTableText"/>
              <w:keepNext w:val="0"/>
            </w:pPr>
            <w:r>
              <w:t>–</w:t>
            </w:r>
          </w:p>
        </w:tc>
      </w:tr>
      <w:tr>
        <w:trPr>
          <w:cantSplit/>
        </w:trPr>
        <w:tc>
          <w:tcPr>
            <w:tcW w:type="dxa" w:w="2011"/>
            <w:vAlign w:val="center"/>
          </w:tcPr>
          <w:p>
            <w:pPr>
              <w:pStyle w:val="JTableText"/>
              <w:keepNext w:val="0"/>
            </w:pPr>
            <w:r>
              <w:t>CBC, 10 MiB enc.</w:t>
            </w:r>
          </w:p>
        </w:tc>
        <w:tc>
          <w:tcPr>
            <w:tcW w:type="dxa" w:w="2203"/>
            <w:vAlign w:val="center"/>
          </w:tcPr>
          <w:p>
            <w:pPr>
              <w:pStyle w:val="JTableText"/>
              <w:keepNext w:val="0"/>
            </w:pPr>
            <w:r>
              <w:t>AES-256</w:t>
            </w:r>
          </w:p>
        </w:tc>
        <w:tc>
          <w:tcPr>
            <w:tcW w:type="dxa" w:w="958"/>
            <w:vAlign w:val="center"/>
          </w:tcPr>
          <w:p>
            <w:pPr>
              <w:pStyle w:val="JTableText"/>
              <w:keepNext w:val="0"/>
            </w:pPr>
            <w:r>
              <w:t>174.6</w:t>
            </w:r>
          </w:p>
        </w:tc>
        <w:tc>
          <w:tcPr>
            <w:tcW w:type="dxa" w:w="766"/>
            <w:vAlign w:val="center"/>
          </w:tcPr>
          <w:p>
            <w:pPr>
              <w:pStyle w:val="JTableText"/>
              <w:keepNext w:val="0"/>
            </w:pPr>
            <w:r>
              <w:t>–</w:t>
            </w:r>
          </w:p>
        </w:tc>
        <w:tc>
          <w:tcPr>
            <w:tcW w:type="dxa" w:w="1149"/>
            <w:vAlign w:val="center"/>
          </w:tcPr>
          <w:p>
            <w:pPr>
              <w:pStyle w:val="JTableText"/>
              <w:keepNext w:val="0"/>
            </w:pPr>
            <w:r>
              <w:t>–</w:t>
            </w:r>
          </w:p>
        </w:tc>
      </w:tr>
      <w:tr>
        <w:trPr>
          <w:cantSplit/>
        </w:trPr>
        <w:tc>
          <w:tcPr>
            <w:tcW w:type="dxa" w:w="2011"/>
            <w:vAlign w:val="center"/>
          </w:tcPr>
          <w:p>
            <w:pPr>
              <w:pStyle w:val="JTableText"/>
              <w:keepNext w:val="0"/>
            </w:pPr>
            <w:r>
              <w:t>AES-NI, 10 MiB enc.</w:t>
            </w:r>
          </w:p>
        </w:tc>
        <w:tc>
          <w:tcPr>
            <w:tcW w:type="dxa" w:w="2203"/>
            <w:vAlign w:val="center"/>
          </w:tcPr>
          <w:p>
            <w:pPr>
              <w:pStyle w:val="JTableText"/>
              <w:keepNext w:val="0"/>
            </w:pPr>
            <w:r>
              <w:t>AES-128</w:t>
            </w:r>
          </w:p>
        </w:tc>
        <w:tc>
          <w:tcPr>
            <w:tcW w:type="dxa" w:w="958"/>
            <w:vAlign w:val="center"/>
          </w:tcPr>
          <w:p>
            <w:pPr>
              <w:pStyle w:val="JTableText"/>
              <w:keepNext w:val="0"/>
            </w:pPr>
            <w:r>
              <w:t>225.1</w:t>
            </w:r>
          </w:p>
        </w:tc>
        <w:tc>
          <w:tcPr>
            <w:tcW w:type="dxa" w:w="766"/>
            <w:vAlign w:val="center"/>
          </w:tcPr>
          <w:p>
            <w:pPr>
              <w:pStyle w:val="JTableText"/>
              <w:keepNext w:val="0"/>
            </w:pPr>
            <w:r>
              <w:t>531.6</w:t>
            </w:r>
          </w:p>
        </w:tc>
        <w:tc>
          <w:tcPr>
            <w:tcW w:type="dxa" w:w="1149"/>
            <w:vAlign w:val="center"/>
          </w:tcPr>
          <w:p>
            <w:pPr>
              <w:pStyle w:val="JTableText"/>
              <w:keepNext w:val="0"/>
            </w:pPr>
            <w:r>
              <w:t>2.37</w:t>
            </w:r>
            <m:oMath>
              <m:box>
                <m:e>
                  <m:r>
                    <m:rPr>
                      <m:sty m:val="p"/>
                    </m:rPr>
                    <m:t>×</m:t>
                  </m:r>
                </m:e>
              </m:box>
            </m:oMath>
          </w:p>
        </w:tc>
      </w:tr>
      <w:tr>
        <w:trPr>
          <w:cantSplit/>
        </w:trPr>
        <w:tc>
          <w:tcPr>
            <w:tcW w:type="dxa" w:w="2011"/>
            <w:vAlign w:val="center"/>
          </w:tcPr>
          <w:p>
            <w:pPr>
              <w:pStyle w:val="JTableText"/>
              <w:keepNext w:val="0"/>
            </w:pPr>
            <w:r>
              <w:t>AES-NI, 10 MiB dec.</w:t>
            </w:r>
          </w:p>
        </w:tc>
        <w:tc>
          <w:tcPr>
            <w:tcW w:type="dxa" w:w="2203"/>
            <w:vAlign w:val="center"/>
          </w:tcPr>
          <w:p>
            <w:pPr>
              <w:pStyle w:val="JTableText"/>
              <w:keepNext w:val="0"/>
            </w:pPr>
            <w:r>
              <w:t>AES-128</w:t>
            </w:r>
          </w:p>
        </w:tc>
        <w:tc>
          <w:tcPr>
            <w:tcW w:type="dxa" w:w="958"/>
            <w:vAlign w:val="center"/>
          </w:tcPr>
          <w:p>
            <w:pPr>
              <w:pStyle w:val="JTableText"/>
              <w:keepNext w:val="0"/>
            </w:pPr>
            <w:r>
              <w:t>223.7</w:t>
            </w:r>
          </w:p>
        </w:tc>
        <w:tc>
          <w:tcPr>
            <w:tcW w:type="dxa" w:w="766"/>
            <w:vAlign w:val="center"/>
          </w:tcPr>
          <w:p>
            <w:pPr>
              <w:pStyle w:val="JTableText"/>
              <w:keepNext w:val="0"/>
            </w:pPr>
            <w:r>
              <w:t>557.2</w:t>
            </w:r>
          </w:p>
        </w:tc>
        <w:tc>
          <w:tcPr>
            <w:tcW w:type="dxa" w:w="1149"/>
            <w:vAlign w:val="center"/>
          </w:tcPr>
          <w:p>
            <w:pPr>
              <w:pStyle w:val="JTableText"/>
              <w:keepNext w:val="0"/>
            </w:pPr>
            <w:r>
              <w:t>2.47</w:t>
            </w:r>
            <m:oMath>
              <m:box>
                <m:e>
                  <m:r>
                    <m:rPr>
                      <m:sty m:val="p"/>
                    </m:rPr>
                    <m:t>×</m:t>
                  </m:r>
                </m:e>
              </m:box>
            </m:oMath>
          </w:p>
        </w:tc>
      </w:tr>
      <w:tr>
        <w:trPr>
          <w:cantSplit/>
        </w:trPr>
        <w:tc>
          <w:tcPr>
            <w:tcW w:type="dxa" w:w="2011"/>
            <w:vAlign w:val="center"/>
          </w:tcPr>
          <w:p>
            <w:pPr>
              <w:pStyle w:val="JTableText"/>
              <w:keepNext w:val="0"/>
            </w:pPr>
            <w:r>
              <w:t>AES-NI, 10 MiB enc.</w:t>
            </w:r>
          </w:p>
        </w:tc>
        <w:tc>
          <w:tcPr>
            <w:tcW w:type="dxa" w:w="2203"/>
            <w:vAlign w:val="center"/>
          </w:tcPr>
          <w:p>
            <w:pPr>
              <w:pStyle w:val="JTableText"/>
              <w:keepNext w:val="0"/>
            </w:pPr>
            <w:r>
              <w:t>AES-192</w:t>
            </w:r>
          </w:p>
        </w:tc>
        <w:tc>
          <w:tcPr>
            <w:tcW w:type="dxa" w:w="958"/>
            <w:vAlign w:val="center"/>
          </w:tcPr>
          <w:p>
            <w:pPr>
              <w:pStyle w:val="JTableText"/>
              <w:keepNext w:val="0"/>
            </w:pPr>
            <w:r>
              <w:t>198.5</w:t>
            </w:r>
          </w:p>
        </w:tc>
        <w:tc>
          <w:tcPr>
            <w:tcW w:type="dxa" w:w="766"/>
            <w:vAlign w:val="center"/>
          </w:tcPr>
          <w:p>
            <w:pPr>
              <w:pStyle w:val="JTableText"/>
              <w:keepNext w:val="0"/>
            </w:pPr>
            <w:r>
              <w:t>504.3</w:t>
            </w:r>
          </w:p>
        </w:tc>
        <w:tc>
          <w:tcPr>
            <w:tcW w:type="dxa" w:w="1149"/>
            <w:vAlign w:val="center"/>
          </w:tcPr>
          <w:p>
            <w:pPr>
              <w:pStyle w:val="JTableText"/>
              <w:keepNext w:val="0"/>
            </w:pPr>
            <w:r>
              <w:t>2.53</w:t>
            </w:r>
            <m:oMath>
              <m:box>
                <m:e>
                  <m:r>
                    <m:rPr>
                      <m:sty m:val="p"/>
                    </m:rPr>
                    <m:t>×</m:t>
                  </m:r>
                </m:e>
              </m:box>
            </m:oMath>
          </w:p>
        </w:tc>
      </w:tr>
      <w:tr>
        <w:trPr>
          <w:cantSplit/>
        </w:trPr>
        <w:tc>
          <w:tcPr>
            <w:tcW w:type="dxa" w:w="2011"/>
            <w:vAlign w:val="center"/>
          </w:tcPr>
          <w:p>
            <w:pPr>
              <w:pStyle w:val="JTableText"/>
              <w:keepNext w:val="0"/>
            </w:pPr>
            <w:r>
              <w:t>AES-NI, 10 MiB dec.</w:t>
            </w:r>
          </w:p>
        </w:tc>
        <w:tc>
          <w:tcPr>
            <w:tcW w:type="dxa" w:w="2203"/>
            <w:vAlign w:val="center"/>
          </w:tcPr>
          <w:p>
            <w:pPr>
              <w:pStyle w:val="JTableText"/>
              <w:keepNext w:val="0"/>
            </w:pPr>
            <w:r>
              <w:t>AES-192</w:t>
            </w:r>
          </w:p>
        </w:tc>
        <w:tc>
          <w:tcPr>
            <w:tcW w:type="dxa" w:w="958"/>
            <w:vAlign w:val="center"/>
          </w:tcPr>
          <w:p>
            <w:pPr>
              <w:pStyle w:val="JTableText"/>
              <w:keepNext w:val="0"/>
            </w:pPr>
            <w:r>
              <w:t>195.5</w:t>
            </w:r>
          </w:p>
        </w:tc>
        <w:tc>
          <w:tcPr>
            <w:tcW w:type="dxa" w:w="766"/>
            <w:vAlign w:val="center"/>
          </w:tcPr>
          <w:p>
            <w:pPr>
              <w:pStyle w:val="JTableText"/>
              <w:keepNext w:val="0"/>
            </w:pPr>
            <w:r>
              <w:t>517.8</w:t>
            </w:r>
          </w:p>
        </w:tc>
        <w:tc>
          <w:tcPr>
            <w:tcW w:type="dxa" w:w="1149"/>
            <w:vAlign w:val="center"/>
          </w:tcPr>
          <w:p>
            <w:pPr>
              <w:pStyle w:val="JTableText"/>
              <w:keepNext w:val="0"/>
            </w:pPr>
            <w:r>
              <w:t>2.65</w:t>
            </w:r>
            <m:oMath>
              <m:box>
                <m:e>
                  <m:r>
                    <m:rPr>
                      <m:sty m:val="p"/>
                    </m:rPr>
                    <m:t>×</m:t>
                  </m:r>
                </m:e>
              </m:box>
            </m:oMath>
          </w:p>
        </w:tc>
      </w:tr>
      <w:tr>
        <w:trPr>
          <w:cantSplit/>
        </w:trPr>
        <w:tc>
          <w:tcPr>
            <w:tcW w:type="dxa" w:w="2011"/>
            <w:vAlign w:val="center"/>
          </w:tcPr>
          <w:p>
            <w:pPr>
              <w:pStyle w:val="JTableText"/>
              <w:keepNext w:val="0"/>
            </w:pPr>
            <w:r>
              <w:t>AES-NI, 10 MiB enc.</w:t>
            </w:r>
          </w:p>
        </w:tc>
        <w:tc>
          <w:tcPr>
            <w:tcW w:type="dxa" w:w="2203"/>
            <w:vAlign w:val="center"/>
          </w:tcPr>
          <w:p>
            <w:pPr>
              <w:pStyle w:val="JTableText"/>
              <w:keepNext w:val="0"/>
            </w:pPr>
            <w:r>
              <w:t>AES-256</w:t>
            </w:r>
          </w:p>
        </w:tc>
        <w:tc>
          <w:tcPr>
            <w:tcW w:type="dxa" w:w="958"/>
            <w:vAlign w:val="center"/>
          </w:tcPr>
          <w:p>
            <w:pPr>
              <w:pStyle w:val="JTableText"/>
              <w:keepNext w:val="0"/>
            </w:pPr>
            <w:r>
              <w:t>174.9</w:t>
            </w:r>
          </w:p>
        </w:tc>
        <w:tc>
          <w:tcPr>
            <w:tcW w:type="dxa" w:w="766"/>
            <w:vAlign w:val="center"/>
          </w:tcPr>
          <w:p>
            <w:pPr>
              <w:pStyle w:val="JTableText"/>
              <w:keepNext w:val="0"/>
            </w:pPr>
            <w:r>
              <w:t>474.0</w:t>
            </w:r>
          </w:p>
        </w:tc>
        <w:tc>
          <w:tcPr>
            <w:tcW w:type="dxa" w:w="1149"/>
            <w:vAlign w:val="center"/>
          </w:tcPr>
          <w:p>
            <w:pPr>
              <w:pStyle w:val="JTableText"/>
              <w:keepNext w:val="0"/>
            </w:pPr>
            <w:r>
              <w:t>2.71</w:t>
            </w:r>
            <m:oMath>
              <m:box>
                <m:e>
                  <m:r>
                    <m:rPr>
                      <m:sty m:val="p"/>
                    </m:rPr>
                    <m:t>×</m:t>
                  </m:r>
                </m:e>
              </m:box>
            </m:oMath>
          </w:p>
        </w:tc>
      </w:tr>
      <w:tr>
        <w:trPr>
          <w:cantSplit/>
        </w:trPr>
        <w:tc>
          <w:tcPr>
            <w:tcW w:type="dxa" w:w="2011"/>
            <w:vAlign w:val="center"/>
          </w:tcPr>
          <w:p>
            <w:pPr>
              <w:pStyle w:val="JTableText"/>
              <w:keepNext w:val="0"/>
            </w:pPr>
            <w:r>
              <w:t>AES-NI, 10 MiB dec.</w:t>
            </w:r>
          </w:p>
        </w:tc>
        <w:tc>
          <w:tcPr>
            <w:tcW w:type="dxa" w:w="2203"/>
            <w:vAlign w:val="center"/>
          </w:tcPr>
          <w:p>
            <w:pPr>
              <w:pStyle w:val="JTableText"/>
              <w:keepNext w:val="0"/>
            </w:pPr>
            <w:r>
              <w:t>AES-256</w:t>
            </w:r>
          </w:p>
        </w:tc>
        <w:tc>
          <w:tcPr>
            <w:tcW w:type="dxa" w:w="958"/>
            <w:vAlign w:val="center"/>
          </w:tcPr>
          <w:p>
            <w:pPr>
              <w:pStyle w:val="JTableText"/>
              <w:keepNext w:val="0"/>
            </w:pPr>
            <w:r>
              <w:t>171.4</w:t>
            </w:r>
          </w:p>
        </w:tc>
        <w:tc>
          <w:tcPr>
            <w:tcW w:type="dxa" w:w="766"/>
            <w:vAlign w:val="center"/>
          </w:tcPr>
          <w:p>
            <w:pPr>
              <w:pStyle w:val="JTableText"/>
              <w:keepNext w:val="0"/>
            </w:pPr>
            <w:r>
              <w:t>480.4</w:t>
            </w:r>
          </w:p>
        </w:tc>
        <w:tc>
          <w:tcPr>
            <w:tcW w:type="dxa" w:w="1149"/>
            <w:vAlign w:val="center"/>
          </w:tcPr>
          <w:p>
            <w:pPr>
              <w:pStyle w:val="JTableText"/>
              <w:keepNext w:val="0"/>
            </w:pPr>
            <w:r>
              <w:t>2.80</w:t>
            </w:r>
            <m:oMath>
              <m:box>
                <m:e>
                  <m:r>
                    <m:rPr>
                      <m:sty m:val="p"/>
                    </m:rPr>
                    <m:t>×</m:t>
                  </m:r>
                </m:e>
              </m:box>
            </m:oMath>
          </w:p>
        </w:tc>
      </w:tr>
    </w:tbl>
    <w:p w:rsidR="00423302" w:rsidRDefault="00F26942" w:rsidP="00315F32">
      <w:pPr>
        <w:pStyle w:val="JText"/>
      </w:pPr>
      <w:r>
        <w:t>Rezultati pokazuju očekivanu razliku između istorijskih i savremenih implementacija. AES varijante u softverskom CBC režimu znatno su brže od TDEA, dok se AES-NI akceleracijom postiže dodatno ubrzanje od približno 2.4</w:t>
      </w:r>
      <w:r>
        <w:t>–</w:t>
      </w:r>
      <w:r>
        <w:t>2.8 puta u korišćenoj biblioteci, veličinama ulaza i definisanom mernom obuhvatu. Ovi faktori zavise od implementacije biblioteke, veličine ulaza i metodologije merenja, pa se ne tumače kao univerzalni AES-NI faktori. Ovi faktori ne predstavljaju meru sigurnosti, već cenu konkretne implementacione putanje. Veći broj rundi kod AES-192 i AES-256 smanjuje softversku propusnost, ali AES-NI značajno menja praktičnu cenu izvršavanja.</w:t>
      </w:r>
    </w:p>
    <w:p w:rsidR="00256C7D" w:rsidRPr="006D7C11" w:rsidRDefault="00256C7D" w:rsidP="00256C7D">
      <w:pPr>
        <w:pStyle w:val="JSubSubTitle"/>
      </w:pPr>
      <w:r>
        <w:t>4.2</w:t>
        <w:tab/>
      </w:r>
      <w:r>
        <w:t>AES-GCM kao savremeni AEAD režim</w:t>
      </w:r>
    </w:p>
    <w:p w:rsidR="00423302" w:rsidRDefault="00F26942" w:rsidP="00315F32">
      <w:pPr>
        <w:pStyle w:val="JText"/>
      </w:pPr>
      <w:r>
        <w:t>AES-GCM proširuje analizu na autentifikovanu enkripciju. Eksperiment koristi AES-128-GCM i AES-256-GCM, 96-bitni nonce, 128-bitni tag i fiksni AAD od 16 bajtova, uz validaciju tag-a i odbijanje izmenjenog šifrata, tag-a ili AAD-a. GCM nije direktna zamena za CBC u smislu istog posla: pored poverljivosti, uključuje i autentifikaciju (Dworkin, 2007).</w:t>
      </w:r>
    </w:p>
    <w:p w:rsidR="00B939B1" w:rsidRPr="006D7C11" w:rsidRDefault="00001904" w:rsidP="00B939B1">
      <w:pPr>
        <w:pStyle w:val="JFigure"/>
        <w:keepNext/>
      </w:pPr>
      <w:r>
        <w:rPr>
          <w:b/>
        </w:rPr>
        <w:t>Table 2</w:t>
      </w:r>
      <w:r>
        <w:br/>
      </w:r>
      <w:r>
        <w:rPr>
          <w:i/>
        </w:rPr>
        <w:t>Propusnost AES-GCM autentifikovane enkripcije na CPU AES-NI putanji. Propusnost je izražena u decimalnim MB/s.</w:t>
      </w:r>
    </w:p>
    <w:tbl>
      <w:tblPr>
        <w:tblW w:w="7088" w:type="dxa"/>
        <w:jc w:val="center"/>
        <w:tblBorders>
          <w:top w:val="single" w:sz="6" w:space="0" w:color="auto"/>
          <w:left w:val="single" w:sz="6" w:space="0" w:color="auto"/>
          <w:bottom w:val="single" w:sz="6" w:space="0" w:color="auto"/>
          <w:right w:val="single" w:sz="6" w:space="0" w:color="auto"/>
          <w:insideH w:val="single" w:sz="4" w:space="0" w:color="auto"/>
          <w:insideV w:val="single" w:sz="4" w:space="0" w:color="auto"/>
        </w:tblBorders>
        <w:tblLayout w:type="fixed"/>
        <w:tblLook w:val="01E0" w:firstRow="1" w:lastRow="1" w:firstColumn="1" w:lastColumn="1" w:noHBand="0" w:noVBand="0"/>
      </w:tblPr>
      <w:tblGrid>
        <w:gridCol w:w="1508"/>
        <w:gridCol w:w="1960"/>
        <w:gridCol w:w="1809"/>
        <w:gridCol w:w="1809"/>
      </w:tblGrid>
      <w:tr>
        <w:trPr>
          <w:cantSplit/>
          <w:tblHeader/>
        </w:trPr>
        <w:tc>
          <w:tcPr>
            <w:tcW w:type="dxa" w:w="1508"/>
            <w:vAlign w:val="center"/>
          </w:tcPr>
          <w:p>
            <w:pPr>
              <w:pStyle w:val="JTableText"/>
              <w:keepNext/>
            </w:pPr>
            <w:r>
              <w:t>Veličina</w:t>
            </w:r>
          </w:p>
        </w:tc>
        <w:tc>
          <w:tcPr>
            <w:tcW w:type="dxa" w:w="1960"/>
            <w:vAlign w:val="center"/>
          </w:tcPr>
          <w:p>
            <w:pPr>
              <w:pStyle w:val="JTableText"/>
              <w:keepNext/>
            </w:pPr>
            <w:r>
              <w:t>Algoritam</w:t>
            </w:r>
          </w:p>
        </w:tc>
        <w:tc>
          <w:tcPr>
            <w:tcW w:type="dxa" w:w="1809"/>
            <w:vAlign w:val="center"/>
          </w:tcPr>
          <w:p>
            <w:pPr>
              <w:pStyle w:val="JTableText"/>
              <w:keepNext/>
            </w:pPr>
            <w:r>
              <w:t>Enkripcija</w:t>
            </w:r>
          </w:p>
        </w:tc>
        <w:tc>
          <w:tcPr>
            <w:tcW w:type="dxa" w:w="1809"/>
            <w:vAlign w:val="center"/>
          </w:tcPr>
          <w:p>
            <w:pPr>
              <w:pStyle w:val="JTableText"/>
              <w:keepNext/>
            </w:pPr>
            <w:r>
              <w:t>Dekripcija</w:t>
            </w:r>
          </w:p>
        </w:tc>
      </w:tr>
      <w:tr>
        <w:trPr>
          <w:cantSplit/>
        </w:trPr>
        <w:tc>
          <w:tcPr>
            <w:tcW w:type="dxa" w:w="1508"/>
            <w:vAlign w:val="center"/>
          </w:tcPr>
          <w:p>
            <w:pPr>
              <w:pStyle w:val="JTableText"/>
              <w:keepNext w:val="0"/>
            </w:pPr>
            <w:r>
              <w:t>1 KiB</w:t>
            </w:r>
          </w:p>
        </w:tc>
        <w:tc>
          <w:tcPr>
            <w:tcW w:type="dxa" w:w="1960"/>
            <w:vAlign w:val="center"/>
          </w:tcPr>
          <w:p>
            <w:pPr>
              <w:pStyle w:val="JTableText"/>
              <w:keepNext w:val="0"/>
            </w:pPr>
            <w:r>
              <w:t>AES-128-GCM</w:t>
            </w:r>
          </w:p>
        </w:tc>
        <w:tc>
          <w:tcPr>
            <w:tcW w:type="dxa" w:w="1809"/>
            <w:vAlign w:val="center"/>
          </w:tcPr>
          <w:p>
            <w:pPr>
              <w:pStyle w:val="JTableText"/>
              <w:keepNext w:val="0"/>
            </w:pPr>
            <w:r>
              <w:t>70.6</w:t>
            </w:r>
          </w:p>
        </w:tc>
        <w:tc>
          <w:tcPr>
            <w:tcW w:type="dxa" w:w="1809"/>
            <w:vAlign w:val="center"/>
          </w:tcPr>
          <w:p>
            <w:pPr>
              <w:pStyle w:val="JTableText"/>
              <w:keepNext w:val="0"/>
            </w:pPr>
            <w:r>
              <w:t>38.1</w:t>
            </w:r>
          </w:p>
        </w:tc>
      </w:tr>
      <w:tr>
        <w:trPr>
          <w:cantSplit/>
        </w:trPr>
        <w:tc>
          <w:tcPr>
            <w:tcW w:type="dxa" w:w="1508"/>
            <w:vAlign w:val="center"/>
          </w:tcPr>
          <w:p>
            <w:pPr>
              <w:pStyle w:val="JTableText"/>
              <w:keepNext w:val="0"/>
            </w:pPr>
            <w:r>
              <w:t>1 KiB</w:t>
            </w:r>
          </w:p>
        </w:tc>
        <w:tc>
          <w:tcPr>
            <w:tcW w:type="dxa" w:w="1960"/>
            <w:vAlign w:val="center"/>
          </w:tcPr>
          <w:p>
            <w:pPr>
              <w:pStyle w:val="JTableText"/>
              <w:keepNext w:val="0"/>
            </w:pPr>
            <w:r>
              <w:t>AES-256-GCM</w:t>
            </w:r>
          </w:p>
        </w:tc>
        <w:tc>
          <w:tcPr>
            <w:tcW w:type="dxa" w:w="1809"/>
            <w:vAlign w:val="center"/>
          </w:tcPr>
          <w:p>
            <w:pPr>
              <w:pStyle w:val="JTableText"/>
              <w:keepNext w:val="0"/>
            </w:pPr>
            <w:r>
              <w:t>70.1</w:t>
            </w:r>
          </w:p>
        </w:tc>
        <w:tc>
          <w:tcPr>
            <w:tcW w:type="dxa" w:w="1809"/>
            <w:vAlign w:val="center"/>
          </w:tcPr>
          <w:p>
            <w:pPr>
              <w:pStyle w:val="JTableText"/>
              <w:keepNext w:val="0"/>
            </w:pPr>
            <w:r>
              <w:t>38.0</w:t>
            </w:r>
          </w:p>
        </w:tc>
      </w:tr>
      <w:tr>
        <w:trPr>
          <w:cantSplit/>
        </w:trPr>
        <w:tc>
          <w:tcPr>
            <w:tcW w:type="dxa" w:w="1508"/>
            <w:vAlign w:val="center"/>
          </w:tcPr>
          <w:p>
            <w:pPr>
              <w:pStyle w:val="JTableText"/>
              <w:keepNext w:val="0"/>
            </w:pPr>
            <w:r>
              <w:t>1 MiB</w:t>
            </w:r>
          </w:p>
        </w:tc>
        <w:tc>
          <w:tcPr>
            <w:tcW w:type="dxa" w:w="1960"/>
            <w:vAlign w:val="center"/>
          </w:tcPr>
          <w:p>
            <w:pPr>
              <w:pStyle w:val="JTableText"/>
              <w:keepNext w:val="0"/>
            </w:pPr>
            <w:r>
              <w:t>AES-128-GCM</w:t>
            </w:r>
          </w:p>
        </w:tc>
        <w:tc>
          <w:tcPr>
            <w:tcW w:type="dxa" w:w="1809"/>
            <w:vAlign w:val="center"/>
          </w:tcPr>
          <w:p>
            <w:pPr>
              <w:pStyle w:val="JTableText"/>
              <w:keepNext w:val="0"/>
            </w:pPr>
            <w:r>
              <w:t>1148.2</w:t>
            </w:r>
          </w:p>
        </w:tc>
        <w:tc>
          <w:tcPr>
            <w:tcW w:type="dxa" w:w="1809"/>
            <w:vAlign w:val="center"/>
          </w:tcPr>
          <w:p>
            <w:pPr>
              <w:pStyle w:val="JTableText"/>
              <w:keepNext w:val="0"/>
            </w:pPr>
            <w:r>
              <w:t>1131.4</w:t>
            </w:r>
          </w:p>
        </w:tc>
      </w:tr>
      <w:tr>
        <w:trPr>
          <w:cantSplit/>
        </w:trPr>
        <w:tc>
          <w:tcPr>
            <w:tcW w:type="dxa" w:w="1508"/>
            <w:vAlign w:val="center"/>
          </w:tcPr>
          <w:p>
            <w:pPr>
              <w:pStyle w:val="JTableText"/>
              <w:keepNext w:val="0"/>
            </w:pPr>
            <w:r>
              <w:t>1 MiB</w:t>
            </w:r>
          </w:p>
        </w:tc>
        <w:tc>
          <w:tcPr>
            <w:tcW w:type="dxa" w:w="1960"/>
            <w:vAlign w:val="center"/>
          </w:tcPr>
          <w:p>
            <w:pPr>
              <w:pStyle w:val="JTableText"/>
              <w:keepNext w:val="0"/>
            </w:pPr>
            <w:r>
              <w:t>AES-256-GCM</w:t>
            </w:r>
          </w:p>
        </w:tc>
        <w:tc>
          <w:tcPr>
            <w:tcW w:type="dxa" w:w="1809"/>
            <w:vAlign w:val="center"/>
          </w:tcPr>
          <w:p>
            <w:pPr>
              <w:pStyle w:val="JTableText"/>
              <w:keepNext w:val="0"/>
            </w:pPr>
            <w:r>
              <w:t>1059.3</w:t>
            </w:r>
          </w:p>
        </w:tc>
        <w:tc>
          <w:tcPr>
            <w:tcW w:type="dxa" w:w="1809"/>
            <w:vAlign w:val="center"/>
          </w:tcPr>
          <w:p>
            <w:pPr>
              <w:pStyle w:val="JTableText"/>
              <w:keepNext w:val="0"/>
            </w:pPr>
            <w:r>
              <w:t>1059.8</w:t>
            </w:r>
          </w:p>
        </w:tc>
      </w:tr>
      <w:tr>
        <w:trPr>
          <w:cantSplit/>
        </w:trPr>
        <w:tc>
          <w:tcPr>
            <w:tcW w:type="dxa" w:w="1508"/>
            <w:vAlign w:val="center"/>
          </w:tcPr>
          <w:p>
            <w:pPr>
              <w:pStyle w:val="JTableText"/>
              <w:keepNext w:val="0"/>
            </w:pPr>
            <w:r>
              <w:t>100 MiB</w:t>
            </w:r>
          </w:p>
        </w:tc>
        <w:tc>
          <w:tcPr>
            <w:tcW w:type="dxa" w:w="1960"/>
            <w:vAlign w:val="center"/>
          </w:tcPr>
          <w:p>
            <w:pPr>
              <w:pStyle w:val="JTableText"/>
              <w:keepNext w:val="0"/>
            </w:pPr>
            <w:r>
              <w:t>AES-128-GCM</w:t>
            </w:r>
          </w:p>
        </w:tc>
        <w:tc>
          <w:tcPr>
            <w:tcW w:type="dxa" w:w="1809"/>
            <w:vAlign w:val="center"/>
          </w:tcPr>
          <w:p>
            <w:pPr>
              <w:pStyle w:val="JTableText"/>
              <w:keepNext w:val="0"/>
            </w:pPr>
            <w:r>
              <w:t>1179.7</w:t>
            </w:r>
          </w:p>
        </w:tc>
        <w:tc>
          <w:tcPr>
            <w:tcW w:type="dxa" w:w="1809"/>
            <w:vAlign w:val="center"/>
          </w:tcPr>
          <w:p>
            <w:pPr>
              <w:pStyle w:val="JTableText"/>
              <w:keepNext w:val="0"/>
            </w:pPr>
            <w:r>
              <w:t>1189.3</w:t>
            </w:r>
          </w:p>
        </w:tc>
      </w:tr>
      <w:tr>
        <w:trPr>
          <w:cantSplit/>
        </w:trPr>
        <w:tc>
          <w:tcPr>
            <w:tcW w:type="dxa" w:w="1508"/>
            <w:vAlign w:val="center"/>
          </w:tcPr>
          <w:p>
            <w:pPr>
              <w:pStyle w:val="JTableText"/>
              <w:keepNext w:val="0"/>
            </w:pPr>
            <w:r>
              <w:t>100 MiB</w:t>
            </w:r>
          </w:p>
        </w:tc>
        <w:tc>
          <w:tcPr>
            <w:tcW w:type="dxa" w:w="1960"/>
            <w:vAlign w:val="center"/>
          </w:tcPr>
          <w:p>
            <w:pPr>
              <w:pStyle w:val="JTableText"/>
              <w:keepNext w:val="0"/>
            </w:pPr>
            <w:r>
              <w:t>AES-256-GCM</w:t>
            </w:r>
          </w:p>
        </w:tc>
        <w:tc>
          <w:tcPr>
            <w:tcW w:type="dxa" w:w="1809"/>
            <w:vAlign w:val="center"/>
          </w:tcPr>
          <w:p>
            <w:pPr>
              <w:pStyle w:val="JTableText"/>
              <w:keepNext w:val="0"/>
            </w:pPr>
            <w:r>
              <w:t>1100.4</w:t>
            </w:r>
          </w:p>
        </w:tc>
        <w:tc>
          <w:tcPr>
            <w:tcW w:type="dxa" w:w="1809"/>
            <w:vAlign w:val="center"/>
          </w:tcPr>
          <w:p>
            <w:pPr>
              <w:pStyle w:val="JTableText"/>
              <w:keepNext w:val="0"/>
            </w:pPr>
            <w:r>
              <w:t>1080.4</w:t>
            </w:r>
          </w:p>
        </w:tc>
      </w:tr>
    </w:tbl>
    <w:p w:rsidR="00423302" w:rsidRDefault="00F26942" w:rsidP="00315F32">
      <w:pPr>
        <w:pStyle w:val="JText"/>
      </w:pPr>
      <w:r>
        <w:t>Kod malih ulaza dominiraju fiksni troškovi, dok se na 1 MiB i većim ulazima AES-128-GCM kreće oko 1.13</w:t>
      </w:r>
      <w:r>
        <w:t>–</w:t>
      </w:r>
      <w:r>
        <w:t>1.19 GB/s, a AES-256-GCM oko 1.06</w:t>
      </w:r>
      <w:r>
        <w:t>–</w:t>
      </w:r>
      <w:r>
        <w:t>1.10 GB/s. Rezultat potvrđuje da savremeni režimi rada zahtevaju pažljivo tumačenje: CBC i GCM propusnosti ne predstavljaju istu funkcionalnost, pa se ne smeju tumačiti kao izolovana cena istog kriptografskog zadatka.</w:t>
      </w:r>
    </w:p>
    <w:p w:rsidR="00256C7D" w:rsidRPr="006D7C11" w:rsidRDefault="00256C7D" w:rsidP="00256C7D">
      <w:pPr>
        <w:pStyle w:val="JSubSubTitle"/>
      </w:pPr>
      <w:r>
        <w:t>4.3</w:t>
        <w:tab/>
      </w:r>
      <w:r>
        <w:t>CUDA baseline i upareno CPU</w:t>
      </w:r>
      <w:r>
        <w:t>–</w:t>
      </w:r>
      <w:r>
        <w:t>GPU poređenje</w:t>
      </w:r>
    </w:p>
    <w:p w:rsidR="00423302" w:rsidRDefault="00F26942" w:rsidP="00315F32">
      <w:pPr>
        <w:pStyle w:val="JText"/>
      </w:pPr>
      <w:r>
        <w:t>CUDA AES-128 baseline koristi čitljivi bajtovski kernel, jednu nit po 16-bajtnom AES bloku i 128 niti po CUDA bloku. ECB je korišćen isključivo kao mikrobenchmark nezavisnih blokova, dok CTR omogućava paralelizabilnu transformaciju definisanu u SP 800-38A (Dworkin, 2001). GPU implementacija se oslanja na CUDA/CuPy mehanizme za korisničke CUDA kernele i merenje događajima (NVIDIA Corporation, n.d.-b; CuPy, n.d.-a; CuPy, n.d.-b; Okuta et al., 2017).</w:t>
      </w:r>
    </w:p>
    <w:p w:rsidR="00423302" w:rsidRDefault="00F26942" w:rsidP="00315F32">
      <w:pPr>
        <w:pStyle w:val="JText"/>
      </w:pPr>
      <w:r>
        <w:t>Centralni eksperiment poredi CPU software, CPU AES-NI, CUDA baseline i laki kandidat CUDA v1 u istom ECB/CTR protokolu. Za svaki režim, veličinu i ponavljanje koriste se isti plaintext, ključ i početni CTR brojač. Ključna metodološka vrednost eksperimenta nije samo u faktorima ubrzanja, već u razdvajanju dva pitanja: kolika je propusnost izolovanog GPU jezgra kada su podaci već na uređaju, i kolika je praktična propusnost kada se uključe transferi i sinhronizacija.</w:t>
      </w:r>
    </w:p>
    <w:p w:rsidR="00B939B1" w:rsidRPr="006D7C11" w:rsidRDefault="00001904" w:rsidP="00B939B1">
      <w:pPr>
        <w:pStyle w:val="JFigure"/>
        <w:keepNext/>
      </w:pPr>
      <w:r>
        <w:rPr>
          <w:b/>
        </w:rPr>
        <w:t>Table 3</w:t>
      </w:r>
      <w:r>
        <w:br/>
      </w:r>
      <w:r>
        <w:rPr>
          <w:i/>
        </w:rPr>
        <w:t>Finalno upareno AES-128 CPU</w:t>
      </w:r>
      <w:r>
        <w:rPr>
          <w:i/>
        </w:rPr>
        <w:t>–</w:t>
      </w:r>
      <w:r>
        <w:rPr>
          <w:i/>
        </w:rPr>
        <w:t>GPU poređenje, u decimalnim MB/s. K označava resident kernel-only, E2E end-to-end pipeline.</w:t>
      </w:r>
    </w:p>
    <w:tbl>
      <w:tblPr>
        <w:tblW w:w="7088" w:type="dxa"/>
        <w:jc w:val="center"/>
        <w:tblBorders>
          <w:top w:val="single" w:sz="6" w:space="0" w:color="auto"/>
          <w:left w:val="single" w:sz="6" w:space="0" w:color="auto"/>
          <w:bottom w:val="single" w:sz="6" w:space="0" w:color="auto"/>
          <w:right w:val="single" w:sz="6" w:space="0" w:color="auto"/>
          <w:insideH w:val="single" w:sz="4" w:space="0" w:color="auto"/>
          <w:insideV w:val="single" w:sz="4" w:space="0" w:color="auto"/>
        </w:tblBorders>
        <w:tblLayout w:type="fixed"/>
        <w:tblLook w:val="01E0" w:firstRow="1" w:lastRow="1" w:firstColumn="1" w:lastColumn="1" w:noHBand="0" w:noVBand="0"/>
      </w:tblPr>
      <w:tblGrid>
        <w:gridCol w:w="775"/>
        <w:gridCol w:w="1107"/>
        <w:gridCol w:w="775"/>
        <w:gridCol w:w="886"/>
        <w:gridCol w:w="886"/>
        <w:gridCol w:w="886"/>
        <w:gridCol w:w="886"/>
        <w:gridCol w:w="886"/>
      </w:tblGrid>
      <w:tr>
        <w:trPr>
          <w:cantSplit/>
          <w:tblHeader/>
        </w:trPr>
        <w:tc>
          <w:tcPr>
            <w:tcW w:type="dxa" w:w="775"/>
            <w:vAlign w:val="center"/>
          </w:tcPr>
          <w:p>
            <w:pPr>
              <w:pStyle w:val="JTableText"/>
              <w:keepNext/>
            </w:pPr>
          </w:p>
        </w:tc>
        <w:tc>
          <w:tcPr>
            <w:tcW w:type="dxa" w:w="1107"/>
            <w:vAlign w:val="center"/>
          </w:tcPr>
          <w:p>
            <w:pPr>
              <w:pStyle w:val="JTableText"/>
              <w:keepNext/>
            </w:pPr>
          </w:p>
        </w:tc>
        <w:tc>
          <w:tcPr>
            <w:tcW w:type="dxa" w:w="1661"/>
            <w:gridSpan w:val="2"/>
            <w:vAlign w:val="center"/>
          </w:tcPr>
          <w:p>
            <w:pPr>
              <w:pStyle w:val="JTableText"/>
              <w:keepNext/>
            </w:pPr>
            <w:r>
              <w:t>CPU</w:t>
            </w:r>
          </w:p>
        </w:tc>
        <w:tc>
          <w:tcPr>
            <w:tcW w:type="dxa" w:w="1772"/>
            <w:gridSpan w:val="2"/>
            <w:vAlign w:val="center"/>
          </w:tcPr>
          <w:p>
            <w:pPr>
              <w:pStyle w:val="JTableText"/>
              <w:keepNext/>
            </w:pPr>
            <w:r>
              <w:t>CUDA baseline</w:t>
            </w:r>
          </w:p>
        </w:tc>
        <w:tc>
          <w:tcPr>
            <w:tcW w:type="dxa" w:w="1772"/>
            <w:gridSpan w:val="2"/>
            <w:vAlign w:val="center"/>
          </w:tcPr>
          <w:p>
            <w:pPr>
              <w:pStyle w:val="JTableText"/>
              <w:keepNext/>
            </w:pPr>
            <w:r>
              <w:t>CUDA v1</w:t>
            </w:r>
          </w:p>
        </w:tc>
      </w:tr>
      <w:tr>
        <w:trPr>
          <w:cantSplit/>
          <w:tblHeader/>
        </w:trPr>
        <w:tc>
          <w:tcPr>
            <w:tcW w:type="dxa" w:w="775"/>
            <w:vAlign w:val="center"/>
          </w:tcPr>
          <w:p>
            <w:pPr>
              <w:pStyle w:val="JTableText"/>
              <w:keepNext/>
            </w:pPr>
            <w:r>
              <w:t>Režim</w:t>
            </w:r>
          </w:p>
        </w:tc>
        <w:tc>
          <w:tcPr>
            <w:tcW w:type="dxa" w:w="1107"/>
            <w:vAlign w:val="center"/>
          </w:tcPr>
          <w:p>
            <w:pPr>
              <w:pStyle w:val="JTableText"/>
              <w:keepNext/>
            </w:pPr>
            <w:r>
              <w:t>Veličina</w:t>
            </w:r>
          </w:p>
        </w:tc>
        <w:tc>
          <w:tcPr>
            <w:tcW w:type="dxa" w:w="775"/>
            <w:vAlign w:val="center"/>
          </w:tcPr>
          <w:p>
            <w:pPr>
              <w:pStyle w:val="JTableText"/>
              <w:keepNext/>
            </w:pPr>
            <w:r>
              <w:t>Soft.</w:t>
            </w:r>
          </w:p>
        </w:tc>
        <w:tc>
          <w:tcPr>
            <w:tcW w:type="dxa" w:w="886"/>
            <w:vAlign w:val="center"/>
          </w:tcPr>
          <w:p>
            <w:pPr>
              <w:pStyle w:val="JTableText"/>
              <w:keepNext/>
            </w:pPr>
            <w:r>
              <w:t>AES-NI</w:t>
            </w:r>
          </w:p>
        </w:tc>
        <w:tc>
          <w:tcPr>
            <w:tcW w:type="dxa" w:w="886"/>
            <w:vAlign w:val="center"/>
          </w:tcPr>
          <w:p>
            <w:pPr>
              <w:pStyle w:val="JTableText"/>
              <w:keepNext/>
            </w:pPr>
            <w:r>
              <w:t>K</w:t>
            </w:r>
          </w:p>
        </w:tc>
        <w:tc>
          <w:tcPr>
            <w:tcW w:type="dxa" w:w="886"/>
            <w:vAlign w:val="center"/>
          </w:tcPr>
          <w:p>
            <w:pPr>
              <w:pStyle w:val="JTableText"/>
              <w:keepNext/>
            </w:pPr>
            <w:r>
              <w:t>E2E</w:t>
            </w:r>
          </w:p>
        </w:tc>
        <w:tc>
          <w:tcPr>
            <w:tcW w:type="dxa" w:w="886"/>
            <w:vAlign w:val="center"/>
          </w:tcPr>
          <w:p>
            <w:pPr>
              <w:pStyle w:val="JTableText"/>
              <w:keepNext/>
            </w:pPr>
            <w:r>
              <w:t>K</w:t>
            </w:r>
          </w:p>
        </w:tc>
        <w:tc>
          <w:tcPr>
            <w:tcW w:type="dxa" w:w="886"/>
            <w:vAlign w:val="center"/>
          </w:tcPr>
          <w:p>
            <w:pPr>
              <w:pStyle w:val="JTableText"/>
              <w:keepNext/>
            </w:pPr>
            <w:r>
              <w:t>E2E</w:t>
            </w:r>
          </w:p>
        </w:tc>
      </w:tr>
      <w:tr>
        <w:trPr>
          <w:cantSplit/>
        </w:trPr>
        <w:tc>
          <w:tcPr>
            <w:tcW w:type="dxa" w:w="775"/>
            <w:vAlign w:val="center"/>
          </w:tcPr>
          <w:p>
            <w:pPr>
              <w:pStyle w:val="JTableText"/>
              <w:keepNext w:val="0"/>
            </w:pPr>
            <w:r>
              <w:t>ECB</w:t>
            </w:r>
          </w:p>
        </w:tc>
        <w:tc>
          <w:tcPr>
            <w:tcW w:type="dxa" w:w="1107"/>
            <w:vAlign w:val="center"/>
          </w:tcPr>
          <w:p>
            <w:pPr>
              <w:pStyle w:val="JTableText"/>
              <w:keepNext w:val="0"/>
            </w:pPr>
            <w:r>
              <w:t>1 MiB</w:t>
            </w:r>
          </w:p>
        </w:tc>
        <w:tc>
          <w:tcPr>
            <w:tcW w:type="dxa" w:w="775"/>
            <w:vAlign w:val="center"/>
          </w:tcPr>
          <w:p>
            <w:pPr>
              <w:pStyle w:val="JTableText"/>
              <w:keepNext w:val="0"/>
            </w:pPr>
            <w:r>
              <w:t>275.7</w:t>
            </w:r>
          </w:p>
        </w:tc>
        <w:tc>
          <w:tcPr>
            <w:tcW w:type="dxa" w:w="886"/>
            <w:vAlign w:val="center"/>
          </w:tcPr>
          <w:p>
            <w:pPr>
              <w:pStyle w:val="JTableText"/>
              <w:keepNext w:val="0"/>
            </w:pPr>
            <w:r>
              <w:t>1793.5</w:t>
            </w:r>
          </w:p>
        </w:tc>
        <w:tc>
          <w:tcPr>
            <w:tcW w:type="dxa" w:w="886"/>
            <w:vAlign w:val="center"/>
          </w:tcPr>
          <w:p>
            <w:pPr>
              <w:pStyle w:val="JTableText"/>
              <w:keepNext w:val="0"/>
            </w:pPr>
            <w:r>
              <w:t>4901.1</w:t>
            </w:r>
          </w:p>
        </w:tc>
        <w:tc>
          <w:tcPr>
            <w:tcW w:type="dxa" w:w="886"/>
            <w:vAlign w:val="center"/>
          </w:tcPr>
          <w:p>
            <w:pPr>
              <w:pStyle w:val="JTableText"/>
              <w:keepNext w:val="0"/>
            </w:pPr>
            <w:r>
              <w:t>1339.1</w:t>
            </w:r>
          </w:p>
        </w:tc>
        <w:tc>
          <w:tcPr>
            <w:tcW w:type="dxa" w:w="886"/>
            <w:vAlign w:val="center"/>
          </w:tcPr>
          <w:p>
            <w:pPr>
              <w:pStyle w:val="JTableText"/>
              <w:keepNext w:val="0"/>
            </w:pPr>
            <w:r>
              <w:t>5149.3</w:t>
            </w:r>
          </w:p>
        </w:tc>
        <w:tc>
          <w:tcPr>
            <w:tcW w:type="dxa" w:w="886"/>
            <w:vAlign w:val="center"/>
          </w:tcPr>
          <w:p>
            <w:pPr>
              <w:pStyle w:val="JTableText"/>
              <w:keepNext w:val="0"/>
            </w:pPr>
            <w:r>
              <w:t>1320.1</w:t>
            </w:r>
          </w:p>
        </w:tc>
      </w:tr>
      <w:tr>
        <w:trPr>
          <w:cantSplit/>
        </w:trPr>
        <w:tc>
          <w:tcPr>
            <w:tcW w:type="dxa" w:w="775"/>
            <w:vAlign w:val="center"/>
          </w:tcPr>
          <w:p>
            <w:pPr>
              <w:pStyle w:val="JTableText"/>
              <w:keepNext w:val="0"/>
            </w:pPr>
            <w:r>
              <w:t>ECB</w:t>
            </w:r>
          </w:p>
        </w:tc>
        <w:tc>
          <w:tcPr>
            <w:tcW w:type="dxa" w:w="1107"/>
            <w:vAlign w:val="center"/>
          </w:tcPr>
          <w:p>
            <w:pPr>
              <w:pStyle w:val="JTableText"/>
              <w:keepNext w:val="0"/>
            </w:pPr>
            <w:r>
              <w:t>16 MiB</w:t>
            </w:r>
          </w:p>
        </w:tc>
        <w:tc>
          <w:tcPr>
            <w:tcW w:type="dxa" w:w="775"/>
            <w:vAlign w:val="center"/>
          </w:tcPr>
          <w:p>
            <w:pPr>
              <w:pStyle w:val="JTableText"/>
              <w:keepNext w:val="0"/>
            </w:pPr>
            <w:r>
              <w:t>280.5</w:t>
            </w:r>
          </w:p>
        </w:tc>
        <w:tc>
          <w:tcPr>
            <w:tcW w:type="dxa" w:w="886"/>
            <w:vAlign w:val="center"/>
          </w:tcPr>
          <w:p>
            <w:pPr>
              <w:pStyle w:val="JTableText"/>
              <w:keepNext w:val="0"/>
            </w:pPr>
            <w:r>
              <w:t>1904.8</w:t>
            </w:r>
          </w:p>
        </w:tc>
        <w:tc>
          <w:tcPr>
            <w:tcW w:type="dxa" w:w="886"/>
            <w:vAlign w:val="center"/>
          </w:tcPr>
          <w:p>
            <w:pPr>
              <w:pStyle w:val="JTableText"/>
              <w:keepNext w:val="0"/>
            </w:pPr>
            <w:r>
              <w:t>3667.5</w:t>
            </w:r>
          </w:p>
        </w:tc>
        <w:tc>
          <w:tcPr>
            <w:tcW w:type="dxa" w:w="886"/>
            <w:vAlign w:val="center"/>
          </w:tcPr>
          <w:p>
            <w:pPr>
              <w:pStyle w:val="JTableText"/>
              <w:keepNext w:val="0"/>
            </w:pPr>
            <w:r>
              <w:t>1080.0</w:t>
            </w:r>
          </w:p>
        </w:tc>
        <w:tc>
          <w:tcPr>
            <w:tcW w:type="dxa" w:w="886"/>
            <w:vAlign w:val="center"/>
          </w:tcPr>
          <w:p>
            <w:pPr>
              <w:pStyle w:val="JTableText"/>
              <w:keepNext w:val="0"/>
            </w:pPr>
            <w:r>
              <w:t>3424.4</w:t>
            </w:r>
          </w:p>
        </w:tc>
        <w:tc>
          <w:tcPr>
            <w:tcW w:type="dxa" w:w="886"/>
            <w:vAlign w:val="center"/>
          </w:tcPr>
          <w:p>
            <w:pPr>
              <w:pStyle w:val="JTableText"/>
              <w:keepNext w:val="0"/>
            </w:pPr>
            <w:r>
              <w:t>866.2</w:t>
            </w:r>
          </w:p>
        </w:tc>
      </w:tr>
      <w:tr>
        <w:trPr>
          <w:cantSplit/>
        </w:trPr>
        <w:tc>
          <w:tcPr>
            <w:tcW w:type="dxa" w:w="775"/>
            <w:vAlign w:val="center"/>
          </w:tcPr>
          <w:p>
            <w:pPr>
              <w:pStyle w:val="JTableText"/>
              <w:keepNext w:val="0"/>
            </w:pPr>
            <w:r>
              <w:t>ECB</w:t>
            </w:r>
          </w:p>
        </w:tc>
        <w:tc>
          <w:tcPr>
            <w:tcW w:type="dxa" w:w="1107"/>
            <w:vAlign w:val="center"/>
          </w:tcPr>
          <w:p>
            <w:pPr>
              <w:pStyle w:val="JTableText"/>
              <w:keepNext w:val="0"/>
            </w:pPr>
            <w:r>
              <w:t>32 MiB</w:t>
            </w:r>
          </w:p>
        </w:tc>
        <w:tc>
          <w:tcPr>
            <w:tcW w:type="dxa" w:w="775"/>
            <w:vAlign w:val="center"/>
          </w:tcPr>
          <w:p>
            <w:pPr>
              <w:pStyle w:val="JTableText"/>
              <w:keepNext w:val="0"/>
            </w:pPr>
            <w:r>
              <w:t>282.1</w:t>
            </w:r>
          </w:p>
        </w:tc>
        <w:tc>
          <w:tcPr>
            <w:tcW w:type="dxa" w:w="886"/>
            <w:vAlign w:val="center"/>
          </w:tcPr>
          <w:p>
            <w:pPr>
              <w:pStyle w:val="JTableText"/>
              <w:keepNext w:val="0"/>
            </w:pPr>
            <w:r>
              <w:t>1909.9</w:t>
            </w:r>
          </w:p>
        </w:tc>
        <w:tc>
          <w:tcPr>
            <w:tcW w:type="dxa" w:w="886"/>
            <w:vAlign w:val="center"/>
          </w:tcPr>
          <w:p>
            <w:pPr>
              <w:pStyle w:val="JTableText"/>
              <w:keepNext w:val="0"/>
            </w:pPr>
            <w:r>
              <w:t>4753.5</w:t>
            </w:r>
          </w:p>
        </w:tc>
        <w:tc>
          <w:tcPr>
            <w:tcW w:type="dxa" w:w="886"/>
            <w:vAlign w:val="center"/>
          </w:tcPr>
          <w:p>
            <w:pPr>
              <w:pStyle w:val="JTableText"/>
              <w:keepNext w:val="0"/>
            </w:pPr>
            <w:r>
              <w:t>1202.0</w:t>
            </w:r>
          </w:p>
        </w:tc>
        <w:tc>
          <w:tcPr>
            <w:tcW w:type="dxa" w:w="886"/>
            <w:vAlign w:val="center"/>
          </w:tcPr>
          <w:p>
            <w:pPr>
              <w:pStyle w:val="JTableText"/>
              <w:keepNext w:val="0"/>
            </w:pPr>
            <w:r>
              <w:t>4792.6</w:t>
            </w:r>
          </w:p>
        </w:tc>
        <w:tc>
          <w:tcPr>
            <w:tcW w:type="dxa" w:w="886"/>
            <w:vAlign w:val="center"/>
          </w:tcPr>
          <w:p>
            <w:pPr>
              <w:pStyle w:val="JTableText"/>
              <w:keepNext w:val="0"/>
            </w:pPr>
            <w:r>
              <w:t>1214.5</w:t>
            </w:r>
          </w:p>
        </w:tc>
      </w:tr>
      <w:tr>
        <w:trPr>
          <w:cantSplit/>
        </w:trPr>
        <w:tc>
          <w:tcPr>
            <w:tcW w:type="dxa" w:w="775"/>
            <w:vAlign w:val="center"/>
          </w:tcPr>
          <w:p>
            <w:pPr>
              <w:pStyle w:val="JTableText"/>
              <w:keepNext w:val="0"/>
            </w:pPr>
            <w:r>
              <w:t>CTR</w:t>
            </w:r>
          </w:p>
        </w:tc>
        <w:tc>
          <w:tcPr>
            <w:tcW w:type="dxa" w:w="1107"/>
            <w:vAlign w:val="center"/>
          </w:tcPr>
          <w:p>
            <w:pPr>
              <w:pStyle w:val="JTableText"/>
              <w:keepNext w:val="0"/>
            </w:pPr>
            <w:r>
              <w:t>1 MiB</w:t>
            </w:r>
          </w:p>
        </w:tc>
        <w:tc>
          <w:tcPr>
            <w:tcW w:type="dxa" w:w="775"/>
            <w:vAlign w:val="center"/>
          </w:tcPr>
          <w:p>
            <w:pPr>
              <w:pStyle w:val="JTableText"/>
              <w:keepNext w:val="0"/>
            </w:pPr>
            <w:r>
              <w:t>257.4</w:t>
            </w:r>
          </w:p>
        </w:tc>
        <w:tc>
          <w:tcPr>
            <w:tcW w:type="dxa" w:w="886"/>
            <w:vAlign w:val="center"/>
          </w:tcPr>
          <w:p>
            <w:pPr>
              <w:pStyle w:val="JTableText"/>
              <w:keepNext w:val="0"/>
            </w:pPr>
            <w:r>
              <w:t>1381.7</w:t>
            </w:r>
          </w:p>
        </w:tc>
        <w:tc>
          <w:tcPr>
            <w:tcW w:type="dxa" w:w="886"/>
            <w:vAlign w:val="center"/>
          </w:tcPr>
          <w:p>
            <w:pPr>
              <w:pStyle w:val="JTableText"/>
              <w:keepNext w:val="0"/>
            </w:pPr>
            <w:r>
              <w:t>5017.1</w:t>
            </w:r>
          </w:p>
        </w:tc>
        <w:tc>
          <w:tcPr>
            <w:tcW w:type="dxa" w:w="886"/>
            <w:vAlign w:val="center"/>
          </w:tcPr>
          <w:p>
            <w:pPr>
              <w:pStyle w:val="JTableText"/>
              <w:keepNext w:val="0"/>
            </w:pPr>
            <w:r>
              <w:t>1313.1</w:t>
            </w:r>
          </w:p>
        </w:tc>
        <w:tc>
          <w:tcPr>
            <w:tcW w:type="dxa" w:w="886"/>
            <w:vAlign w:val="center"/>
          </w:tcPr>
          <w:p>
            <w:pPr>
              <w:pStyle w:val="JTableText"/>
              <w:keepNext w:val="0"/>
            </w:pPr>
            <w:r>
              <w:t>4853.9</w:t>
            </w:r>
          </w:p>
        </w:tc>
        <w:tc>
          <w:tcPr>
            <w:tcW w:type="dxa" w:w="886"/>
            <w:vAlign w:val="center"/>
          </w:tcPr>
          <w:p>
            <w:pPr>
              <w:pStyle w:val="JTableText"/>
              <w:keepNext w:val="0"/>
            </w:pPr>
            <w:r>
              <w:t>1291.0</w:t>
            </w:r>
          </w:p>
        </w:tc>
      </w:tr>
      <w:tr>
        <w:trPr>
          <w:cantSplit/>
        </w:trPr>
        <w:tc>
          <w:tcPr>
            <w:tcW w:type="dxa" w:w="775"/>
            <w:vAlign w:val="center"/>
          </w:tcPr>
          <w:p>
            <w:pPr>
              <w:pStyle w:val="JTableText"/>
              <w:keepNext w:val="0"/>
            </w:pPr>
            <w:r>
              <w:t>CTR</w:t>
            </w:r>
          </w:p>
        </w:tc>
        <w:tc>
          <w:tcPr>
            <w:tcW w:type="dxa" w:w="1107"/>
            <w:vAlign w:val="center"/>
          </w:tcPr>
          <w:p>
            <w:pPr>
              <w:pStyle w:val="JTableText"/>
              <w:keepNext w:val="0"/>
            </w:pPr>
            <w:r>
              <w:t>16 MiB</w:t>
            </w:r>
          </w:p>
        </w:tc>
        <w:tc>
          <w:tcPr>
            <w:tcW w:type="dxa" w:w="775"/>
            <w:vAlign w:val="center"/>
          </w:tcPr>
          <w:p>
            <w:pPr>
              <w:pStyle w:val="JTableText"/>
              <w:keepNext w:val="0"/>
            </w:pPr>
            <w:r>
              <w:t>264.3</w:t>
            </w:r>
          </w:p>
        </w:tc>
        <w:tc>
          <w:tcPr>
            <w:tcW w:type="dxa" w:w="886"/>
            <w:vAlign w:val="center"/>
          </w:tcPr>
          <w:p>
            <w:pPr>
              <w:pStyle w:val="JTableText"/>
              <w:keepNext w:val="0"/>
            </w:pPr>
            <w:r>
              <w:t>1446.5</w:t>
            </w:r>
          </w:p>
        </w:tc>
        <w:tc>
          <w:tcPr>
            <w:tcW w:type="dxa" w:w="886"/>
            <w:vAlign w:val="center"/>
          </w:tcPr>
          <w:p>
            <w:pPr>
              <w:pStyle w:val="JTableText"/>
              <w:keepNext w:val="0"/>
            </w:pPr>
            <w:r>
              <w:t>3655.6</w:t>
            </w:r>
          </w:p>
        </w:tc>
        <w:tc>
          <w:tcPr>
            <w:tcW w:type="dxa" w:w="886"/>
            <w:vAlign w:val="center"/>
          </w:tcPr>
          <w:p>
            <w:pPr>
              <w:pStyle w:val="JTableText"/>
              <w:keepNext w:val="0"/>
            </w:pPr>
            <w:r>
              <w:t>1103.1</w:t>
            </w:r>
          </w:p>
        </w:tc>
        <w:tc>
          <w:tcPr>
            <w:tcW w:type="dxa" w:w="886"/>
            <w:vAlign w:val="center"/>
          </w:tcPr>
          <w:p>
            <w:pPr>
              <w:pStyle w:val="JTableText"/>
              <w:keepNext w:val="0"/>
            </w:pPr>
            <w:r>
              <w:t>3576.2</w:t>
            </w:r>
          </w:p>
        </w:tc>
        <w:tc>
          <w:tcPr>
            <w:tcW w:type="dxa" w:w="886"/>
            <w:vAlign w:val="center"/>
          </w:tcPr>
          <w:p>
            <w:pPr>
              <w:pStyle w:val="JTableText"/>
              <w:keepNext w:val="0"/>
            </w:pPr>
            <w:r>
              <w:t>1074.0</w:t>
            </w:r>
          </w:p>
        </w:tc>
      </w:tr>
      <w:tr>
        <w:trPr>
          <w:cantSplit/>
        </w:trPr>
        <w:tc>
          <w:tcPr>
            <w:tcW w:type="dxa" w:w="775"/>
            <w:vAlign w:val="center"/>
          </w:tcPr>
          <w:p>
            <w:pPr>
              <w:pStyle w:val="JTableText"/>
              <w:keepNext w:val="0"/>
            </w:pPr>
            <w:r>
              <w:t>CTR</w:t>
            </w:r>
          </w:p>
        </w:tc>
        <w:tc>
          <w:tcPr>
            <w:tcW w:type="dxa" w:w="1107"/>
            <w:vAlign w:val="center"/>
          </w:tcPr>
          <w:p>
            <w:pPr>
              <w:pStyle w:val="JTableText"/>
              <w:keepNext w:val="0"/>
            </w:pPr>
            <w:r>
              <w:t>32 MiB</w:t>
            </w:r>
          </w:p>
        </w:tc>
        <w:tc>
          <w:tcPr>
            <w:tcW w:type="dxa" w:w="775"/>
            <w:vAlign w:val="center"/>
          </w:tcPr>
          <w:p>
            <w:pPr>
              <w:pStyle w:val="JTableText"/>
              <w:keepNext w:val="0"/>
            </w:pPr>
            <w:r>
              <w:t>266.3</w:t>
            </w:r>
          </w:p>
        </w:tc>
        <w:tc>
          <w:tcPr>
            <w:tcW w:type="dxa" w:w="886"/>
            <w:vAlign w:val="center"/>
          </w:tcPr>
          <w:p>
            <w:pPr>
              <w:pStyle w:val="JTableText"/>
              <w:keepNext w:val="0"/>
            </w:pPr>
            <w:r>
              <w:t>1455.8</w:t>
            </w:r>
          </w:p>
        </w:tc>
        <w:tc>
          <w:tcPr>
            <w:tcW w:type="dxa" w:w="886"/>
            <w:vAlign w:val="center"/>
          </w:tcPr>
          <w:p>
            <w:pPr>
              <w:pStyle w:val="JTableText"/>
              <w:keepNext w:val="0"/>
            </w:pPr>
            <w:r>
              <w:t>4800.6</w:t>
            </w:r>
          </w:p>
        </w:tc>
        <w:tc>
          <w:tcPr>
            <w:tcW w:type="dxa" w:w="886"/>
            <w:vAlign w:val="center"/>
          </w:tcPr>
          <w:p>
            <w:pPr>
              <w:pStyle w:val="JTableText"/>
              <w:keepNext w:val="0"/>
            </w:pPr>
            <w:r>
              <w:t>1204.5</w:t>
            </w:r>
          </w:p>
        </w:tc>
        <w:tc>
          <w:tcPr>
            <w:tcW w:type="dxa" w:w="886"/>
            <w:vAlign w:val="center"/>
          </w:tcPr>
          <w:p>
            <w:pPr>
              <w:pStyle w:val="JTableText"/>
              <w:keepNext w:val="0"/>
            </w:pPr>
            <w:r>
              <w:t>4877.7</w:t>
            </w:r>
          </w:p>
        </w:tc>
        <w:tc>
          <w:tcPr>
            <w:tcW w:type="dxa" w:w="886"/>
            <w:vAlign w:val="center"/>
          </w:tcPr>
          <w:p>
            <w:pPr>
              <w:pStyle w:val="JTableText"/>
              <w:keepNext w:val="0"/>
            </w:pPr>
            <w:r>
              <w:t>1209.1</w:t>
            </w:r>
          </w:p>
        </w:tc>
      </w:tr>
    </w:tbl>
    <w:p w:rsidR="00423302" w:rsidRDefault="00F26942" w:rsidP="00315F32">
      <w:pPr>
        <w:pStyle w:val="JText"/>
      </w:pPr>
      <w:r>
        <w:t>Resident GPU rezultati nadmašuju CPU AES-NI za veće ulaze, ali pipeline rezultati ne. Na primer, kod CTR 1 MiB resident baseline daje 5017.1 MB/s, dok end-to-end pipeline daje 1313.1 MB/s, ispod CPU AES-NI rezultata od 1381.7 MB/s. Na 32 MiB CTR resident rezultat je 4800.6 MB/s, ali pipeline ostaje 1204.5 MB/s, dok je CPU AES-NI 1455.8 MB/s. Time se pokazuje da resident i end-to-end merenja odgovaraju različitim istraživačkim pitanjima.</w:t>
      </w:r>
    </w:p>
    <w:p w:rsidR="00B939B1" w:rsidRPr="006D7C11" w:rsidRDefault="00001904" w:rsidP="00B939B1">
      <w:pPr>
        <w:pStyle w:val="JFigure"/>
        <w:keepNext/>
      </w:pPr>
      <w:r>
        <w:rPr>
          <w:b/>
        </w:rPr>
        <w:t>Table 4</w:t>
      </w:r>
      <w:r>
        <w:br/>
      </w:r>
      <w:r>
        <w:rPr>
          <w:i/>
        </w:rPr>
        <w:t>Faktori prema CPU AES-NI: medijane pet sesijskih odnosa vremena. I označava resident/isolated, P end-to-end pipeline; vrednost veća od jedan označava kraće GPU vreme.</w:t>
      </w:r>
    </w:p>
    <w:tbl>
      <w:tblPr>
        <w:tblW w:w="7088" w:type="dxa"/>
        <w:jc w:val="center"/>
        <w:tblBorders>
          <w:top w:val="single" w:sz="6" w:space="0" w:color="auto"/>
          <w:left w:val="single" w:sz="6" w:space="0" w:color="auto"/>
          <w:bottom w:val="single" w:sz="6" w:space="0" w:color="auto"/>
          <w:right w:val="single" w:sz="6" w:space="0" w:color="auto"/>
          <w:insideH w:val="single" w:sz="4" w:space="0" w:color="auto"/>
          <w:insideV w:val="single" w:sz="4" w:space="0" w:color="auto"/>
        </w:tblBorders>
        <w:tblLayout w:type="fixed"/>
        <w:tblLook w:val="01E0" w:firstRow="1" w:lastRow="1" w:firstColumn="1" w:lastColumn="1" w:noHBand="0" w:noVBand="0"/>
      </w:tblPr>
      <w:tblGrid>
        <w:gridCol w:w="936"/>
        <w:gridCol w:w="1337"/>
        <w:gridCol w:w="1605"/>
        <w:gridCol w:w="802"/>
        <w:gridCol w:w="1605"/>
        <w:gridCol w:w="802"/>
      </w:tblGrid>
      <w:tr>
        <w:trPr>
          <w:cantSplit/>
          <w:tblHeader/>
        </w:trPr>
        <w:tc>
          <w:tcPr>
            <w:tcW w:type="dxa" w:w="936"/>
            <w:vAlign w:val="center"/>
          </w:tcPr>
          <w:p>
            <w:pPr>
              <w:pStyle w:val="JTableText"/>
              <w:keepNext/>
            </w:pPr>
            <w:r>
              <w:t>Režim</w:t>
            </w:r>
          </w:p>
        </w:tc>
        <w:tc>
          <w:tcPr>
            <w:tcW w:type="dxa" w:w="1337"/>
            <w:vAlign w:val="center"/>
          </w:tcPr>
          <w:p>
            <w:pPr>
              <w:pStyle w:val="JTableText"/>
              <w:keepNext/>
            </w:pPr>
            <w:r>
              <w:t>Veličina</w:t>
            </w:r>
          </w:p>
        </w:tc>
        <w:tc>
          <w:tcPr>
            <w:tcW w:type="dxa" w:w="1605"/>
            <w:vAlign w:val="center"/>
          </w:tcPr>
          <w:p>
            <w:pPr>
              <w:pStyle w:val="JTableText"/>
              <w:keepNext/>
            </w:pPr>
            <w:r>
              <w:t>Baseline I</w:t>
            </w:r>
          </w:p>
        </w:tc>
        <w:tc>
          <w:tcPr>
            <w:tcW w:type="dxa" w:w="802"/>
            <w:vAlign w:val="center"/>
          </w:tcPr>
          <w:p>
            <w:pPr>
              <w:pStyle w:val="JTableText"/>
              <w:keepNext/>
            </w:pPr>
            <w:r>
              <w:t>v1 I</w:t>
            </w:r>
          </w:p>
        </w:tc>
        <w:tc>
          <w:tcPr>
            <w:tcW w:type="dxa" w:w="1605"/>
            <w:vAlign w:val="center"/>
          </w:tcPr>
          <w:p>
            <w:pPr>
              <w:pStyle w:val="JTableText"/>
              <w:keepNext/>
            </w:pPr>
            <w:r>
              <w:t>Baseline P</w:t>
            </w:r>
          </w:p>
        </w:tc>
        <w:tc>
          <w:tcPr>
            <w:tcW w:type="dxa" w:w="802"/>
            <w:vAlign w:val="center"/>
          </w:tcPr>
          <w:p>
            <w:pPr>
              <w:pStyle w:val="JTableText"/>
              <w:keepNext/>
            </w:pPr>
            <w:r>
              <w:t>v1 P</w:t>
            </w:r>
          </w:p>
        </w:tc>
      </w:tr>
      <w:tr>
        <w:trPr>
          <w:cantSplit/>
        </w:trPr>
        <w:tc>
          <w:tcPr>
            <w:tcW w:type="dxa" w:w="936"/>
            <w:vAlign w:val="center"/>
          </w:tcPr>
          <w:p>
            <w:pPr>
              <w:pStyle w:val="JTableText"/>
              <w:keepNext w:val="0"/>
            </w:pPr>
            <w:r>
              <w:t>ECB</w:t>
            </w:r>
          </w:p>
        </w:tc>
        <w:tc>
          <w:tcPr>
            <w:tcW w:type="dxa" w:w="1337"/>
            <w:vAlign w:val="center"/>
          </w:tcPr>
          <w:p>
            <w:pPr>
              <w:pStyle w:val="JTableText"/>
              <w:keepNext w:val="0"/>
            </w:pPr>
            <w:r>
              <w:t>1 MiB</w:t>
            </w:r>
          </w:p>
        </w:tc>
        <w:tc>
          <w:tcPr>
            <w:tcW w:type="dxa" w:w="1605"/>
            <w:vAlign w:val="center"/>
          </w:tcPr>
          <w:p>
            <w:pPr>
              <w:pStyle w:val="JTableText"/>
              <w:keepNext w:val="0"/>
            </w:pPr>
            <w:r>
              <w:t>2.65</w:t>
            </w:r>
          </w:p>
        </w:tc>
        <w:tc>
          <w:tcPr>
            <w:tcW w:type="dxa" w:w="802"/>
            <w:vAlign w:val="center"/>
          </w:tcPr>
          <w:p>
            <w:pPr>
              <w:pStyle w:val="JTableText"/>
              <w:keepNext w:val="0"/>
            </w:pPr>
            <w:r>
              <w:t>2.91</w:t>
            </w:r>
          </w:p>
        </w:tc>
        <w:tc>
          <w:tcPr>
            <w:tcW w:type="dxa" w:w="1605"/>
            <w:vAlign w:val="center"/>
          </w:tcPr>
          <w:p>
            <w:pPr>
              <w:pStyle w:val="JTableText"/>
              <w:keepNext w:val="0"/>
            </w:pPr>
            <w:r>
              <w:t>0.75</w:t>
            </w:r>
          </w:p>
        </w:tc>
        <w:tc>
          <w:tcPr>
            <w:tcW w:type="dxa" w:w="802"/>
            <w:vAlign w:val="center"/>
          </w:tcPr>
          <w:p>
            <w:pPr>
              <w:pStyle w:val="JTableText"/>
              <w:keepNext w:val="0"/>
            </w:pPr>
            <w:r>
              <w:t>0.77</w:t>
            </w:r>
          </w:p>
        </w:tc>
      </w:tr>
      <w:tr>
        <w:trPr>
          <w:cantSplit/>
        </w:trPr>
        <w:tc>
          <w:tcPr>
            <w:tcW w:type="dxa" w:w="936"/>
            <w:vAlign w:val="center"/>
          </w:tcPr>
          <w:p>
            <w:pPr>
              <w:pStyle w:val="JTableText"/>
              <w:keepNext w:val="0"/>
            </w:pPr>
            <w:r>
              <w:t>ECB</w:t>
            </w:r>
          </w:p>
        </w:tc>
        <w:tc>
          <w:tcPr>
            <w:tcW w:type="dxa" w:w="1337"/>
            <w:vAlign w:val="center"/>
          </w:tcPr>
          <w:p>
            <w:pPr>
              <w:pStyle w:val="JTableText"/>
              <w:keepNext w:val="0"/>
            </w:pPr>
            <w:r>
              <w:t>16 MiB</w:t>
            </w:r>
          </w:p>
        </w:tc>
        <w:tc>
          <w:tcPr>
            <w:tcW w:type="dxa" w:w="1605"/>
            <w:vAlign w:val="center"/>
          </w:tcPr>
          <w:p>
            <w:pPr>
              <w:pStyle w:val="JTableText"/>
              <w:keepNext w:val="0"/>
            </w:pPr>
            <w:r>
              <w:t>1.89</w:t>
            </w:r>
          </w:p>
        </w:tc>
        <w:tc>
          <w:tcPr>
            <w:tcW w:type="dxa" w:w="802"/>
            <w:vAlign w:val="center"/>
          </w:tcPr>
          <w:p>
            <w:pPr>
              <w:pStyle w:val="JTableText"/>
              <w:keepNext w:val="0"/>
            </w:pPr>
            <w:r>
              <w:t>1.77</w:t>
            </w:r>
          </w:p>
        </w:tc>
        <w:tc>
          <w:tcPr>
            <w:tcW w:type="dxa" w:w="1605"/>
            <w:vAlign w:val="center"/>
          </w:tcPr>
          <w:p>
            <w:pPr>
              <w:pStyle w:val="JTableText"/>
              <w:keepNext w:val="0"/>
            </w:pPr>
            <w:r>
              <w:t>0.58</w:t>
            </w:r>
          </w:p>
        </w:tc>
        <w:tc>
          <w:tcPr>
            <w:tcW w:type="dxa" w:w="802"/>
            <w:vAlign w:val="center"/>
          </w:tcPr>
          <w:p>
            <w:pPr>
              <w:pStyle w:val="JTableText"/>
              <w:keepNext w:val="0"/>
            </w:pPr>
            <w:r>
              <w:t>0.42</w:t>
            </w:r>
          </w:p>
        </w:tc>
      </w:tr>
      <w:tr>
        <w:trPr>
          <w:cantSplit/>
        </w:trPr>
        <w:tc>
          <w:tcPr>
            <w:tcW w:type="dxa" w:w="936"/>
            <w:vAlign w:val="center"/>
          </w:tcPr>
          <w:p>
            <w:pPr>
              <w:pStyle w:val="JTableText"/>
              <w:keepNext w:val="0"/>
            </w:pPr>
            <w:r>
              <w:t>ECB</w:t>
            </w:r>
          </w:p>
        </w:tc>
        <w:tc>
          <w:tcPr>
            <w:tcW w:type="dxa" w:w="1337"/>
            <w:vAlign w:val="center"/>
          </w:tcPr>
          <w:p>
            <w:pPr>
              <w:pStyle w:val="JTableText"/>
              <w:keepNext w:val="0"/>
            </w:pPr>
            <w:r>
              <w:t>32 MiB</w:t>
            </w:r>
          </w:p>
        </w:tc>
        <w:tc>
          <w:tcPr>
            <w:tcW w:type="dxa" w:w="1605"/>
            <w:vAlign w:val="center"/>
          </w:tcPr>
          <w:p>
            <w:pPr>
              <w:pStyle w:val="JTableText"/>
              <w:keepNext w:val="0"/>
            </w:pPr>
            <w:r>
              <w:t>2.50</w:t>
            </w:r>
          </w:p>
        </w:tc>
        <w:tc>
          <w:tcPr>
            <w:tcW w:type="dxa" w:w="802"/>
            <w:vAlign w:val="center"/>
          </w:tcPr>
          <w:p>
            <w:pPr>
              <w:pStyle w:val="JTableText"/>
              <w:keepNext w:val="0"/>
            </w:pPr>
            <w:r>
              <w:t>2.52</w:t>
            </w:r>
          </w:p>
        </w:tc>
        <w:tc>
          <w:tcPr>
            <w:tcW w:type="dxa" w:w="1605"/>
            <w:vAlign w:val="center"/>
          </w:tcPr>
          <w:p>
            <w:pPr>
              <w:pStyle w:val="JTableText"/>
              <w:keepNext w:val="0"/>
            </w:pPr>
            <w:r>
              <w:t>0.63</w:t>
            </w:r>
          </w:p>
        </w:tc>
        <w:tc>
          <w:tcPr>
            <w:tcW w:type="dxa" w:w="802"/>
            <w:vAlign w:val="center"/>
          </w:tcPr>
          <w:p>
            <w:pPr>
              <w:pStyle w:val="JTableText"/>
              <w:keepNext w:val="0"/>
            </w:pPr>
            <w:r>
              <w:t>0.64</w:t>
            </w:r>
          </w:p>
        </w:tc>
      </w:tr>
      <w:tr>
        <w:trPr>
          <w:cantSplit/>
        </w:trPr>
        <w:tc>
          <w:tcPr>
            <w:tcW w:type="dxa" w:w="936"/>
            <w:vAlign w:val="center"/>
          </w:tcPr>
          <w:p>
            <w:pPr>
              <w:pStyle w:val="JTableText"/>
              <w:keepNext w:val="0"/>
            </w:pPr>
            <w:r>
              <w:t>CTR</w:t>
            </w:r>
          </w:p>
        </w:tc>
        <w:tc>
          <w:tcPr>
            <w:tcW w:type="dxa" w:w="1337"/>
            <w:vAlign w:val="center"/>
          </w:tcPr>
          <w:p>
            <w:pPr>
              <w:pStyle w:val="JTableText"/>
              <w:keepNext w:val="0"/>
            </w:pPr>
            <w:r>
              <w:t>1 MiB</w:t>
            </w:r>
          </w:p>
        </w:tc>
        <w:tc>
          <w:tcPr>
            <w:tcW w:type="dxa" w:w="1605"/>
            <w:vAlign w:val="center"/>
          </w:tcPr>
          <w:p>
            <w:pPr>
              <w:pStyle w:val="JTableText"/>
              <w:keepNext w:val="0"/>
            </w:pPr>
            <w:r>
              <w:t>3.66</w:t>
            </w:r>
          </w:p>
        </w:tc>
        <w:tc>
          <w:tcPr>
            <w:tcW w:type="dxa" w:w="802"/>
            <w:vAlign w:val="center"/>
          </w:tcPr>
          <w:p>
            <w:pPr>
              <w:pStyle w:val="JTableText"/>
              <w:keepNext w:val="0"/>
            </w:pPr>
            <w:r>
              <w:t>3.54</w:t>
            </w:r>
          </w:p>
        </w:tc>
        <w:tc>
          <w:tcPr>
            <w:tcW w:type="dxa" w:w="1605"/>
            <w:vAlign w:val="center"/>
          </w:tcPr>
          <w:p>
            <w:pPr>
              <w:pStyle w:val="JTableText"/>
              <w:keepNext w:val="0"/>
            </w:pPr>
            <w:r>
              <w:t>0.95</w:t>
            </w:r>
          </w:p>
        </w:tc>
        <w:tc>
          <w:tcPr>
            <w:tcW w:type="dxa" w:w="802"/>
            <w:vAlign w:val="center"/>
          </w:tcPr>
          <w:p>
            <w:pPr>
              <w:pStyle w:val="JTableText"/>
              <w:keepNext w:val="0"/>
            </w:pPr>
            <w:r>
              <w:t>0.91</w:t>
            </w:r>
          </w:p>
        </w:tc>
      </w:tr>
      <w:tr>
        <w:trPr>
          <w:cantSplit/>
        </w:trPr>
        <w:tc>
          <w:tcPr>
            <w:tcW w:type="dxa" w:w="936"/>
            <w:vAlign w:val="center"/>
          </w:tcPr>
          <w:p>
            <w:pPr>
              <w:pStyle w:val="JTableText"/>
              <w:keepNext w:val="0"/>
            </w:pPr>
            <w:r>
              <w:t>CTR</w:t>
            </w:r>
          </w:p>
        </w:tc>
        <w:tc>
          <w:tcPr>
            <w:tcW w:type="dxa" w:w="1337"/>
            <w:vAlign w:val="center"/>
          </w:tcPr>
          <w:p>
            <w:pPr>
              <w:pStyle w:val="JTableText"/>
              <w:keepNext w:val="0"/>
            </w:pPr>
            <w:r>
              <w:t>16 MiB</w:t>
            </w:r>
          </w:p>
        </w:tc>
        <w:tc>
          <w:tcPr>
            <w:tcW w:type="dxa" w:w="1605"/>
            <w:vAlign w:val="center"/>
          </w:tcPr>
          <w:p>
            <w:pPr>
              <w:pStyle w:val="JTableText"/>
              <w:keepNext w:val="0"/>
            </w:pPr>
            <w:r>
              <w:t>2.58</w:t>
            </w:r>
          </w:p>
        </w:tc>
        <w:tc>
          <w:tcPr>
            <w:tcW w:type="dxa" w:w="802"/>
            <w:vAlign w:val="center"/>
          </w:tcPr>
          <w:p>
            <w:pPr>
              <w:pStyle w:val="JTableText"/>
              <w:keepNext w:val="0"/>
            </w:pPr>
            <w:r>
              <w:t>2.51</w:t>
            </w:r>
          </w:p>
        </w:tc>
        <w:tc>
          <w:tcPr>
            <w:tcW w:type="dxa" w:w="1605"/>
            <w:vAlign w:val="center"/>
          </w:tcPr>
          <w:p>
            <w:pPr>
              <w:pStyle w:val="JTableText"/>
              <w:keepNext w:val="0"/>
            </w:pPr>
            <w:r>
              <w:t>0.75</w:t>
            </w:r>
          </w:p>
        </w:tc>
        <w:tc>
          <w:tcPr>
            <w:tcW w:type="dxa" w:w="802"/>
            <w:vAlign w:val="center"/>
          </w:tcPr>
          <w:p>
            <w:pPr>
              <w:pStyle w:val="JTableText"/>
              <w:keepNext w:val="0"/>
            </w:pPr>
            <w:r>
              <w:t>0.74</w:t>
            </w:r>
          </w:p>
        </w:tc>
      </w:tr>
      <w:tr>
        <w:trPr>
          <w:cantSplit/>
        </w:trPr>
        <w:tc>
          <w:tcPr>
            <w:tcW w:type="dxa" w:w="936"/>
            <w:vAlign w:val="center"/>
          </w:tcPr>
          <w:p>
            <w:pPr>
              <w:pStyle w:val="JTableText"/>
              <w:keepNext w:val="0"/>
            </w:pPr>
            <w:r>
              <w:t>CTR</w:t>
            </w:r>
          </w:p>
        </w:tc>
        <w:tc>
          <w:tcPr>
            <w:tcW w:type="dxa" w:w="1337"/>
            <w:vAlign w:val="center"/>
          </w:tcPr>
          <w:p>
            <w:pPr>
              <w:pStyle w:val="JTableText"/>
              <w:keepNext w:val="0"/>
            </w:pPr>
            <w:r>
              <w:t>32 MiB</w:t>
            </w:r>
          </w:p>
        </w:tc>
        <w:tc>
          <w:tcPr>
            <w:tcW w:type="dxa" w:w="1605"/>
            <w:vAlign w:val="center"/>
          </w:tcPr>
          <w:p>
            <w:pPr>
              <w:pStyle w:val="JTableText"/>
              <w:keepNext w:val="0"/>
            </w:pPr>
            <w:r>
              <w:t>3.30</w:t>
            </w:r>
          </w:p>
        </w:tc>
        <w:tc>
          <w:tcPr>
            <w:tcW w:type="dxa" w:w="802"/>
            <w:vAlign w:val="center"/>
          </w:tcPr>
          <w:p>
            <w:pPr>
              <w:pStyle w:val="JTableText"/>
              <w:keepNext w:val="0"/>
            </w:pPr>
            <w:r>
              <w:t>3.40</w:t>
            </w:r>
          </w:p>
        </w:tc>
        <w:tc>
          <w:tcPr>
            <w:tcW w:type="dxa" w:w="1605"/>
            <w:vAlign w:val="center"/>
          </w:tcPr>
          <w:p>
            <w:pPr>
              <w:pStyle w:val="JTableText"/>
              <w:keepNext w:val="0"/>
            </w:pPr>
            <w:r>
              <w:t>0.82</w:t>
            </w:r>
          </w:p>
        </w:tc>
        <w:tc>
          <w:tcPr>
            <w:tcW w:type="dxa" w:w="802"/>
            <w:vAlign w:val="center"/>
          </w:tcPr>
          <w:p>
            <w:pPr>
              <w:pStyle w:val="JTableText"/>
              <w:keepNext w:val="0"/>
            </w:pPr>
            <w:r>
              <w:t>0.83</w:t>
            </w:r>
          </w:p>
        </w:tc>
      </w:tr>
    </w:tbl>
    <w:p w:rsidR="00423302" w:rsidRDefault="00F26942" w:rsidP="00315F32">
      <w:pPr>
        <w:pStyle w:val="JText"/>
      </w:pPr>
      <w:r>
        <w:t>Svi pipeline faktori ostaju ispod jedan. Najbliži je CTR 1 MiB sa 0.95, dok su na 32 MiB CTR faktori 0.82</w:t>
      </w:r>
      <w:r>
        <w:t>–</w:t>
      </w:r>
      <w:r>
        <w:t>0.83, a ECB 0.63</w:t>
      </w:r>
      <w:r>
        <w:t>–</w:t>
      </w:r>
      <w:r>
        <w:t>0.64. Laka CUDA optimizacija v1 ne daje dosledno poboljšanje: u nekim resident slučajevima rezultat raste, ali u ECB 16 MiB pipeline opada. Ovo pokazuje da optimizacija jezgra ne mora automatski poboljšati aplikacioni tok, jer transferi, sinhronizacija i runtime troškovi mogu promeniti zaključak.</w:t>
      </w:r>
    </w:p>
    <w:p w:rsidR="00256C7D" w:rsidRPr="006D7C11" w:rsidRDefault="00256C7D" w:rsidP="00256C7D">
      <w:pPr>
        <w:pStyle w:val="JSubSubTitle"/>
      </w:pPr>
      <w:r>
        <w:t>4.4</w:t>
        <w:tab/>
      </w:r>
      <w:r>
        <w:t>Redukovani prostor ključeva i avalanche demonstracija</w:t>
      </w:r>
    </w:p>
    <w:p w:rsidR="00423302" w:rsidRDefault="00F26942" w:rsidP="00315F32">
      <w:pPr>
        <w:pStyle w:val="JText"/>
      </w:pPr>
      <w:r>
        <w:t>Demonstracija redukovanog prostora ključeva koristi AES-128 ECB sa softverskom putanjom i promenljivih 24 bita ključa. Tajmer uključuje formiranje ključa, novi cipher/key schedule, enkripciju dva bloka, alokaciju, poređenje i stop-on-match kontrolu. Cilj nije optimizovana pretraga punog prostora, već ilustracija eksponencijalnog rasta iscrpne pretrage.</w:t>
      </w:r>
    </w:p>
    <w:p w:rsidR="00B939B1" w:rsidRPr="006D7C11" w:rsidRDefault="00001904" w:rsidP="00B939B1">
      <w:pPr>
        <w:pStyle w:val="JFigure"/>
        <w:keepNext/>
      </w:pPr>
      <w:r>
        <w:rPr>
          <w:b/>
        </w:rPr>
        <w:t>Table 5</w:t>
      </w:r>
      <w:r>
        <w:br/>
      </w:r>
      <w:r>
        <w:rPr>
          <w:i/>
        </w:rPr>
        <w:t>CPU demonstracija pretraživanja redukovanog 24-bitnog prostora AES-128 ključeva.</w:t>
      </w:r>
    </w:p>
    <w:tbl>
      <w:tblPr>
        <w:tblW w:w="7088" w:type="dxa"/>
        <w:jc w:val="center"/>
        <w:tblBorders>
          <w:top w:val="single" w:sz="6" w:space="0" w:color="auto"/>
          <w:left w:val="single" w:sz="6" w:space="0" w:color="auto"/>
          <w:bottom w:val="single" w:sz="6" w:space="0" w:color="auto"/>
          <w:right w:val="single" w:sz="6" w:space="0" w:color="auto"/>
          <w:insideH w:val="single" w:sz="4" w:space="0" w:color="auto"/>
          <w:insideV w:val="single" w:sz="4" w:space="0" w:color="auto"/>
        </w:tblBorders>
        <w:tblLayout w:type="fixed"/>
        <w:tblLook w:val="01E0" w:firstRow="1" w:lastRow="1" w:firstColumn="1" w:lastColumn="1" w:noHBand="0" w:noVBand="0"/>
      </w:tblPr>
      <w:tblGrid>
        <w:gridCol w:w="1541"/>
        <w:gridCol w:w="1849"/>
        <w:gridCol w:w="1695"/>
        <w:gridCol w:w="2003"/>
      </w:tblGrid>
      <w:tr>
        <w:trPr>
          <w:cantSplit/>
          <w:tblHeader/>
        </w:trPr>
        <w:tc>
          <w:tcPr>
            <w:tcW w:type="dxa" w:w="1541"/>
            <w:vAlign w:val="center"/>
          </w:tcPr>
          <w:p>
            <w:pPr>
              <w:pStyle w:val="JTableText"/>
              <w:keepNext/>
            </w:pPr>
            <w:r>
              <w:t>Scenario</w:t>
            </w:r>
          </w:p>
        </w:tc>
        <w:tc>
          <w:tcPr>
            <w:tcW w:type="dxa" w:w="1849"/>
            <w:vAlign w:val="center"/>
          </w:tcPr>
          <w:p>
            <w:pPr>
              <w:pStyle w:val="JTableText"/>
              <w:keepNext/>
            </w:pPr>
            <w:r>
              <w:t>Kandidati</w:t>
            </w:r>
          </w:p>
        </w:tc>
        <w:tc>
          <w:tcPr>
            <w:tcW w:type="dxa" w:w="1695"/>
            <w:vAlign w:val="center"/>
          </w:tcPr>
          <w:p>
            <w:pPr>
              <w:pStyle w:val="JTableText"/>
              <w:keepNext/>
            </w:pPr>
            <w:r>
              <w:t>Vreme (s)</w:t>
            </w:r>
          </w:p>
        </w:tc>
        <w:tc>
          <w:tcPr>
            <w:tcW w:type="dxa" w:w="2003"/>
            <w:vAlign w:val="center"/>
          </w:tcPr>
          <w:p>
            <w:pPr>
              <w:pStyle w:val="JTableText"/>
              <w:keepNext/>
            </w:pPr>
            <w:r>
              <w:t>Kandidata/s</w:t>
            </w:r>
          </w:p>
        </w:tc>
      </w:tr>
      <w:tr>
        <w:trPr>
          <w:cantSplit/>
        </w:trPr>
        <w:tc>
          <w:tcPr>
            <w:tcW w:type="dxa" w:w="1541"/>
            <w:vAlign w:val="center"/>
          </w:tcPr>
          <w:p>
            <w:pPr>
              <w:pStyle w:val="JTableText"/>
              <w:keepNext w:val="0"/>
            </w:pPr>
            <w:r>
              <w:t>start</w:t>
            </w:r>
          </w:p>
        </w:tc>
        <w:tc>
          <w:tcPr>
            <w:tcW w:type="dxa" w:w="1849"/>
            <w:vAlign w:val="center"/>
          </w:tcPr>
          <w:p>
            <w:pPr>
              <w:pStyle w:val="JTableText"/>
              <w:keepNext w:val="0"/>
            </w:pPr>
            <w:r>
              <w:t>1</w:t>
            </w:r>
          </w:p>
        </w:tc>
        <w:tc>
          <w:tcPr>
            <w:tcW w:type="dxa" w:w="1695"/>
            <w:vAlign w:val="center"/>
          </w:tcPr>
          <w:p>
            <w:pPr>
              <w:pStyle w:val="JTableText"/>
              <w:keepNext w:val="0"/>
            </w:pPr>
            <w:r>
              <w:t>0.0000088</w:t>
            </w:r>
          </w:p>
        </w:tc>
        <w:tc>
          <w:tcPr>
            <w:tcW w:type="dxa" w:w="2003"/>
            <w:vAlign w:val="center"/>
          </w:tcPr>
          <w:p>
            <w:pPr>
              <w:pStyle w:val="JTableText"/>
              <w:keepNext w:val="0"/>
            </w:pPr>
            <w:r>
              <w:t>113</w:t>
            </w:r>
            <w:r>
              <w:t xml:space="preserve"> </w:t>
            </w:r>
            <w:r>
              <w:t>636</w:t>
            </w:r>
          </w:p>
        </w:tc>
      </w:tr>
      <w:tr>
        <w:trPr>
          <w:cantSplit/>
        </w:trPr>
        <w:tc>
          <w:tcPr>
            <w:tcW w:type="dxa" w:w="1541"/>
            <w:vAlign w:val="center"/>
          </w:tcPr>
          <w:p>
            <w:pPr>
              <w:pStyle w:val="JTableText"/>
              <w:keepNext w:val="0"/>
            </w:pPr>
            <w:r>
              <w:t>middle</w:t>
            </w:r>
          </w:p>
        </w:tc>
        <w:tc>
          <w:tcPr>
            <w:tcW w:type="dxa" w:w="1849"/>
            <w:vAlign w:val="center"/>
          </w:tcPr>
          <w:p>
            <w:pPr>
              <w:pStyle w:val="JTableText"/>
              <w:keepNext w:val="0"/>
            </w:pPr>
            <w:r>
              <w:t>8</w:t>
            </w:r>
            <w:r>
              <w:t xml:space="preserve"> </w:t>
            </w:r>
            <w:r>
              <w:t>388</w:t>
            </w:r>
            <w:r>
              <w:t xml:space="preserve"> </w:t>
            </w:r>
            <w:r>
              <w:t>609</w:t>
            </w:r>
          </w:p>
        </w:tc>
        <w:tc>
          <w:tcPr>
            <w:tcW w:type="dxa" w:w="1695"/>
            <w:vAlign w:val="center"/>
          </w:tcPr>
          <w:p>
            <w:pPr>
              <w:pStyle w:val="JTableText"/>
              <w:keepNext w:val="0"/>
            </w:pPr>
            <w:r>
              <w:t>54.38</w:t>
            </w:r>
          </w:p>
        </w:tc>
        <w:tc>
          <w:tcPr>
            <w:tcW w:type="dxa" w:w="2003"/>
            <w:vAlign w:val="center"/>
          </w:tcPr>
          <w:p>
            <w:pPr>
              <w:pStyle w:val="JTableText"/>
              <w:keepNext w:val="0"/>
            </w:pPr>
            <w:r>
              <w:t>154</w:t>
            </w:r>
            <w:r>
              <w:t xml:space="preserve"> </w:t>
            </w:r>
            <w:r>
              <w:t>263</w:t>
            </w:r>
          </w:p>
        </w:tc>
      </w:tr>
      <w:tr>
        <w:trPr>
          <w:cantSplit/>
        </w:trPr>
        <w:tc>
          <w:tcPr>
            <w:tcW w:type="dxa" w:w="1541"/>
            <w:vAlign w:val="center"/>
          </w:tcPr>
          <w:p>
            <w:pPr>
              <w:pStyle w:val="JTableText"/>
              <w:keepNext w:val="0"/>
            </w:pPr>
            <w:r>
              <w:t>end</w:t>
            </w:r>
          </w:p>
        </w:tc>
        <w:tc>
          <w:tcPr>
            <w:tcW w:type="dxa" w:w="1849"/>
            <w:vAlign w:val="center"/>
          </w:tcPr>
          <w:p>
            <w:pPr>
              <w:pStyle w:val="JTableText"/>
              <w:keepNext w:val="0"/>
            </w:pPr>
            <w:r>
              <w:t>16</w:t>
            </w:r>
            <w:r>
              <w:t xml:space="preserve"> </w:t>
            </w:r>
            <w:r>
              <w:t>777</w:t>
            </w:r>
            <w:r>
              <w:t xml:space="preserve"> </w:t>
            </w:r>
            <w:r>
              <w:t>216</w:t>
            </w:r>
          </w:p>
        </w:tc>
        <w:tc>
          <w:tcPr>
            <w:tcW w:type="dxa" w:w="1695"/>
            <w:vAlign w:val="center"/>
          </w:tcPr>
          <w:p>
            <w:pPr>
              <w:pStyle w:val="JTableText"/>
              <w:keepNext w:val="0"/>
            </w:pPr>
            <w:r>
              <w:t>109.01</w:t>
            </w:r>
          </w:p>
        </w:tc>
        <w:tc>
          <w:tcPr>
            <w:tcW w:type="dxa" w:w="2003"/>
            <w:vAlign w:val="center"/>
          </w:tcPr>
          <w:p>
            <w:pPr>
              <w:pStyle w:val="JTableText"/>
              <w:keepNext w:val="0"/>
            </w:pPr>
            <w:r>
              <w:t>153</w:t>
            </w:r>
            <w:r>
              <w:t xml:space="preserve"> </w:t>
            </w:r>
            <w:r>
              <w:t>903</w:t>
            </w:r>
          </w:p>
        </w:tc>
      </w:tr>
      <w:tr>
        <w:trPr>
          <w:cantSplit/>
        </w:trPr>
        <w:tc>
          <w:tcPr>
            <w:tcW w:type="dxa" w:w="1541"/>
            <w:vAlign w:val="center"/>
          </w:tcPr>
          <w:p>
            <w:pPr>
              <w:pStyle w:val="JTableText"/>
              <w:keepNext w:val="0"/>
            </w:pPr>
            <w:r>
              <w:t>random</w:t>
            </w:r>
          </w:p>
        </w:tc>
        <w:tc>
          <w:tcPr>
            <w:tcW w:type="dxa" w:w="1849"/>
            <w:vAlign w:val="center"/>
          </w:tcPr>
          <w:p>
            <w:pPr>
              <w:pStyle w:val="JTableText"/>
              <w:keepNext w:val="0"/>
            </w:pPr>
            <w:r>
              <w:t>6</w:t>
            </w:r>
            <w:r>
              <w:t xml:space="preserve"> </w:t>
            </w:r>
            <w:r>
              <w:t>800</w:t>
            </w:r>
            <w:r>
              <w:t xml:space="preserve"> </w:t>
            </w:r>
            <w:r>
              <w:t>733</w:t>
            </w:r>
          </w:p>
        </w:tc>
        <w:tc>
          <w:tcPr>
            <w:tcW w:type="dxa" w:w="1695"/>
            <w:vAlign w:val="center"/>
          </w:tcPr>
          <w:p>
            <w:pPr>
              <w:pStyle w:val="JTableText"/>
              <w:keepNext w:val="0"/>
            </w:pPr>
            <w:r>
              <w:t>43.00</w:t>
            </w:r>
          </w:p>
        </w:tc>
        <w:tc>
          <w:tcPr>
            <w:tcW w:type="dxa" w:w="2003"/>
            <w:vAlign w:val="center"/>
          </w:tcPr>
          <w:p>
            <w:pPr>
              <w:pStyle w:val="JTableText"/>
              <w:keepNext w:val="0"/>
            </w:pPr>
            <w:r>
              <w:t>154</w:t>
            </w:r>
            <w:r>
              <w:t xml:space="preserve"> </w:t>
            </w:r>
            <w:r>
              <w:t>079</w:t>
            </w:r>
          </w:p>
        </w:tc>
      </w:tr>
    </w:tbl>
    <w:p w:rsidR="00423302" w:rsidRDefault="00F26942" w:rsidP="00315F32">
      <w:pPr>
        <w:pStyle w:val="JText"/>
      </w:pPr>
      <w:r>
        <w:t>End scenario obilazi ceo redukovani prostor za oko 109 s pri 153.9 hiljada kandidata/s i jedini je osnov za linearne ekstrapolacije. Međutim, ta stopa nije DES/TDEA/GPU stopa, niti procena paralelnih farmi, ASIC/FPGA ili specifičnih kriptoanalitičkih napada. Double-DES meet-in-the-middle menja model napada i zahteva poseban protokol vremena, memorije i lažnih pogodaka, pa nije uključen u ovu studiju.</w:t>
      </w:r>
    </w:p>
    <w:p w:rsidR="00423302" w:rsidRDefault="00F26942" w:rsidP="00315F32">
      <w:pPr>
        <w:pStyle w:val="JText"/>
      </w:pPr>
      <w:r>
        <w:t>Avalanche demonstracija meri Hammingovo rastojanje između osnovnog bloka šifrata i bloka dobijenog nakon promene jednog bita plaintext-a ili jednog efektivnog bita ključa. Ideja difuzije prati klasično razumevanje rasprostiranja statističke zavisnosti u kriptografskim sistemima (Shannon, 1949). Rezultat se normalizuje veličinom bloka: 64 bita za DES/TDEA i 128 bita za AES.</w:t>
      </w:r>
    </w:p>
    <w:p w:rsidR="00B939B1" w:rsidRPr="006D7C11" w:rsidRDefault="00001904" w:rsidP="00B939B1">
      <w:pPr>
        <w:pStyle w:val="JFigure"/>
        <w:keepNext/>
      </w:pPr>
      <w:r>
        <w:rPr>
          <w:b/>
        </w:rPr>
        <w:t>Table 6</w:t>
      </w:r>
      <w:r>
        <w:br/>
      </w:r>
      <w:r>
        <w:rPr>
          <w:i/>
        </w:rPr>
        <w:t>Raspodele avalanche efekta pri promeni jednog bita otvorenog teksta (P) ili efektivnog ključa (K).</w:t>
      </w:r>
    </w:p>
    <w:tbl>
      <w:tblPr>
        <w:tblW w:w="7088" w:type="dxa"/>
        <w:jc w:val="center"/>
        <w:tblBorders>
          <w:top w:val="single" w:sz="6" w:space="0" w:color="auto"/>
          <w:left w:val="single" w:sz="6" w:space="0" w:color="auto"/>
          <w:bottom w:val="single" w:sz="6" w:space="0" w:color="auto"/>
          <w:right w:val="single" w:sz="6" w:space="0" w:color="auto"/>
          <w:insideH w:val="single" w:sz="4" w:space="0" w:color="auto"/>
          <w:insideV w:val="single" w:sz="4" w:space="0" w:color="auto"/>
        </w:tblBorders>
        <w:tblLayout w:type="fixed"/>
        <w:tblLook w:val="01E0" w:firstRow="1" w:lastRow="1" w:firstColumn="1" w:lastColumn="1" w:noHBand="0" w:noVBand="0"/>
      </w:tblPr>
      <w:tblGrid>
        <w:gridCol w:w="1163"/>
        <w:gridCol w:w="635"/>
        <w:gridCol w:w="635"/>
        <w:gridCol w:w="952"/>
        <w:gridCol w:w="1058"/>
        <w:gridCol w:w="1269"/>
        <w:gridCol w:w="1375"/>
      </w:tblGrid>
      <w:tr>
        <w:trPr>
          <w:cantSplit/>
          <w:tblHeader/>
        </w:trPr>
        <w:tc>
          <w:tcPr>
            <w:tcW w:type="dxa" w:w="1163"/>
            <w:vAlign w:val="center"/>
          </w:tcPr>
          <w:p>
            <w:pPr>
              <w:pStyle w:val="JTableText"/>
              <w:keepNext/>
            </w:pPr>
            <w:r>
              <w:t>Algoritam</w:t>
            </w:r>
          </w:p>
        </w:tc>
        <w:tc>
          <w:tcPr>
            <w:tcW w:type="dxa" w:w="635"/>
            <w:vAlign w:val="center"/>
          </w:tcPr>
          <w:p>
            <w:pPr>
              <w:pStyle w:val="JTableText"/>
              <w:keepNext/>
            </w:pPr>
            <w:r>
              <w:t>Var.</w:t>
            </w:r>
          </w:p>
        </w:tc>
        <w:tc>
          <w:tcPr>
            <w:tcW w:type="dxa" w:w="635"/>
            <w:vAlign w:val="center"/>
          </w:tcPr>
          <w:p>
            <w:pPr>
              <w:pStyle w:val="JTableText"/>
              <w:keepNext/>
            </w:pPr>
            <w:r>
              <w:t>Blok</w:t>
            </w:r>
          </w:p>
        </w:tc>
        <w:tc>
          <w:tcPr>
            <w:tcW w:type="dxa" w:w="952"/>
            <w:vAlign w:val="center"/>
          </w:tcPr>
          <w:p>
            <w:pPr>
              <w:pStyle w:val="JTableText"/>
              <w:keepNext/>
            </w:pPr>
            <w:r>
              <w:t>Med. HD</w:t>
            </w:r>
          </w:p>
        </w:tc>
        <w:tc>
          <w:tcPr>
            <w:tcW w:type="dxa" w:w="1058"/>
            <w:vAlign w:val="center"/>
          </w:tcPr>
          <w:p>
            <w:pPr>
              <w:pStyle w:val="JTableText"/>
              <w:keepNext/>
            </w:pPr>
            <w:r>
              <w:t>Pros. HD</w:t>
            </w:r>
          </w:p>
        </w:tc>
        <w:tc>
          <w:tcPr>
            <w:tcW w:type="dxa" w:w="1269"/>
            <w:vAlign w:val="center"/>
          </w:tcPr>
          <w:p>
            <w:pPr>
              <w:pStyle w:val="JTableText"/>
              <w:keepNext/>
            </w:pPr>
            <w:r>
              <w:t>Med. norm.</w:t>
            </w:r>
          </w:p>
        </w:tc>
        <w:tc>
          <w:tcPr>
            <w:tcW w:type="dxa" w:w="1375"/>
            <w:vAlign w:val="center"/>
          </w:tcPr>
          <w:p>
            <w:pPr>
              <w:pStyle w:val="JTableText"/>
              <w:keepNext/>
            </w:pPr>
            <w:r>
              <w:t>Pros. norm.</w:t>
            </w:r>
          </w:p>
        </w:tc>
      </w:tr>
      <w:tr>
        <w:trPr>
          <w:cantSplit/>
        </w:trPr>
        <w:tc>
          <w:tcPr>
            <w:tcW w:type="dxa" w:w="1163"/>
            <w:vAlign w:val="center"/>
          </w:tcPr>
          <w:p>
            <w:pPr>
              <w:pStyle w:val="JTableText"/>
              <w:keepNext w:val="0"/>
            </w:pPr>
            <w:r>
              <w:t>DES</w:t>
            </w:r>
          </w:p>
        </w:tc>
        <w:tc>
          <w:tcPr>
            <w:tcW w:type="dxa" w:w="635"/>
            <w:vAlign w:val="center"/>
          </w:tcPr>
          <w:p>
            <w:pPr>
              <w:pStyle w:val="JTableText"/>
              <w:keepNext w:val="0"/>
            </w:pPr>
            <w:r>
              <w:t>P</w:t>
            </w:r>
          </w:p>
        </w:tc>
        <w:tc>
          <w:tcPr>
            <w:tcW w:type="dxa" w:w="635"/>
            <w:vAlign w:val="center"/>
          </w:tcPr>
          <w:p>
            <w:pPr>
              <w:pStyle w:val="JTableText"/>
              <w:keepNext w:val="0"/>
            </w:pPr>
            <w:r>
              <w:t>64</w:t>
            </w:r>
          </w:p>
        </w:tc>
        <w:tc>
          <w:tcPr>
            <w:tcW w:type="dxa" w:w="952"/>
            <w:vAlign w:val="center"/>
          </w:tcPr>
          <w:p>
            <w:pPr>
              <w:pStyle w:val="JTableText"/>
              <w:keepNext w:val="0"/>
            </w:pPr>
            <w:r>
              <w:t>32</w:t>
            </w:r>
          </w:p>
        </w:tc>
        <w:tc>
          <w:tcPr>
            <w:tcW w:type="dxa" w:w="1058"/>
            <w:vAlign w:val="center"/>
          </w:tcPr>
          <w:p>
            <w:pPr>
              <w:pStyle w:val="JTableText"/>
              <w:keepNext w:val="0"/>
            </w:pPr>
            <w:r>
              <w:t>32.02</w:t>
            </w:r>
          </w:p>
        </w:tc>
        <w:tc>
          <w:tcPr>
            <w:tcW w:type="dxa" w:w="1269"/>
            <w:vAlign w:val="center"/>
          </w:tcPr>
          <w:p>
            <w:pPr>
              <w:pStyle w:val="JTableText"/>
              <w:keepNext w:val="0"/>
            </w:pPr>
            <w:r>
              <w:t>0.50</w:t>
            </w:r>
          </w:p>
        </w:tc>
        <w:tc>
          <w:tcPr>
            <w:tcW w:type="dxa" w:w="1375"/>
            <w:vAlign w:val="center"/>
          </w:tcPr>
          <w:p>
            <w:pPr>
              <w:pStyle w:val="JTableText"/>
              <w:keepNext w:val="0"/>
            </w:pPr>
            <w:r>
              <w:t>0.5003</w:t>
            </w:r>
          </w:p>
        </w:tc>
      </w:tr>
      <w:tr>
        <w:trPr>
          <w:cantSplit/>
        </w:trPr>
        <w:tc>
          <w:tcPr>
            <w:tcW w:type="dxa" w:w="1163"/>
            <w:vAlign w:val="center"/>
          </w:tcPr>
          <w:p>
            <w:pPr>
              <w:pStyle w:val="JTableText"/>
              <w:keepNext w:val="0"/>
            </w:pPr>
            <w:r>
              <w:t>DES</w:t>
            </w:r>
          </w:p>
        </w:tc>
        <w:tc>
          <w:tcPr>
            <w:tcW w:type="dxa" w:w="635"/>
            <w:vAlign w:val="center"/>
          </w:tcPr>
          <w:p>
            <w:pPr>
              <w:pStyle w:val="JTableText"/>
              <w:keepNext w:val="0"/>
            </w:pPr>
            <w:r>
              <w:t>K</w:t>
            </w:r>
          </w:p>
        </w:tc>
        <w:tc>
          <w:tcPr>
            <w:tcW w:type="dxa" w:w="635"/>
            <w:vAlign w:val="center"/>
          </w:tcPr>
          <w:p>
            <w:pPr>
              <w:pStyle w:val="JTableText"/>
              <w:keepNext w:val="0"/>
            </w:pPr>
            <w:r>
              <w:t>64</w:t>
            </w:r>
          </w:p>
        </w:tc>
        <w:tc>
          <w:tcPr>
            <w:tcW w:type="dxa" w:w="952"/>
            <w:vAlign w:val="center"/>
          </w:tcPr>
          <w:p>
            <w:pPr>
              <w:pStyle w:val="JTableText"/>
              <w:keepNext w:val="0"/>
            </w:pPr>
            <w:r>
              <w:t>32</w:t>
            </w:r>
          </w:p>
        </w:tc>
        <w:tc>
          <w:tcPr>
            <w:tcW w:type="dxa" w:w="1058"/>
            <w:vAlign w:val="center"/>
          </w:tcPr>
          <w:p>
            <w:pPr>
              <w:pStyle w:val="JTableText"/>
              <w:keepNext w:val="0"/>
            </w:pPr>
            <w:r>
              <w:t>31.94</w:t>
            </w:r>
          </w:p>
        </w:tc>
        <w:tc>
          <w:tcPr>
            <w:tcW w:type="dxa" w:w="1269"/>
            <w:vAlign w:val="center"/>
          </w:tcPr>
          <w:p>
            <w:pPr>
              <w:pStyle w:val="JTableText"/>
              <w:keepNext w:val="0"/>
            </w:pPr>
            <w:r>
              <w:t>0.50</w:t>
            </w:r>
          </w:p>
        </w:tc>
        <w:tc>
          <w:tcPr>
            <w:tcW w:type="dxa" w:w="1375"/>
            <w:vAlign w:val="center"/>
          </w:tcPr>
          <w:p>
            <w:pPr>
              <w:pStyle w:val="JTableText"/>
              <w:keepNext w:val="0"/>
            </w:pPr>
            <w:r>
              <w:t>0.4990</w:t>
            </w:r>
          </w:p>
        </w:tc>
      </w:tr>
      <w:tr>
        <w:trPr>
          <w:cantSplit/>
        </w:trPr>
        <w:tc>
          <w:tcPr>
            <w:tcW w:type="dxa" w:w="1163"/>
            <w:vAlign w:val="center"/>
          </w:tcPr>
          <w:p>
            <w:pPr>
              <w:pStyle w:val="JTableText"/>
              <w:keepNext w:val="0"/>
            </w:pPr>
            <w:r>
              <w:t>TDEA</w:t>
            </w:r>
          </w:p>
        </w:tc>
        <w:tc>
          <w:tcPr>
            <w:tcW w:type="dxa" w:w="635"/>
            <w:vAlign w:val="center"/>
          </w:tcPr>
          <w:p>
            <w:pPr>
              <w:pStyle w:val="JTableText"/>
              <w:keepNext w:val="0"/>
            </w:pPr>
            <w:r>
              <w:t>P</w:t>
            </w:r>
          </w:p>
        </w:tc>
        <w:tc>
          <w:tcPr>
            <w:tcW w:type="dxa" w:w="635"/>
            <w:vAlign w:val="center"/>
          </w:tcPr>
          <w:p>
            <w:pPr>
              <w:pStyle w:val="JTableText"/>
              <w:keepNext w:val="0"/>
            </w:pPr>
            <w:r>
              <w:t>64</w:t>
            </w:r>
          </w:p>
        </w:tc>
        <w:tc>
          <w:tcPr>
            <w:tcW w:type="dxa" w:w="952"/>
            <w:vAlign w:val="center"/>
          </w:tcPr>
          <w:p>
            <w:pPr>
              <w:pStyle w:val="JTableText"/>
              <w:keepNext w:val="0"/>
            </w:pPr>
            <w:r>
              <w:t>32</w:t>
            </w:r>
          </w:p>
        </w:tc>
        <w:tc>
          <w:tcPr>
            <w:tcW w:type="dxa" w:w="1058"/>
            <w:vAlign w:val="center"/>
          </w:tcPr>
          <w:p>
            <w:pPr>
              <w:pStyle w:val="JTableText"/>
              <w:keepNext w:val="0"/>
            </w:pPr>
            <w:r>
              <w:t>31.97</w:t>
            </w:r>
          </w:p>
        </w:tc>
        <w:tc>
          <w:tcPr>
            <w:tcW w:type="dxa" w:w="1269"/>
            <w:vAlign w:val="center"/>
          </w:tcPr>
          <w:p>
            <w:pPr>
              <w:pStyle w:val="JTableText"/>
              <w:keepNext w:val="0"/>
            </w:pPr>
            <w:r>
              <w:t>0.50</w:t>
            </w:r>
          </w:p>
        </w:tc>
        <w:tc>
          <w:tcPr>
            <w:tcW w:type="dxa" w:w="1375"/>
            <w:vAlign w:val="center"/>
          </w:tcPr>
          <w:p>
            <w:pPr>
              <w:pStyle w:val="JTableText"/>
              <w:keepNext w:val="0"/>
            </w:pPr>
            <w:r>
              <w:t>0.4995</w:t>
            </w:r>
          </w:p>
        </w:tc>
      </w:tr>
      <w:tr>
        <w:trPr>
          <w:cantSplit/>
        </w:trPr>
        <w:tc>
          <w:tcPr>
            <w:tcW w:type="dxa" w:w="1163"/>
            <w:vAlign w:val="center"/>
          </w:tcPr>
          <w:p>
            <w:pPr>
              <w:pStyle w:val="JTableText"/>
              <w:keepNext w:val="0"/>
            </w:pPr>
            <w:r>
              <w:t>TDEA</w:t>
            </w:r>
          </w:p>
        </w:tc>
        <w:tc>
          <w:tcPr>
            <w:tcW w:type="dxa" w:w="635"/>
            <w:vAlign w:val="center"/>
          </w:tcPr>
          <w:p>
            <w:pPr>
              <w:pStyle w:val="JTableText"/>
              <w:keepNext w:val="0"/>
            </w:pPr>
            <w:r>
              <w:t>K</w:t>
            </w:r>
          </w:p>
        </w:tc>
        <w:tc>
          <w:tcPr>
            <w:tcW w:type="dxa" w:w="635"/>
            <w:vAlign w:val="center"/>
          </w:tcPr>
          <w:p>
            <w:pPr>
              <w:pStyle w:val="JTableText"/>
              <w:keepNext w:val="0"/>
            </w:pPr>
            <w:r>
              <w:t>64</w:t>
            </w:r>
          </w:p>
        </w:tc>
        <w:tc>
          <w:tcPr>
            <w:tcW w:type="dxa" w:w="952"/>
            <w:vAlign w:val="center"/>
          </w:tcPr>
          <w:p>
            <w:pPr>
              <w:pStyle w:val="JTableText"/>
              <w:keepNext w:val="0"/>
            </w:pPr>
            <w:r>
              <w:t>32</w:t>
            </w:r>
          </w:p>
        </w:tc>
        <w:tc>
          <w:tcPr>
            <w:tcW w:type="dxa" w:w="1058"/>
            <w:vAlign w:val="center"/>
          </w:tcPr>
          <w:p>
            <w:pPr>
              <w:pStyle w:val="JTableText"/>
              <w:keepNext w:val="0"/>
            </w:pPr>
            <w:r>
              <w:t>32.02</w:t>
            </w:r>
          </w:p>
        </w:tc>
        <w:tc>
          <w:tcPr>
            <w:tcW w:type="dxa" w:w="1269"/>
            <w:vAlign w:val="center"/>
          </w:tcPr>
          <w:p>
            <w:pPr>
              <w:pStyle w:val="JTableText"/>
              <w:keepNext w:val="0"/>
            </w:pPr>
            <w:r>
              <w:t>0.50</w:t>
            </w:r>
          </w:p>
        </w:tc>
        <w:tc>
          <w:tcPr>
            <w:tcW w:type="dxa" w:w="1375"/>
            <w:vAlign w:val="center"/>
          </w:tcPr>
          <w:p>
            <w:pPr>
              <w:pStyle w:val="JTableText"/>
              <w:keepNext w:val="0"/>
            </w:pPr>
            <w:r>
              <w:t>0.5004</w:t>
            </w:r>
          </w:p>
        </w:tc>
      </w:tr>
      <w:tr>
        <w:trPr>
          <w:cantSplit/>
        </w:trPr>
        <w:tc>
          <w:tcPr>
            <w:tcW w:type="dxa" w:w="1163"/>
            <w:vAlign w:val="center"/>
          </w:tcPr>
          <w:p>
            <w:pPr>
              <w:pStyle w:val="JTableText"/>
              <w:keepNext w:val="0"/>
            </w:pPr>
            <w:r>
              <w:t>AES-128</w:t>
            </w:r>
          </w:p>
        </w:tc>
        <w:tc>
          <w:tcPr>
            <w:tcW w:type="dxa" w:w="635"/>
            <w:vAlign w:val="center"/>
          </w:tcPr>
          <w:p>
            <w:pPr>
              <w:pStyle w:val="JTableText"/>
              <w:keepNext w:val="0"/>
            </w:pPr>
            <w:r>
              <w:t>P</w:t>
            </w:r>
          </w:p>
        </w:tc>
        <w:tc>
          <w:tcPr>
            <w:tcW w:type="dxa" w:w="635"/>
            <w:vAlign w:val="center"/>
          </w:tcPr>
          <w:p>
            <w:pPr>
              <w:pStyle w:val="JTableText"/>
              <w:keepNext w:val="0"/>
            </w:pPr>
            <w:r>
              <w:t>128</w:t>
            </w:r>
          </w:p>
        </w:tc>
        <w:tc>
          <w:tcPr>
            <w:tcW w:type="dxa" w:w="952"/>
            <w:vAlign w:val="center"/>
          </w:tcPr>
          <w:p>
            <w:pPr>
              <w:pStyle w:val="JTableText"/>
              <w:keepNext w:val="0"/>
            </w:pPr>
            <w:r>
              <w:t>64</w:t>
            </w:r>
          </w:p>
        </w:tc>
        <w:tc>
          <w:tcPr>
            <w:tcW w:type="dxa" w:w="1058"/>
            <w:vAlign w:val="center"/>
          </w:tcPr>
          <w:p>
            <w:pPr>
              <w:pStyle w:val="JTableText"/>
              <w:keepNext w:val="0"/>
            </w:pPr>
            <w:r>
              <w:t>63.99</w:t>
            </w:r>
          </w:p>
        </w:tc>
        <w:tc>
          <w:tcPr>
            <w:tcW w:type="dxa" w:w="1269"/>
            <w:vAlign w:val="center"/>
          </w:tcPr>
          <w:p>
            <w:pPr>
              <w:pStyle w:val="JTableText"/>
              <w:keepNext w:val="0"/>
            </w:pPr>
            <w:r>
              <w:t>0.50</w:t>
            </w:r>
          </w:p>
        </w:tc>
        <w:tc>
          <w:tcPr>
            <w:tcW w:type="dxa" w:w="1375"/>
            <w:vAlign w:val="center"/>
          </w:tcPr>
          <w:p>
            <w:pPr>
              <w:pStyle w:val="JTableText"/>
              <w:keepNext w:val="0"/>
            </w:pPr>
            <w:r>
              <w:t>0.4999</w:t>
            </w:r>
          </w:p>
        </w:tc>
      </w:tr>
      <w:tr>
        <w:trPr>
          <w:cantSplit/>
        </w:trPr>
        <w:tc>
          <w:tcPr>
            <w:tcW w:type="dxa" w:w="1163"/>
            <w:vAlign w:val="center"/>
          </w:tcPr>
          <w:p>
            <w:pPr>
              <w:pStyle w:val="JTableText"/>
              <w:keepNext w:val="0"/>
            </w:pPr>
            <w:r>
              <w:t>AES-128</w:t>
            </w:r>
          </w:p>
        </w:tc>
        <w:tc>
          <w:tcPr>
            <w:tcW w:type="dxa" w:w="635"/>
            <w:vAlign w:val="center"/>
          </w:tcPr>
          <w:p>
            <w:pPr>
              <w:pStyle w:val="JTableText"/>
              <w:keepNext w:val="0"/>
            </w:pPr>
            <w:r>
              <w:t>K</w:t>
            </w:r>
          </w:p>
        </w:tc>
        <w:tc>
          <w:tcPr>
            <w:tcW w:type="dxa" w:w="635"/>
            <w:vAlign w:val="center"/>
          </w:tcPr>
          <w:p>
            <w:pPr>
              <w:pStyle w:val="JTableText"/>
              <w:keepNext w:val="0"/>
            </w:pPr>
            <w:r>
              <w:t>128</w:t>
            </w:r>
          </w:p>
        </w:tc>
        <w:tc>
          <w:tcPr>
            <w:tcW w:type="dxa" w:w="952"/>
            <w:vAlign w:val="center"/>
          </w:tcPr>
          <w:p>
            <w:pPr>
              <w:pStyle w:val="JTableText"/>
              <w:keepNext w:val="0"/>
            </w:pPr>
            <w:r>
              <w:t>64</w:t>
            </w:r>
          </w:p>
        </w:tc>
        <w:tc>
          <w:tcPr>
            <w:tcW w:type="dxa" w:w="1058"/>
            <w:vAlign w:val="center"/>
          </w:tcPr>
          <w:p>
            <w:pPr>
              <w:pStyle w:val="JTableText"/>
              <w:keepNext w:val="0"/>
            </w:pPr>
            <w:r>
              <w:t>63.99</w:t>
            </w:r>
          </w:p>
        </w:tc>
        <w:tc>
          <w:tcPr>
            <w:tcW w:type="dxa" w:w="1269"/>
            <w:vAlign w:val="center"/>
          </w:tcPr>
          <w:p>
            <w:pPr>
              <w:pStyle w:val="JTableText"/>
              <w:keepNext w:val="0"/>
            </w:pPr>
            <w:r>
              <w:t>0.50</w:t>
            </w:r>
          </w:p>
        </w:tc>
        <w:tc>
          <w:tcPr>
            <w:tcW w:type="dxa" w:w="1375"/>
            <w:vAlign w:val="center"/>
          </w:tcPr>
          <w:p>
            <w:pPr>
              <w:pStyle w:val="JTableText"/>
              <w:keepNext w:val="0"/>
            </w:pPr>
            <w:r>
              <w:t>0.4999</w:t>
            </w:r>
          </w:p>
        </w:tc>
      </w:tr>
      <w:tr>
        <w:trPr>
          <w:cantSplit/>
        </w:trPr>
        <w:tc>
          <w:tcPr>
            <w:tcW w:type="dxa" w:w="1163"/>
            <w:vAlign w:val="center"/>
          </w:tcPr>
          <w:p>
            <w:pPr>
              <w:pStyle w:val="JTableText"/>
              <w:keepNext w:val="0"/>
            </w:pPr>
            <w:r>
              <w:t>AES-192</w:t>
            </w:r>
          </w:p>
        </w:tc>
        <w:tc>
          <w:tcPr>
            <w:tcW w:type="dxa" w:w="635"/>
            <w:vAlign w:val="center"/>
          </w:tcPr>
          <w:p>
            <w:pPr>
              <w:pStyle w:val="JTableText"/>
              <w:keepNext w:val="0"/>
            </w:pPr>
            <w:r>
              <w:t>P</w:t>
            </w:r>
          </w:p>
        </w:tc>
        <w:tc>
          <w:tcPr>
            <w:tcW w:type="dxa" w:w="635"/>
            <w:vAlign w:val="center"/>
          </w:tcPr>
          <w:p>
            <w:pPr>
              <w:pStyle w:val="JTableText"/>
              <w:keepNext w:val="0"/>
            </w:pPr>
            <w:r>
              <w:t>128</w:t>
            </w:r>
          </w:p>
        </w:tc>
        <w:tc>
          <w:tcPr>
            <w:tcW w:type="dxa" w:w="952"/>
            <w:vAlign w:val="center"/>
          </w:tcPr>
          <w:p>
            <w:pPr>
              <w:pStyle w:val="JTableText"/>
              <w:keepNext w:val="0"/>
            </w:pPr>
            <w:r>
              <w:t>64</w:t>
            </w:r>
          </w:p>
        </w:tc>
        <w:tc>
          <w:tcPr>
            <w:tcW w:type="dxa" w:w="1058"/>
            <w:vAlign w:val="center"/>
          </w:tcPr>
          <w:p>
            <w:pPr>
              <w:pStyle w:val="JTableText"/>
              <w:keepNext w:val="0"/>
            </w:pPr>
            <w:r>
              <w:t>64.03</w:t>
            </w:r>
          </w:p>
        </w:tc>
        <w:tc>
          <w:tcPr>
            <w:tcW w:type="dxa" w:w="1269"/>
            <w:vAlign w:val="center"/>
          </w:tcPr>
          <w:p>
            <w:pPr>
              <w:pStyle w:val="JTableText"/>
              <w:keepNext w:val="0"/>
            </w:pPr>
            <w:r>
              <w:t>0.50</w:t>
            </w:r>
          </w:p>
        </w:tc>
        <w:tc>
          <w:tcPr>
            <w:tcW w:type="dxa" w:w="1375"/>
            <w:vAlign w:val="center"/>
          </w:tcPr>
          <w:p>
            <w:pPr>
              <w:pStyle w:val="JTableText"/>
              <w:keepNext w:val="0"/>
            </w:pPr>
            <w:r>
              <w:t>0.5002</w:t>
            </w:r>
          </w:p>
        </w:tc>
      </w:tr>
      <w:tr>
        <w:trPr>
          <w:cantSplit/>
        </w:trPr>
        <w:tc>
          <w:tcPr>
            <w:tcW w:type="dxa" w:w="1163"/>
            <w:vAlign w:val="center"/>
          </w:tcPr>
          <w:p>
            <w:pPr>
              <w:pStyle w:val="JTableText"/>
              <w:keepNext w:val="0"/>
            </w:pPr>
            <w:r>
              <w:t>AES-192</w:t>
            </w:r>
          </w:p>
        </w:tc>
        <w:tc>
          <w:tcPr>
            <w:tcW w:type="dxa" w:w="635"/>
            <w:vAlign w:val="center"/>
          </w:tcPr>
          <w:p>
            <w:pPr>
              <w:pStyle w:val="JTableText"/>
              <w:keepNext w:val="0"/>
            </w:pPr>
            <w:r>
              <w:t>K</w:t>
            </w:r>
          </w:p>
        </w:tc>
        <w:tc>
          <w:tcPr>
            <w:tcW w:type="dxa" w:w="635"/>
            <w:vAlign w:val="center"/>
          </w:tcPr>
          <w:p>
            <w:pPr>
              <w:pStyle w:val="JTableText"/>
              <w:keepNext w:val="0"/>
            </w:pPr>
            <w:r>
              <w:t>128</w:t>
            </w:r>
          </w:p>
        </w:tc>
        <w:tc>
          <w:tcPr>
            <w:tcW w:type="dxa" w:w="952"/>
            <w:vAlign w:val="center"/>
          </w:tcPr>
          <w:p>
            <w:pPr>
              <w:pStyle w:val="JTableText"/>
              <w:keepNext w:val="0"/>
            </w:pPr>
            <w:r>
              <w:t>64</w:t>
            </w:r>
          </w:p>
        </w:tc>
        <w:tc>
          <w:tcPr>
            <w:tcW w:type="dxa" w:w="1058"/>
            <w:vAlign w:val="center"/>
          </w:tcPr>
          <w:p>
            <w:pPr>
              <w:pStyle w:val="JTableText"/>
              <w:keepNext w:val="0"/>
            </w:pPr>
            <w:r>
              <w:t>64.09</w:t>
            </w:r>
          </w:p>
        </w:tc>
        <w:tc>
          <w:tcPr>
            <w:tcW w:type="dxa" w:w="1269"/>
            <w:vAlign w:val="center"/>
          </w:tcPr>
          <w:p>
            <w:pPr>
              <w:pStyle w:val="JTableText"/>
              <w:keepNext w:val="0"/>
            </w:pPr>
            <w:r>
              <w:t>0.50</w:t>
            </w:r>
          </w:p>
        </w:tc>
        <w:tc>
          <w:tcPr>
            <w:tcW w:type="dxa" w:w="1375"/>
            <w:vAlign w:val="center"/>
          </w:tcPr>
          <w:p>
            <w:pPr>
              <w:pStyle w:val="JTableText"/>
              <w:keepNext w:val="0"/>
            </w:pPr>
            <w:r>
              <w:t>0.5007</w:t>
            </w:r>
          </w:p>
        </w:tc>
      </w:tr>
      <w:tr>
        <w:trPr>
          <w:cantSplit/>
        </w:trPr>
        <w:tc>
          <w:tcPr>
            <w:tcW w:type="dxa" w:w="1163"/>
            <w:vAlign w:val="center"/>
          </w:tcPr>
          <w:p>
            <w:pPr>
              <w:pStyle w:val="JTableText"/>
              <w:keepNext w:val="0"/>
            </w:pPr>
            <w:r>
              <w:t>AES-256</w:t>
            </w:r>
          </w:p>
        </w:tc>
        <w:tc>
          <w:tcPr>
            <w:tcW w:type="dxa" w:w="635"/>
            <w:vAlign w:val="center"/>
          </w:tcPr>
          <w:p>
            <w:pPr>
              <w:pStyle w:val="JTableText"/>
              <w:keepNext w:val="0"/>
            </w:pPr>
            <w:r>
              <w:t>P</w:t>
            </w:r>
          </w:p>
        </w:tc>
        <w:tc>
          <w:tcPr>
            <w:tcW w:type="dxa" w:w="635"/>
            <w:vAlign w:val="center"/>
          </w:tcPr>
          <w:p>
            <w:pPr>
              <w:pStyle w:val="JTableText"/>
              <w:keepNext w:val="0"/>
            </w:pPr>
            <w:r>
              <w:t>128</w:t>
            </w:r>
          </w:p>
        </w:tc>
        <w:tc>
          <w:tcPr>
            <w:tcW w:type="dxa" w:w="952"/>
            <w:vAlign w:val="center"/>
          </w:tcPr>
          <w:p>
            <w:pPr>
              <w:pStyle w:val="JTableText"/>
              <w:keepNext w:val="0"/>
            </w:pPr>
            <w:r>
              <w:t>64</w:t>
            </w:r>
          </w:p>
        </w:tc>
        <w:tc>
          <w:tcPr>
            <w:tcW w:type="dxa" w:w="1058"/>
            <w:vAlign w:val="center"/>
          </w:tcPr>
          <w:p>
            <w:pPr>
              <w:pStyle w:val="JTableText"/>
              <w:keepNext w:val="0"/>
            </w:pPr>
            <w:r>
              <w:t>63.98</w:t>
            </w:r>
          </w:p>
        </w:tc>
        <w:tc>
          <w:tcPr>
            <w:tcW w:type="dxa" w:w="1269"/>
            <w:vAlign w:val="center"/>
          </w:tcPr>
          <w:p>
            <w:pPr>
              <w:pStyle w:val="JTableText"/>
              <w:keepNext w:val="0"/>
            </w:pPr>
            <w:r>
              <w:t>0.50</w:t>
            </w:r>
          </w:p>
        </w:tc>
        <w:tc>
          <w:tcPr>
            <w:tcW w:type="dxa" w:w="1375"/>
            <w:vAlign w:val="center"/>
          </w:tcPr>
          <w:p>
            <w:pPr>
              <w:pStyle w:val="JTableText"/>
              <w:keepNext w:val="0"/>
            </w:pPr>
            <w:r>
              <w:t>0.4998</w:t>
            </w:r>
          </w:p>
        </w:tc>
      </w:tr>
      <w:tr>
        <w:trPr>
          <w:cantSplit/>
        </w:trPr>
        <w:tc>
          <w:tcPr>
            <w:tcW w:type="dxa" w:w="1163"/>
            <w:vAlign w:val="center"/>
          </w:tcPr>
          <w:p>
            <w:pPr>
              <w:pStyle w:val="JTableText"/>
              <w:keepNext w:val="0"/>
            </w:pPr>
            <w:r>
              <w:t>AES-256</w:t>
            </w:r>
          </w:p>
        </w:tc>
        <w:tc>
          <w:tcPr>
            <w:tcW w:type="dxa" w:w="635"/>
            <w:vAlign w:val="center"/>
          </w:tcPr>
          <w:p>
            <w:pPr>
              <w:pStyle w:val="JTableText"/>
              <w:keepNext w:val="0"/>
            </w:pPr>
            <w:r>
              <w:t>K</w:t>
            </w:r>
          </w:p>
        </w:tc>
        <w:tc>
          <w:tcPr>
            <w:tcW w:type="dxa" w:w="635"/>
            <w:vAlign w:val="center"/>
          </w:tcPr>
          <w:p>
            <w:pPr>
              <w:pStyle w:val="JTableText"/>
              <w:keepNext w:val="0"/>
            </w:pPr>
            <w:r>
              <w:t>128</w:t>
            </w:r>
          </w:p>
        </w:tc>
        <w:tc>
          <w:tcPr>
            <w:tcW w:type="dxa" w:w="952"/>
            <w:vAlign w:val="center"/>
          </w:tcPr>
          <w:p>
            <w:pPr>
              <w:pStyle w:val="JTableText"/>
              <w:keepNext w:val="0"/>
            </w:pPr>
            <w:r>
              <w:t>64</w:t>
            </w:r>
          </w:p>
        </w:tc>
        <w:tc>
          <w:tcPr>
            <w:tcW w:type="dxa" w:w="1058"/>
            <w:vAlign w:val="center"/>
          </w:tcPr>
          <w:p>
            <w:pPr>
              <w:pStyle w:val="JTableText"/>
              <w:keepNext w:val="0"/>
            </w:pPr>
            <w:r>
              <w:t>64.00</w:t>
            </w:r>
          </w:p>
        </w:tc>
        <w:tc>
          <w:tcPr>
            <w:tcW w:type="dxa" w:w="1269"/>
            <w:vAlign w:val="center"/>
          </w:tcPr>
          <w:p>
            <w:pPr>
              <w:pStyle w:val="JTableText"/>
              <w:keepNext w:val="0"/>
            </w:pPr>
            <w:r>
              <w:t>0.50</w:t>
            </w:r>
          </w:p>
        </w:tc>
        <w:tc>
          <w:tcPr>
            <w:tcW w:type="dxa" w:w="1375"/>
            <w:vAlign w:val="center"/>
          </w:tcPr>
          <w:p>
            <w:pPr>
              <w:pStyle w:val="JTableText"/>
              <w:keepNext w:val="0"/>
            </w:pPr>
            <w:r>
              <w:t>0.5000</w:t>
            </w:r>
          </w:p>
        </w:tc>
      </w:tr>
    </w:tbl>
    <w:p w:rsidR="00423302" w:rsidRDefault="00F26942" w:rsidP="00315F32">
      <w:pPr>
        <w:pStyle w:val="JText"/>
      </w:pPr>
      <w:r>
        <w:t>DES/TDEA medijana je 32 od 64 bita, a AES medijana 64 od 128 bita, odnosno 0.5 u svih deset grupa. Normalizovani proseci su približno 0.4990</w:t>
      </w:r>
      <w:r>
        <w:t>–</w:t>
      </w:r>
      <w:r>
        <w:t>0.5007. Ovo je očekivan pokazatelj lokalne difuzije, ali nije dokaz kriptografske sigurnosti, kompletan SAC/BIC test niti osnov za rangiranje algoritama.</w:t>
      </w:r>
    </w:p>
    <w:p w:rsidR="00FD0F51" w:rsidRPr="006D7C11" w:rsidRDefault="00FD0F51" w:rsidP="00F714C7">
      <w:pPr>
        <w:pStyle w:val="JSubtitle"/>
      </w:pPr>
      <w:r>
        <w:t>5</w:t>
        <w:tab/>
      </w:r>
      <w:r>
        <w:t>Discussion</w:t>
      </w:r>
    </w:p>
    <w:p w:rsidR="00423302" w:rsidRDefault="00F26942" w:rsidP="00315F32">
      <w:pPr>
        <w:pStyle w:val="JText"/>
      </w:pPr>
      <w:r>
        <w:t>Placeholder discussion. Interpret the eventual results and describe their limitations and implications.</w:t>
      </w:r>
    </w:p>
    <w:p w:rsidR="00FD0F51" w:rsidRPr="006D7C11" w:rsidRDefault="00FD0F51" w:rsidP="00F714C7">
      <w:pPr>
        <w:pStyle w:val="JSubtitle"/>
      </w:pPr>
      <w:r>
        <w:t>6</w:t>
        <w:tab/>
      </w:r>
      <w:r>
        <w:t>Conclusion</w:t>
      </w:r>
    </w:p>
    <w:p w:rsidR="00423302" w:rsidRDefault="00F26942" w:rsidP="00315F32">
      <w:pPr>
        <w:pStyle w:val="JText"/>
      </w:pPr>
      <w:r>
        <w:t>U radu je prikazan validiran i ponovljiv metodološki okvir za mikrobenchmarking kriptografskih primitiva u heterogenom CPU/GPU okruženju. Osnovni doprinos nije u novom algoritmu ili kriptoanalitičkoj metodi, već u eksperimentalnoj organizaciji koja razdvaja validaciju, obuhvat merenja, agregaciju rezultata i granice tumačenja. Takav pristup omogućava da se performanse DES/TDEA</w:t>
      </w:r>
      <w:r>
        <w:t>–</w:t>
      </w:r>
      <w:r>
        <w:t>AES familije algoritama i njihovih implementacija tumače u kontekstu konkretne platforme.</w:t>
      </w:r>
    </w:p>
    <w:p w:rsidR="00423302" w:rsidRDefault="00F26942" w:rsidP="00315F32">
      <w:pPr>
        <w:pStyle w:val="JText"/>
      </w:pPr>
      <w:r>
        <w:t>Rezultati potvrđuju da izbor obuhvata merenja presudno utiče na zaključak. AES-NI značajno smanjuje cenu AES izvršavanja na CPU-u. CUDA AES-128 može postići visoku resident/kernel propusnost kada su podaci već dostupni na uređaju, ali u praktičnom end-to-end pipeline scenariju prednost izolovanog GPU kernela nestaje u testiranom okruženju. Time se pokazuje da resident i end-to-end merenja odgovaraju različitim istraživačkim pitanjima.</w:t>
      </w:r>
    </w:p>
    <w:p w:rsidR="00423302" w:rsidRDefault="00F26942" w:rsidP="00315F32">
      <w:pPr>
        <w:pStyle w:val="JText"/>
      </w:pPr>
      <w:r>
        <w:t>Pokušaj lake CUDA optimizacije dodatno pokazuje da optimizacija kernela ne mora automatski dovesti do boljeg aplikacionog rezultata. Poboljšanje izolovanog koda može biti poništeno memorijskim ponašanjem, redosledom rada, transferima ili drugim sistemskim troškovima. Zbog toga GPU performanse treba analizirati u dva sloja: kao računarsku propusnost jezgra i kao propusnost celokupnog toka podataka.</w:t>
      </w:r>
    </w:p>
    <w:p w:rsidR="00423302" w:rsidRDefault="00F26942" w:rsidP="00315F32">
      <w:pPr>
        <w:pStyle w:val="JText"/>
      </w:pPr>
      <w:r>
        <w:t>Demonstracija redukovanog prostora ključeva i avalanche analiza dopunjuju performansni deo rada, ali su ograničene u tumačenju. Redukovani prostor ključeva ilustruje eksponencijalni rast iscrpne pretrage, bez tvrdnje o napadu na pune prostore. Avalanche rezultati pokazuju očekivanu raspodelu promene oko polovine bloka, ali ne predstavljaju dokaz ukupne sigurnosti.</w:t>
      </w:r>
    </w:p>
    <w:p w:rsidR="00423302" w:rsidRDefault="00F26942" w:rsidP="00315F32">
      <w:pPr>
        <w:pStyle w:val="JText"/>
      </w:pPr>
      <w:r>
        <w:t xml:space="preserve">Budući rad može ići u dva pravca. Prvi je dublja GPU optimizacija AES kernela, uključujući shared-memory T-table dizajne sa kontrolom bank konflikata, bitsliced/PTX implementacije i detaljnije merenje occupancy-ja, register pressure-a i memorijskih obrazaca. Drugi pravac je optimizacija samog pipeline-a, kroz chunking, </w:t>
      </w:r>
      <w:r>
        <w:rPr>
          <w:rFonts w:ascii="Courier New" w:hAnsi="Courier New"/>
        </w:rPr>
        <w:t>cudaMemcpyAsync</w:t>
      </w:r>
      <w:r>
        <w:t>, non-default stream-ove i preklapanje transfera i računanja, što NVIDIA dokumentacija i tehnički blogovi navode kao uslovljeno pinned memorijom, asinkronim kopiranjem i odgovarajućim stream-ovima (NVIDIA Corporation, n.d.-c; Harris, 2012). Ovaj drugi pravac je posebno relevantan za rezultate ovog rada, jer finalno poređenje pokazuje da transferni i runtime troškovi mogu poništiti resident dobitak kernela. Dodatno, merenja na Linux/TCC okruženju, uz praćenje takta, temperature, potrošnje i Nsight Systems tragova, omogućila bi jasnije razdvajanje algoritamskih, drajverskih i sistemskih efekata.</w:t>
      </w:r>
    </w:p>
    <w:p w:rsidR="00423302" w:rsidRDefault="00F26942" w:rsidP="00315F32">
      <w:pPr>
        <w:pStyle w:val="JText"/>
      </w:pPr>
      <w:r>
        <w:t>Najvažniji zaključak rada jeste da se kriptografske performanse ne mogu korektno tumačiti bez jasnog metodološkog okvira. Fixed-key throughput nije candidate-check stopa; resident GPU rezultat nije aplikacioni end-to-end rezultat; difuzija nije sigurnosni dokaz. Validacioni postupci, upareni protokoli, dokumentovani seedovi, metapodaci i agregacija po sesijama čine osnovu reproduktivnog poređenja kriptografskih implementacija.</w:t>
      </w:r>
    </w:p>
    <w:p w:rsidR="00FD0F51" w:rsidRPr="006D7C11" w:rsidRDefault="00FD0F51" w:rsidP="00F714C7">
      <w:pPr>
        <w:pStyle w:val="JSubtitle"/>
      </w:pPr>
      <w:r>
        <w:t>7</w:t>
        <w:tab/>
      </w:r>
      <w:r>
        <w:t>Acknowledgments</w:t>
      </w:r>
    </w:p>
    <w:p w:rsidR="00423302" w:rsidRDefault="00F26942" w:rsidP="00315F32">
      <w:pPr>
        <w:pStyle w:val="JText"/>
      </w:pPr>
      <w:r>
        <w:t>Placeholder acknowledgments. Replace with appropriate funding or support information, or remove the paragraph if no acknowledgments are needed.</w:t>
      </w:r>
    </w:p>
    <w:p w:rsidR="00FD0F51" w:rsidRPr="006D7C11" w:rsidRDefault="00FD0F51" w:rsidP="00F714C7">
      <w:pPr>
        <w:pStyle w:val="JSubtitle"/>
      </w:pPr>
      <w:r>
        <w:t>References</w:t>
      </w:r>
    </w:p>
    <w:p w:rsidR="00E62FED" w:rsidRDefault="00E62FED" w:rsidP="00E62FED">
      <w:pPr>
        <w:pStyle w:val="JReference"/>
      </w:pPr>
      <w:r>
        <w:t>E. Barker, N. Mouha: Recommendation for the Triple Data Encryption Algorithm (TDEA) Block Cipher, National Institute of Standards and Technology, NIST Special Publication 800-67 Rev. 2, 2017, doi: 10.6028/NIST.SP.800-67r2.</w:t>
      </w:r>
    </w:p>
    <w:p w:rsidR="00E62FED" w:rsidRDefault="00E62FED" w:rsidP="00E62FED">
      <w:pPr>
        <w:pStyle w:val="JReference"/>
      </w:pPr>
      <w:r>
        <w:t>E. Barker, A. Roginsky: Transitioning the Use of Cryptographic Algorithms and Key Lengths, National Institute of Standards and Technology, NIST Special Publication 800-131A Rev. 2, 2019, doi: 10.6028/NIST.SP.800-131Ar2.</w:t>
      </w:r>
    </w:p>
    <w:p w:rsidR="00E62FED" w:rsidRDefault="00E62FED" w:rsidP="00E62FED">
      <w:pPr>
        <w:pStyle w:val="JReference"/>
      </w:pPr>
      <w:r>
        <w:t>CuPy: Performance Best Practices, https://docs.cupy.dev/en/stable/user_guide/performance.html, n.d., Accessed 2026.</w:t>
      </w:r>
    </w:p>
    <w:p w:rsidR="00E62FED" w:rsidRDefault="00E62FED" w:rsidP="00E62FED">
      <w:pPr>
        <w:pStyle w:val="JReference"/>
      </w:pPr>
      <w:r>
        <w:t>CuPy: cupy.RawKernel, https://docs.cupy.dev/en/stable/reference/generated/cupy.RawKernel.html, n.d., Accessed 2026.</w:t>
      </w:r>
    </w:p>
    <w:p w:rsidR="00E62FED" w:rsidRDefault="00E62FED" w:rsidP="00E62FED">
      <w:pPr>
        <w:pStyle w:val="JReference"/>
      </w:pPr>
      <w:r>
        <w:t>M. Dworkin: Recommendation for Block Cipher Modes of Operation: Methods and Techniques, National Institute of Standards and Technology, NIST Special Publication 800-38A, 2001, doi: 10.6028/NIST.SP.800-38A.</w:t>
      </w:r>
    </w:p>
    <w:p w:rsidR="00E62FED" w:rsidRDefault="00E62FED" w:rsidP="00E62FED">
      <w:pPr>
        <w:pStyle w:val="JReference"/>
      </w:pPr>
      <w:r>
        <w:t>M. Dworkin: Recommendation for Block Cipher Modes of Operation: Galois/Counter Mode (GCM) and GMAC, National Institute of Standards and Technology, NIST Special Publication 800-38D, 2007, doi: 10.6028/NIST.SP.800-38D.</w:t>
      </w:r>
    </w:p>
    <w:p w:rsidR="00E62FED" w:rsidRDefault="00E62FED" w:rsidP="00E62FED">
      <w:pPr>
        <w:pStyle w:val="JReference"/>
      </w:pPr>
      <w:r>
        <w:t>M. Harris: How to Overlap Data Transfers in CUDA C/C++, NVIDIA Technical Blog, 2012, https://developer.nvidia.com/blog/how-overlap-data-transfers-cuda-cc/.</w:t>
      </w:r>
    </w:p>
    <w:p w:rsidR="00E62FED" w:rsidRDefault="00E62FED" w:rsidP="00E62FED">
      <w:pPr>
        <w:pStyle w:val="JReference"/>
      </w:pPr>
      <w:r>
        <w:t>Intel Corporation: Intel Advanced Encryption Standard Instructions (AES-NI), 2012, https://www.intel.com/content/www/us/en/developer/articles/technical/advanced-encryption-standard-instructions-aes-ni.html.</w:t>
      </w:r>
    </w:p>
    <w:p w:rsidR="00E62FED" w:rsidRDefault="00E62FED" w:rsidP="00E62FED">
      <w:pPr>
        <w:pStyle w:val="JReference"/>
      </w:pPr>
      <w:r>
        <w:t>K. Iwai, N. Nishikawa, T. Kurokawa: Acceleration of AES Encryption on CUDA GPU, International Journal of Networking and Computing, Vol. 2, No. 1, 2012, pp. 131–145, doi: 10.15803/ijnc.2.1_131.</w:t>
      </w:r>
    </w:p>
    <w:p w:rsidR="00E62FED" w:rsidRDefault="00E62FED" w:rsidP="00E62FED">
      <w:pPr>
        <w:pStyle w:val="JReference"/>
      </w:pPr>
      <w:r>
        <w:t>Microsoft: GPU Preemption, Microsoft Learn, n.d., https://learn.microsoft.com/en-us/windows-hardware/drivers/display/gpu-preemption, Accessed 2026.</w:t>
      </w:r>
    </w:p>
    <w:p w:rsidR="00E62FED" w:rsidRDefault="00E62FED" w:rsidP="00E62FED">
      <w:pPr>
        <w:pStyle w:val="JReference"/>
      </w:pPr>
      <w:r>
        <w:t>Microsoft: Timeout Detection and Recovery (TDR), Microsoft Learn, n.d., https://learn.microsoft.com/en-us/windows-hardware/drivers/display/timeout-detection-and-recovery, Accessed 2026.</w:t>
      </w:r>
    </w:p>
    <w:p w:rsidR="00E62FED" w:rsidRDefault="00E62FED" w:rsidP="00E62FED">
      <w:pPr>
        <w:pStyle w:val="JReference"/>
      </w:pPr>
      <w:r>
        <w:t>National Bureau of Standards: DES Modes of Operation, National Bureau of Standards, Federal Information Processing Standards Publication 81, 1980, https://csrc.nist.gov/pubs/fips/81/final.</w:t>
      </w:r>
    </w:p>
    <w:p w:rsidR="00E62FED" w:rsidRDefault="00E62FED" w:rsidP="00E62FED">
      <w:pPr>
        <w:pStyle w:val="JReference"/>
      </w:pPr>
      <w:r>
        <w:t>National Institute of Standards and Technology: Data Encryption Standard (DES), National Institute of Standards and Technology, Federal Information Processing Standards Publication 46-3, 1999, https://csrc.nist.gov/pubs/fips/46-3/final.</w:t>
      </w:r>
    </w:p>
    <w:p w:rsidR="00E62FED" w:rsidRDefault="00E62FED" w:rsidP="00E62FED">
      <w:pPr>
        <w:pStyle w:val="JReference"/>
      </w:pPr>
      <w:r>
        <w:t>National Institute of Standards and Technology: Advanced Encryption Standard (AES), National Institute of Standards and Technology, Federal Information Processing Standards Publication 197, Update 1, 2023, doi: 10.6028/NIST.FIPS.197-upd1.</w:t>
      </w:r>
    </w:p>
    <w:p w:rsidR="00E62FED" w:rsidRDefault="00E62FED" w:rsidP="00E62FED">
      <w:pPr>
        <w:pStyle w:val="JReference"/>
      </w:pPr>
      <w:r>
        <w:t>NVIDIA Corporation: CUDA Installation Guide for Microsoft Windows, n.d., https://docs.nvidia.com/cuda/cuda-installation-guide-microsoft-windows/, Accessed 2026.</w:t>
      </w:r>
    </w:p>
    <w:p w:rsidR="00E62FED" w:rsidRDefault="00E62FED" w:rsidP="00E62FED">
      <w:pPr>
        <w:pStyle w:val="JReference"/>
      </w:pPr>
      <w:r>
        <w:t>NVIDIA Corporation: CUDA C++ Programming Guide, n.d., https://docs.nvidia.com/cuda/cuda-c-programming-guide/, Accessed 2026.</w:t>
      </w:r>
    </w:p>
    <w:p w:rsidR="00E62FED" w:rsidRDefault="00E62FED" w:rsidP="00E62FED">
      <w:pPr>
        <w:pStyle w:val="JReference"/>
      </w:pPr>
      <w:r>
        <w:t>NVIDIA Corporation: CUDA C++ Best Practices Guide, n.d., https://docs.nvidia.com/cuda/cuda-c-best-practices-guide/, Accessed 2026.</w:t>
      </w:r>
    </w:p>
    <w:p w:rsidR="00E62FED" w:rsidRDefault="00E62FED" w:rsidP="00E62FED">
      <w:pPr>
        <w:pStyle w:val="JReference"/>
      </w:pPr>
      <w:r>
        <w:t>R. Okuta, Y. Unno, D. Nishino, S. Hido, C. Loomis: CuPy: A NumPy-Compatible Library for NVIDIA GPU Calculations, Proceedings of Workshop on Machine Learning Systems (LearningSys) in NeurIPS 2017, 2017, https://cupy.dev/.</w:t>
      </w:r>
    </w:p>
    <w:p w:rsidR="00E62FED" w:rsidRDefault="00E62FED" w:rsidP="00E62FED">
      <w:pPr>
        <w:pStyle w:val="JReference"/>
      </w:pPr>
      <w:r>
        <w:t>PyCryptodome: PyCryptodome Documentation, n.d., https://pycryptodome.readthedocs.io/, Accessed 2026.</w:t>
      </w:r>
    </w:p>
    <w:p w:rsidR="00E62FED" w:rsidRDefault="00E62FED" w:rsidP="00E62FED">
      <w:pPr>
        <w:pStyle w:val="JReference"/>
      </w:pPr>
      <w:r>
        <w:t>C. E. Shannon: Communication Theory of Secrecy Systems, Bell System Technical Journal, Vol. 28, No. 4, 1949, pp. 656–715, doi: 10.1002/j.1538-7305.1949.tb00928.x.</w:t>
      </w:r>
    </w:p>
    <w:p w:rsidR="00E62FED" w:rsidRDefault="00E62FED" w:rsidP="00E62FED">
      <w:pPr>
        <w:pStyle w:val="JReference"/>
      </w:pPr>
      <w:r>
        <w:t>C. Tezcan: Optimization of Advanced Encryption Standard on Graphics Processing Units, IEEE Access, Vol. 9, 2021, pp. 67315–67326, doi: 10.1109/ACCESS.2021.3077551.</w:t>
      </w:r>
    </w:p>
    <w:sectPr w:rsidR="00D33C2C" w:rsidSect="00A27A41">
      <w:headerReference w:type="even" r:id="rId16"/>
      <w:headerReference w:type="default" r:id="rId17"/>
      <w:footerReference w:type="even" r:id="rId18"/>
      <w:footerReference w:type="default" r:id="rId19"/>
      <w:headerReference w:type="first" r:id="rId20"/>
      <w:footerReference w:type="first" r:id="rId21"/>
      <w:type w:val="continuous"/>
      <w:pgSz w:w="9356" w:h="13325" w:code="160"/>
      <w:pgMar w:top="1588" w:right="1134" w:bottom="964" w:left="1134" w:header="1021" w:footer="624" w:gutter="0"/>
      <w:pgNumType w:start="1"/>
      <w:cols w:space="708"/>
      <w:titlePg/>
      <w:docGrid w:linePitch="272"/>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152AAD" w:rsidRDefault="00152AAD">
      <w:r>
        <w:separator/>
      </w:r>
    </w:p>
    <w:p w:rsidR="00152AAD" w:rsidRDefault="00152AAD"/>
  </w:endnote>
  <w:endnote w:type="continuationSeparator" w:id="0">
    <w:p w:rsidR="00152AAD" w:rsidRDefault="00152AAD">
      <w:r>
        <w:continuationSeparator/>
      </w:r>
    </w:p>
    <w:p w:rsidR="00152AAD" w:rsidRDefault="00152AA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B317D" w:rsidRPr="00256C7D" w:rsidRDefault="00256C7D" w:rsidP="00256C7D">
    <w:pPr>
      <w:jc w:val="center"/>
      <w:rPr>
        <w:sz w:val="22"/>
        <w:szCs w:val="22"/>
      </w:rPr>
    </w:pPr>
    <w:r w:rsidRPr="00256C7D">
      <w:rPr>
        <w:sz w:val="22"/>
        <w:szCs w:val="22"/>
      </w:rPr>
      <w:fldChar w:fldCharType="begin"/>
    </w:r>
    <w:r w:rsidRPr="00256C7D">
      <w:rPr>
        <w:sz w:val="22"/>
        <w:szCs w:val="22"/>
      </w:rPr>
      <w:instrText xml:space="preserve"> PAGE </w:instrText>
    </w:r>
    <w:r w:rsidRPr="00256C7D">
      <w:rPr>
        <w:sz w:val="22"/>
        <w:szCs w:val="22"/>
      </w:rPr>
      <w:fldChar w:fldCharType="separate"/>
    </w:r>
    <w:r w:rsidR="0089708B">
      <w:rPr>
        <w:noProof/>
        <w:sz w:val="22"/>
        <w:szCs w:val="22"/>
      </w:rPr>
      <w:t>4</w:t>
    </w:r>
    <w:r w:rsidRPr="00256C7D">
      <w:rPr>
        <w:sz w:val="22"/>
        <w:szCs w:val="22"/>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456252" w:rsidRPr="00256C7D" w:rsidRDefault="00256C7D" w:rsidP="00256C7D">
    <w:pPr>
      <w:jc w:val="center"/>
      <w:rPr>
        <w:sz w:val="22"/>
        <w:szCs w:val="22"/>
      </w:rPr>
    </w:pPr>
    <w:r w:rsidRPr="00256C7D">
      <w:rPr>
        <w:sz w:val="22"/>
        <w:szCs w:val="22"/>
      </w:rPr>
      <w:fldChar w:fldCharType="begin"/>
    </w:r>
    <w:r w:rsidRPr="00256C7D">
      <w:rPr>
        <w:sz w:val="22"/>
        <w:szCs w:val="22"/>
      </w:rPr>
      <w:instrText xml:space="preserve"> PAGE </w:instrText>
    </w:r>
    <w:r w:rsidRPr="00256C7D">
      <w:rPr>
        <w:sz w:val="22"/>
        <w:szCs w:val="22"/>
      </w:rPr>
      <w:fldChar w:fldCharType="separate"/>
    </w:r>
    <w:r w:rsidR="0089708B">
      <w:rPr>
        <w:noProof/>
        <w:sz w:val="22"/>
        <w:szCs w:val="22"/>
      </w:rPr>
      <w:t>5</w:t>
    </w:r>
    <w:r w:rsidRPr="00256C7D">
      <w:rPr>
        <w:sz w:val="22"/>
        <w:szCs w:val="22"/>
      </w:rPr>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456252" w:rsidRPr="00256C7D" w:rsidRDefault="004E2971" w:rsidP="00256C7D">
    <w:pPr>
      <w:jc w:val="center"/>
      <w:rPr>
        <w:sz w:val="22"/>
        <w:szCs w:val="22"/>
      </w:rPr>
    </w:pPr>
    <w:r>
      <w:rPr>
        <w:rStyle w:val="PageNumber"/>
      </w:rPr>
      <w:fldChar w:fldCharType="begin"/>
    </w:r>
    <w:r>
      <w:rPr>
        <w:rStyle w:val="PageNumber"/>
      </w:rPr>
      <w:instrText xml:space="preserve"> PAGE </w:instrText>
    </w:r>
    <w:r>
      <w:rPr>
        <w:rStyle w:val="PageNumber"/>
      </w:rPr>
      <w:fldChar w:fldCharType="separate"/>
    </w:r>
    <w:r w:rsidR="0089708B">
      <w:rPr>
        <w:rStyle w:val="PageNumber"/>
        <w:noProof/>
      </w:rPr>
      <w:t>1</w:t>
    </w:r>
    <w:r>
      <w:rPr>
        <w:rStyle w:val="PageNumber"/>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152AAD" w:rsidRDefault="00152AAD">
      <w:r>
        <w:separator/>
      </w:r>
    </w:p>
  </w:footnote>
  <w:footnote w:type="continuationSeparator" w:id="0">
    <w:p w:rsidR="00152AAD" w:rsidRDefault="00152AAD">
      <w:r>
        <w:continuationSeparator/>
      </w:r>
    </w:p>
    <w:p w:rsidR="00152AAD" w:rsidRDefault="00152AAD"/>
  </w:footnote>
  <w:footnote w:id="1">
    <w:p w:rsidR="00F714C7" w:rsidRPr="004E2971" w:rsidRDefault="00F714C7" w:rsidP="000447C5">
      <w:pPr>
        <w:pStyle w:val="JFootnote"/>
        <w:rPr>
          <w:szCs w:val="22"/>
        </w:rPr>
      </w:pPr>
      <w:r>
        <w:rPr>
          <w:rStyle w:val="FootnoteReference"/>
        </w:rPr>
        <w:footnoteRef/>
      </w:r>
      <w:r>
        <w:t xml:space="preserve"> Singidunum University, Belgrade, Serbia; ORCID: 0009-0006-7979-0341</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456252" w:rsidRPr="00256C7D" w:rsidRDefault="00E05B11" w:rsidP="00256C7D">
    <w:pPr>
      <w:pStyle w:val="JAuthor"/>
      <w:spacing w:before="0"/>
      <w:jc w:val="left"/>
      <w:rPr>
        <w:b w:val="0"/>
        <w:i/>
        <w:sz w:val="20"/>
        <w:szCs w:val="20"/>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456252" w:rsidRPr="00256C7D" w:rsidRDefault="00871F77" w:rsidP="00256C7D">
    <w:pPr>
      <w:pStyle w:val="Header"/>
      <w:jc w:val="right"/>
      <w:rPr>
        <w:sz w:val="20"/>
        <w:szCs w:val="20"/>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B317D" w:rsidRPr="00256C7D" w:rsidRDefault="008E56AA">
    <w:pPr>
      <w:pStyle w:val="Header"/>
      <w:rPr>
        <w:b/>
        <w:sz w:val="20"/>
        <w:szCs w:val="20"/>
        <w:lang w:val="en-US"/>
      </w:rPr>
    </w:pPr>
  </w:p>
  <w:p w:rsidR="00456252" w:rsidRDefault="00BE1EFA" w:rsidP="00256C7D">
    <w:pPr>
      <w:pStyle w:val="Header"/>
      <w:rPr>
        <w:b/>
        <w:sz w:val="20"/>
        <w:szCs w:val="20"/>
        <w:lang w:val="en-US"/>
      </w:rPr>
    </w:pPr>
  </w:p>
  <w:p w:rsidR="009A69B9" w:rsidRPr="00D36D7C" w:rsidRDefault="009A69B9" w:rsidP="009A69B9">
    <w:pPr>
      <w:pStyle w:val="Header"/>
      <w:tabs>
        <w:tab w:val="clear" w:pos="4320"/>
        <w:tab w:val="clear" w:pos="8640"/>
        <w:tab w:val="right" w:pos="7088"/>
      </w:tabs>
      <w:spacing w:before="100"/>
      <w:rPr>
        <w:b/>
        <w:sz w:val="18"/>
        <w:szCs w:val="18"/>
        <w:lang w:val="en-US"/>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C7173E1"/>
    <w:multiLevelType w:val="multilevel"/>
    <w:tmpl w:val="CC1033C6"/>
    <w:lvl w:ilvl="0">
      <w:start w:val="1"/>
      <w:numFmt w:val="decimal"/>
      <w:lvlText w:val="%1."/>
      <w:lvlJc w:val="right"/>
      <w:pPr>
        <w:tabs>
          <w:tab w:val="num" w:pos="680"/>
        </w:tabs>
        <w:ind w:left="680" w:hanging="113"/>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
    <w:nsid w:val="1EF016F2"/>
    <w:multiLevelType w:val="hybridMultilevel"/>
    <w:tmpl w:val="08D8910E"/>
    <w:lvl w:ilvl="0" w:tplc="04090015">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
    <w:nsid w:val="26C87538"/>
    <w:multiLevelType w:val="hybridMultilevel"/>
    <w:tmpl w:val="678CBED6"/>
    <w:lvl w:ilvl="0" w:tplc="031A46D6">
      <w:start w:val="1"/>
      <w:numFmt w:val="bullet"/>
      <w:lvlText w:val=""/>
      <w:lvlJc w:val="left"/>
      <w:pPr>
        <w:tabs>
          <w:tab w:val="num" w:pos="170"/>
        </w:tabs>
        <w:ind w:left="170" w:hanging="17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
    <w:nsid w:val="2EC03B07"/>
    <w:multiLevelType w:val="hybridMultilevel"/>
    <w:tmpl w:val="CC1033C6"/>
    <w:lvl w:ilvl="0" w:tplc="8500CE5C">
      <w:start w:val="1"/>
      <w:numFmt w:val="decimal"/>
      <w:pStyle w:val="JText-numberedList"/>
      <w:lvlText w:val="%1."/>
      <w:lvlJc w:val="right"/>
      <w:pPr>
        <w:tabs>
          <w:tab w:val="num" w:pos="680"/>
        </w:tabs>
        <w:ind w:left="680" w:hanging="113"/>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
    <w:nsid w:val="36FB74EF"/>
    <w:multiLevelType w:val="multilevel"/>
    <w:tmpl w:val="0742AD1E"/>
    <w:lvl w:ilvl="0">
      <w:start w:val="1"/>
      <w:numFmt w:val="bullet"/>
      <w:lvlText w:val=""/>
      <w:lvlJc w:val="left"/>
      <w:pPr>
        <w:tabs>
          <w:tab w:val="num" w:pos="567"/>
        </w:tabs>
        <w:ind w:left="567" w:hanging="170"/>
      </w:pPr>
      <w:rPr>
        <w:rFonts w:ascii="Symbol" w:hAnsi="Symbol" w:hint="default"/>
      </w:rPr>
    </w:lvl>
    <w:lvl w:ilvl="1">
      <w:start w:val="1"/>
      <w:numFmt w:val="bullet"/>
      <w:lvlText w:val="o"/>
      <w:lvlJc w:val="left"/>
      <w:pPr>
        <w:tabs>
          <w:tab w:val="num" w:pos="1837"/>
        </w:tabs>
        <w:ind w:left="1837" w:hanging="360"/>
      </w:pPr>
      <w:rPr>
        <w:rFonts w:ascii="Courier New" w:hAnsi="Courier New" w:cs="Courier New" w:hint="default"/>
      </w:rPr>
    </w:lvl>
    <w:lvl w:ilvl="2">
      <w:start w:val="1"/>
      <w:numFmt w:val="bullet"/>
      <w:lvlText w:val=""/>
      <w:lvlJc w:val="left"/>
      <w:pPr>
        <w:tabs>
          <w:tab w:val="num" w:pos="2557"/>
        </w:tabs>
        <w:ind w:left="2557" w:hanging="360"/>
      </w:pPr>
      <w:rPr>
        <w:rFonts w:ascii="Wingdings" w:hAnsi="Wingdings" w:hint="default"/>
      </w:rPr>
    </w:lvl>
    <w:lvl w:ilvl="3">
      <w:start w:val="1"/>
      <w:numFmt w:val="bullet"/>
      <w:lvlText w:val=""/>
      <w:lvlJc w:val="left"/>
      <w:pPr>
        <w:tabs>
          <w:tab w:val="num" w:pos="3277"/>
        </w:tabs>
        <w:ind w:left="3277" w:hanging="360"/>
      </w:pPr>
      <w:rPr>
        <w:rFonts w:ascii="Symbol" w:hAnsi="Symbol" w:hint="default"/>
      </w:rPr>
    </w:lvl>
    <w:lvl w:ilvl="4">
      <w:start w:val="1"/>
      <w:numFmt w:val="bullet"/>
      <w:lvlText w:val="o"/>
      <w:lvlJc w:val="left"/>
      <w:pPr>
        <w:tabs>
          <w:tab w:val="num" w:pos="3997"/>
        </w:tabs>
        <w:ind w:left="3997" w:hanging="360"/>
      </w:pPr>
      <w:rPr>
        <w:rFonts w:ascii="Courier New" w:hAnsi="Courier New" w:cs="Courier New" w:hint="default"/>
      </w:rPr>
    </w:lvl>
    <w:lvl w:ilvl="5">
      <w:start w:val="1"/>
      <w:numFmt w:val="bullet"/>
      <w:lvlText w:val=""/>
      <w:lvlJc w:val="left"/>
      <w:pPr>
        <w:tabs>
          <w:tab w:val="num" w:pos="4717"/>
        </w:tabs>
        <w:ind w:left="4717" w:hanging="360"/>
      </w:pPr>
      <w:rPr>
        <w:rFonts w:ascii="Wingdings" w:hAnsi="Wingdings" w:hint="default"/>
      </w:rPr>
    </w:lvl>
    <w:lvl w:ilvl="6">
      <w:start w:val="1"/>
      <w:numFmt w:val="bullet"/>
      <w:lvlText w:val=""/>
      <w:lvlJc w:val="left"/>
      <w:pPr>
        <w:tabs>
          <w:tab w:val="num" w:pos="5437"/>
        </w:tabs>
        <w:ind w:left="5437" w:hanging="360"/>
      </w:pPr>
      <w:rPr>
        <w:rFonts w:ascii="Symbol" w:hAnsi="Symbol" w:hint="default"/>
      </w:rPr>
    </w:lvl>
    <w:lvl w:ilvl="7">
      <w:start w:val="1"/>
      <w:numFmt w:val="bullet"/>
      <w:lvlText w:val="o"/>
      <w:lvlJc w:val="left"/>
      <w:pPr>
        <w:tabs>
          <w:tab w:val="num" w:pos="6157"/>
        </w:tabs>
        <w:ind w:left="6157" w:hanging="360"/>
      </w:pPr>
      <w:rPr>
        <w:rFonts w:ascii="Courier New" w:hAnsi="Courier New" w:cs="Courier New" w:hint="default"/>
      </w:rPr>
    </w:lvl>
    <w:lvl w:ilvl="8">
      <w:start w:val="1"/>
      <w:numFmt w:val="bullet"/>
      <w:lvlText w:val=""/>
      <w:lvlJc w:val="left"/>
      <w:pPr>
        <w:tabs>
          <w:tab w:val="num" w:pos="6877"/>
        </w:tabs>
        <w:ind w:left="6877" w:hanging="360"/>
      </w:pPr>
      <w:rPr>
        <w:rFonts w:ascii="Wingdings" w:hAnsi="Wingdings" w:hint="default"/>
      </w:rPr>
    </w:lvl>
  </w:abstractNum>
  <w:abstractNum w:abstractNumId="5">
    <w:nsid w:val="431668F8"/>
    <w:multiLevelType w:val="hybridMultilevel"/>
    <w:tmpl w:val="1742A97C"/>
    <w:lvl w:ilvl="0" w:tplc="4A2E28A2">
      <w:start w:val="1"/>
      <w:numFmt w:val="decimal"/>
      <w:pStyle w:val="JReference"/>
      <w:lvlText w:val="[%1]"/>
      <w:lvlJc w:val="left"/>
      <w:pPr>
        <w:tabs>
          <w:tab w:val="num" w:pos="397"/>
        </w:tabs>
        <w:ind w:left="397" w:hanging="397"/>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6">
    <w:nsid w:val="47C474AF"/>
    <w:multiLevelType w:val="hybridMultilevel"/>
    <w:tmpl w:val="8E8C079E"/>
    <w:lvl w:ilvl="0" w:tplc="7D6E6CBE">
      <w:numFmt w:val="bullet"/>
      <w:pStyle w:val="JText-unorderedList"/>
      <w:lvlText w:val="–"/>
      <w:lvlJc w:val="left"/>
      <w:pPr>
        <w:tabs>
          <w:tab w:val="num" w:pos="567"/>
        </w:tabs>
        <w:ind w:left="567" w:hanging="170"/>
      </w:pPr>
      <w:rPr>
        <w:rFonts w:ascii="Times New Roman" w:eastAsia="Times New Roman" w:hAnsi="Times New Roman" w:cs="Times New Roman" w:hint="default"/>
      </w:rPr>
    </w:lvl>
    <w:lvl w:ilvl="1" w:tplc="04090003" w:tentative="1">
      <w:start w:val="1"/>
      <w:numFmt w:val="bullet"/>
      <w:lvlText w:val="o"/>
      <w:lvlJc w:val="left"/>
      <w:pPr>
        <w:tabs>
          <w:tab w:val="num" w:pos="1477"/>
        </w:tabs>
        <w:ind w:left="1477" w:hanging="360"/>
      </w:pPr>
      <w:rPr>
        <w:rFonts w:ascii="Courier New" w:hAnsi="Courier New" w:cs="Courier New" w:hint="default"/>
      </w:rPr>
    </w:lvl>
    <w:lvl w:ilvl="2" w:tplc="04090005" w:tentative="1">
      <w:start w:val="1"/>
      <w:numFmt w:val="bullet"/>
      <w:lvlText w:val=""/>
      <w:lvlJc w:val="left"/>
      <w:pPr>
        <w:tabs>
          <w:tab w:val="num" w:pos="2197"/>
        </w:tabs>
        <w:ind w:left="2197" w:hanging="360"/>
      </w:pPr>
      <w:rPr>
        <w:rFonts w:ascii="Wingdings" w:hAnsi="Wingdings" w:hint="default"/>
      </w:rPr>
    </w:lvl>
    <w:lvl w:ilvl="3" w:tplc="04090001" w:tentative="1">
      <w:start w:val="1"/>
      <w:numFmt w:val="bullet"/>
      <w:lvlText w:val=""/>
      <w:lvlJc w:val="left"/>
      <w:pPr>
        <w:tabs>
          <w:tab w:val="num" w:pos="2917"/>
        </w:tabs>
        <w:ind w:left="2917" w:hanging="360"/>
      </w:pPr>
      <w:rPr>
        <w:rFonts w:ascii="Symbol" w:hAnsi="Symbol" w:hint="default"/>
      </w:rPr>
    </w:lvl>
    <w:lvl w:ilvl="4" w:tplc="04090003" w:tentative="1">
      <w:start w:val="1"/>
      <w:numFmt w:val="bullet"/>
      <w:lvlText w:val="o"/>
      <w:lvlJc w:val="left"/>
      <w:pPr>
        <w:tabs>
          <w:tab w:val="num" w:pos="3637"/>
        </w:tabs>
        <w:ind w:left="3637" w:hanging="360"/>
      </w:pPr>
      <w:rPr>
        <w:rFonts w:ascii="Courier New" w:hAnsi="Courier New" w:cs="Courier New" w:hint="default"/>
      </w:rPr>
    </w:lvl>
    <w:lvl w:ilvl="5" w:tplc="04090005" w:tentative="1">
      <w:start w:val="1"/>
      <w:numFmt w:val="bullet"/>
      <w:lvlText w:val=""/>
      <w:lvlJc w:val="left"/>
      <w:pPr>
        <w:tabs>
          <w:tab w:val="num" w:pos="4357"/>
        </w:tabs>
        <w:ind w:left="4357" w:hanging="360"/>
      </w:pPr>
      <w:rPr>
        <w:rFonts w:ascii="Wingdings" w:hAnsi="Wingdings" w:hint="default"/>
      </w:rPr>
    </w:lvl>
    <w:lvl w:ilvl="6" w:tplc="04090001" w:tentative="1">
      <w:start w:val="1"/>
      <w:numFmt w:val="bullet"/>
      <w:lvlText w:val=""/>
      <w:lvlJc w:val="left"/>
      <w:pPr>
        <w:tabs>
          <w:tab w:val="num" w:pos="5077"/>
        </w:tabs>
        <w:ind w:left="5077" w:hanging="360"/>
      </w:pPr>
      <w:rPr>
        <w:rFonts w:ascii="Symbol" w:hAnsi="Symbol" w:hint="default"/>
      </w:rPr>
    </w:lvl>
    <w:lvl w:ilvl="7" w:tplc="04090003" w:tentative="1">
      <w:start w:val="1"/>
      <w:numFmt w:val="bullet"/>
      <w:lvlText w:val="o"/>
      <w:lvlJc w:val="left"/>
      <w:pPr>
        <w:tabs>
          <w:tab w:val="num" w:pos="5797"/>
        </w:tabs>
        <w:ind w:left="5797" w:hanging="360"/>
      </w:pPr>
      <w:rPr>
        <w:rFonts w:ascii="Courier New" w:hAnsi="Courier New" w:cs="Courier New" w:hint="default"/>
      </w:rPr>
    </w:lvl>
    <w:lvl w:ilvl="8" w:tplc="04090005" w:tentative="1">
      <w:start w:val="1"/>
      <w:numFmt w:val="bullet"/>
      <w:lvlText w:val=""/>
      <w:lvlJc w:val="left"/>
      <w:pPr>
        <w:tabs>
          <w:tab w:val="num" w:pos="6517"/>
        </w:tabs>
        <w:ind w:left="6517" w:hanging="360"/>
      </w:pPr>
      <w:rPr>
        <w:rFonts w:ascii="Wingdings" w:hAnsi="Wingdings" w:hint="default"/>
      </w:rPr>
    </w:lvl>
  </w:abstractNum>
  <w:abstractNum w:abstractNumId="7">
    <w:nsid w:val="493122AF"/>
    <w:multiLevelType w:val="hybridMultilevel"/>
    <w:tmpl w:val="9F1A4F26"/>
    <w:lvl w:ilvl="0" w:tplc="0409000F">
      <w:start w:val="1"/>
      <w:numFmt w:val="decimal"/>
      <w:lvlText w:val="%1."/>
      <w:lvlJc w:val="left"/>
      <w:pPr>
        <w:tabs>
          <w:tab w:val="num" w:pos="1117"/>
        </w:tabs>
        <w:ind w:left="1117" w:hanging="360"/>
      </w:pPr>
    </w:lvl>
    <w:lvl w:ilvl="1" w:tplc="04090019" w:tentative="1">
      <w:start w:val="1"/>
      <w:numFmt w:val="lowerLetter"/>
      <w:lvlText w:val="%2."/>
      <w:lvlJc w:val="left"/>
      <w:pPr>
        <w:tabs>
          <w:tab w:val="num" w:pos="1837"/>
        </w:tabs>
        <w:ind w:left="1837" w:hanging="360"/>
      </w:pPr>
    </w:lvl>
    <w:lvl w:ilvl="2" w:tplc="0409001B" w:tentative="1">
      <w:start w:val="1"/>
      <w:numFmt w:val="lowerRoman"/>
      <w:lvlText w:val="%3."/>
      <w:lvlJc w:val="right"/>
      <w:pPr>
        <w:tabs>
          <w:tab w:val="num" w:pos="2557"/>
        </w:tabs>
        <w:ind w:left="2557" w:hanging="180"/>
      </w:pPr>
    </w:lvl>
    <w:lvl w:ilvl="3" w:tplc="0409000F" w:tentative="1">
      <w:start w:val="1"/>
      <w:numFmt w:val="decimal"/>
      <w:lvlText w:val="%4."/>
      <w:lvlJc w:val="left"/>
      <w:pPr>
        <w:tabs>
          <w:tab w:val="num" w:pos="3277"/>
        </w:tabs>
        <w:ind w:left="3277" w:hanging="360"/>
      </w:pPr>
    </w:lvl>
    <w:lvl w:ilvl="4" w:tplc="04090019" w:tentative="1">
      <w:start w:val="1"/>
      <w:numFmt w:val="lowerLetter"/>
      <w:lvlText w:val="%5."/>
      <w:lvlJc w:val="left"/>
      <w:pPr>
        <w:tabs>
          <w:tab w:val="num" w:pos="3997"/>
        </w:tabs>
        <w:ind w:left="3997" w:hanging="360"/>
      </w:pPr>
    </w:lvl>
    <w:lvl w:ilvl="5" w:tplc="0409001B" w:tentative="1">
      <w:start w:val="1"/>
      <w:numFmt w:val="lowerRoman"/>
      <w:lvlText w:val="%6."/>
      <w:lvlJc w:val="right"/>
      <w:pPr>
        <w:tabs>
          <w:tab w:val="num" w:pos="4717"/>
        </w:tabs>
        <w:ind w:left="4717" w:hanging="180"/>
      </w:pPr>
    </w:lvl>
    <w:lvl w:ilvl="6" w:tplc="0409000F" w:tentative="1">
      <w:start w:val="1"/>
      <w:numFmt w:val="decimal"/>
      <w:lvlText w:val="%7."/>
      <w:lvlJc w:val="left"/>
      <w:pPr>
        <w:tabs>
          <w:tab w:val="num" w:pos="5437"/>
        </w:tabs>
        <w:ind w:left="5437" w:hanging="360"/>
      </w:pPr>
    </w:lvl>
    <w:lvl w:ilvl="7" w:tplc="04090019" w:tentative="1">
      <w:start w:val="1"/>
      <w:numFmt w:val="lowerLetter"/>
      <w:lvlText w:val="%8."/>
      <w:lvlJc w:val="left"/>
      <w:pPr>
        <w:tabs>
          <w:tab w:val="num" w:pos="6157"/>
        </w:tabs>
        <w:ind w:left="6157" w:hanging="360"/>
      </w:pPr>
    </w:lvl>
    <w:lvl w:ilvl="8" w:tplc="0409001B" w:tentative="1">
      <w:start w:val="1"/>
      <w:numFmt w:val="lowerRoman"/>
      <w:lvlText w:val="%9."/>
      <w:lvlJc w:val="right"/>
      <w:pPr>
        <w:tabs>
          <w:tab w:val="num" w:pos="6877"/>
        </w:tabs>
        <w:ind w:left="6877" w:hanging="180"/>
      </w:pPr>
    </w:lvl>
  </w:abstractNum>
  <w:abstractNum w:abstractNumId="8">
    <w:nsid w:val="4AE160F9"/>
    <w:multiLevelType w:val="hybridMultilevel"/>
    <w:tmpl w:val="0742AD1E"/>
    <w:lvl w:ilvl="0" w:tplc="031A46D6">
      <w:start w:val="1"/>
      <w:numFmt w:val="bullet"/>
      <w:lvlText w:val=""/>
      <w:lvlJc w:val="left"/>
      <w:pPr>
        <w:tabs>
          <w:tab w:val="num" w:pos="567"/>
        </w:tabs>
        <w:ind w:left="567" w:hanging="170"/>
      </w:pPr>
      <w:rPr>
        <w:rFonts w:ascii="Symbol" w:hAnsi="Symbol" w:hint="default"/>
      </w:rPr>
    </w:lvl>
    <w:lvl w:ilvl="1" w:tplc="04090003" w:tentative="1">
      <w:start w:val="1"/>
      <w:numFmt w:val="bullet"/>
      <w:lvlText w:val="o"/>
      <w:lvlJc w:val="left"/>
      <w:pPr>
        <w:tabs>
          <w:tab w:val="num" w:pos="1837"/>
        </w:tabs>
        <w:ind w:left="1837" w:hanging="360"/>
      </w:pPr>
      <w:rPr>
        <w:rFonts w:ascii="Courier New" w:hAnsi="Courier New" w:cs="Courier New" w:hint="default"/>
      </w:rPr>
    </w:lvl>
    <w:lvl w:ilvl="2" w:tplc="04090005" w:tentative="1">
      <w:start w:val="1"/>
      <w:numFmt w:val="bullet"/>
      <w:lvlText w:val=""/>
      <w:lvlJc w:val="left"/>
      <w:pPr>
        <w:tabs>
          <w:tab w:val="num" w:pos="2557"/>
        </w:tabs>
        <w:ind w:left="2557" w:hanging="360"/>
      </w:pPr>
      <w:rPr>
        <w:rFonts w:ascii="Wingdings" w:hAnsi="Wingdings" w:hint="default"/>
      </w:rPr>
    </w:lvl>
    <w:lvl w:ilvl="3" w:tplc="04090001" w:tentative="1">
      <w:start w:val="1"/>
      <w:numFmt w:val="bullet"/>
      <w:lvlText w:val=""/>
      <w:lvlJc w:val="left"/>
      <w:pPr>
        <w:tabs>
          <w:tab w:val="num" w:pos="3277"/>
        </w:tabs>
        <w:ind w:left="3277" w:hanging="360"/>
      </w:pPr>
      <w:rPr>
        <w:rFonts w:ascii="Symbol" w:hAnsi="Symbol" w:hint="default"/>
      </w:rPr>
    </w:lvl>
    <w:lvl w:ilvl="4" w:tplc="04090003" w:tentative="1">
      <w:start w:val="1"/>
      <w:numFmt w:val="bullet"/>
      <w:lvlText w:val="o"/>
      <w:lvlJc w:val="left"/>
      <w:pPr>
        <w:tabs>
          <w:tab w:val="num" w:pos="3997"/>
        </w:tabs>
        <w:ind w:left="3997" w:hanging="360"/>
      </w:pPr>
      <w:rPr>
        <w:rFonts w:ascii="Courier New" w:hAnsi="Courier New" w:cs="Courier New" w:hint="default"/>
      </w:rPr>
    </w:lvl>
    <w:lvl w:ilvl="5" w:tplc="04090005" w:tentative="1">
      <w:start w:val="1"/>
      <w:numFmt w:val="bullet"/>
      <w:lvlText w:val=""/>
      <w:lvlJc w:val="left"/>
      <w:pPr>
        <w:tabs>
          <w:tab w:val="num" w:pos="4717"/>
        </w:tabs>
        <w:ind w:left="4717" w:hanging="360"/>
      </w:pPr>
      <w:rPr>
        <w:rFonts w:ascii="Wingdings" w:hAnsi="Wingdings" w:hint="default"/>
      </w:rPr>
    </w:lvl>
    <w:lvl w:ilvl="6" w:tplc="04090001" w:tentative="1">
      <w:start w:val="1"/>
      <w:numFmt w:val="bullet"/>
      <w:lvlText w:val=""/>
      <w:lvlJc w:val="left"/>
      <w:pPr>
        <w:tabs>
          <w:tab w:val="num" w:pos="5437"/>
        </w:tabs>
        <w:ind w:left="5437" w:hanging="360"/>
      </w:pPr>
      <w:rPr>
        <w:rFonts w:ascii="Symbol" w:hAnsi="Symbol" w:hint="default"/>
      </w:rPr>
    </w:lvl>
    <w:lvl w:ilvl="7" w:tplc="04090003" w:tentative="1">
      <w:start w:val="1"/>
      <w:numFmt w:val="bullet"/>
      <w:lvlText w:val="o"/>
      <w:lvlJc w:val="left"/>
      <w:pPr>
        <w:tabs>
          <w:tab w:val="num" w:pos="6157"/>
        </w:tabs>
        <w:ind w:left="6157" w:hanging="360"/>
      </w:pPr>
      <w:rPr>
        <w:rFonts w:ascii="Courier New" w:hAnsi="Courier New" w:cs="Courier New" w:hint="default"/>
      </w:rPr>
    </w:lvl>
    <w:lvl w:ilvl="8" w:tplc="04090005" w:tentative="1">
      <w:start w:val="1"/>
      <w:numFmt w:val="bullet"/>
      <w:lvlText w:val=""/>
      <w:lvlJc w:val="left"/>
      <w:pPr>
        <w:tabs>
          <w:tab w:val="num" w:pos="6877"/>
        </w:tabs>
        <w:ind w:left="6877" w:hanging="360"/>
      </w:pPr>
      <w:rPr>
        <w:rFonts w:ascii="Wingdings" w:hAnsi="Wingdings" w:hint="default"/>
      </w:rPr>
    </w:lvl>
  </w:abstractNum>
  <w:abstractNum w:abstractNumId="9">
    <w:nsid w:val="51E63D72"/>
    <w:multiLevelType w:val="multilevel"/>
    <w:tmpl w:val="B73E7DF2"/>
    <w:lvl w:ilvl="0">
      <w:start w:val="1"/>
      <w:numFmt w:val="bullet"/>
      <w:lvlText w:val=""/>
      <w:lvlJc w:val="left"/>
      <w:pPr>
        <w:tabs>
          <w:tab w:val="num" w:pos="567"/>
        </w:tabs>
        <w:ind w:left="567" w:hanging="170"/>
      </w:pPr>
      <w:rPr>
        <w:rFonts w:ascii="Symbol" w:hAnsi="Symbol" w:hint="default"/>
        <w:color w:val="auto"/>
      </w:rPr>
    </w:lvl>
    <w:lvl w:ilvl="1">
      <w:start w:val="1"/>
      <w:numFmt w:val="bullet"/>
      <w:lvlText w:val="o"/>
      <w:lvlJc w:val="left"/>
      <w:pPr>
        <w:tabs>
          <w:tab w:val="num" w:pos="1837"/>
        </w:tabs>
        <w:ind w:left="1837" w:hanging="360"/>
      </w:pPr>
      <w:rPr>
        <w:rFonts w:ascii="Courier New" w:hAnsi="Courier New" w:cs="Courier New" w:hint="default"/>
      </w:rPr>
    </w:lvl>
    <w:lvl w:ilvl="2">
      <w:start w:val="1"/>
      <w:numFmt w:val="bullet"/>
      <w:lvlText w:val=""/>
      <w:lvlJc w:val="left"/>
      <w:pPr>
        <w:tabs>
          <w:tab w:val="num" w:pos="2557"/>
        </w:tabs>
        <w:ind w:left="2557" w:hanging="360"/>
      </w:pPr>
      <w:rPr>
        <w:rFonts w:ascii="Wingdings" w:hAnsi="Wingdings" w:hint="default"/>
      </w:rPr>
    </w:lvl>
    <w:lvl w:ilvl="3">
      <w:start w:val="1"/>
      <w:numFmt w:val="bullet"/>
      <w:lvlText w:val=""/>
      <w:lvlJc w:val="left"/>
      <w:pPr>
        <w:tabs>
          <w:tab w:val="num" w:pos="3277"/>
        </w:tabs>
        <w:ind w:left="3277" w:hanging="360"/>
      </w:pPr>
      <w:rPr>
        <w:rFonts w:ascii="Symbol" w:hAnsi="Symbol" w:hint="default"/>
      </w:rPr>
    </w:lvl>
    <w:lvl w:ilvl="4">
      <w:start w:val="1"/>
      <w:numFmt w:val="bullet"/>
      <w:lvlText w:val="o"/>
      <w:lvlJc w:val="left"/>
      <w:pPr>
        <w:tabs>
          <w:tab w:val="num" w:pos="3997"/>
        </w:tabs>
        <w:ind w:left="3997" w:hanging="360"/>
      </w:pPr>
      <w:rPr>
        <w:rFonts w:ascii="Courier New" w:hAnsi="Courier New" w:cs="Courier New" w:hint="default"/>
      </w:rPr>
    </w:lvl>
    <w:lvl w:ilvl="5">
      <w:start w:val="1"/>
      <w:numFmt w:val="bullet"/>
      <w:lvlText w:val=""/>
      <w:lvlJc w:val="left"/>
      <w:pPr>
        <w:tabs>
          <w:tab w:val="num" w:pos="4717"/>
        </w:tabs>
        <w:ind w:left="4717" w:hanging="360"/>
      </w:pPr>
      <w:rPr>
        <w:rFonts w:ascii="Wingdings" w:hAnsi="Wingdings" w:hint="default"/>
      </w:rPr>
    </w:lvl>
    <w:lvl w:ilvl="6">
      <w:start w:val="1"/>
      <w:numFmt w:val="bullet"/>
      <w:lvlText w:val=""/>
      <w:lvlJc w:val="left"/>
      <w:pPr>
        <w:tabs>
          <w:tab w:val="num" w:pos="5437"/>
        </w:tabs>
        <w:ind w:left="5437" w:hanging="360"/>
      </w:pPr>
      <w:rPr>
        <w:rFonts w:ascii="Symbol" w:hAnsi="Symbol" w:hint="default"/>
      </w:rPr>
    </w:lvl>
    <w:lvl w:ilvl="7">
      <w:start w:val="1"/>
      <w:numFmt w:val="bullet"/>
      <w:lvlText w:val="o"/>
      <w:lvlJc w:val="left"/>
      <w:pPr>
        <w:tabs>
          <w:tab w:val="num" w:pos="6157"/>
        </w:tabs>
        <w:ind w:left="6157" w:hanging="360"/>
      </w:pPr>
      <w:rPr>
        <w:rFonts w:ascii="Courier New" w:hAnsi="Courier New" w:cs="Courier New" w:hint="default"/>
      </w:rPr>
    </w:lvl>
    <w:lvl w:ilvl="8">
      <w:start w:val="1"/>
      <w:numFmt w:val="bullet"/>
      <w:lvlText w:val=""/>
      <w:lvlJc w:val="left"/>
      <w:pPr>
        <w:tabs>
          <w:tab w:val="num" w:pos="6877"/>
        </w:tabs>
        <w:ind w:left="6877" w:hanging="360"/>
      </w:pPr>
      <w:rPr>
        <w:rFonts w:ascii="Wingdings" w:hAnsi="Wingdings" w:hint="default"/>
      </w:rPr>
    </w:lvl>
  </w:abstractNum>
  <w:abstractNum w:abstractNumId="10">
    <w:nsid w:val="52D57BB3"/>
    <w:multiLevelType w:val="hybridMultilevel"/>
    <w:tmpl w:val="B73E7DF2"/>
    <w:lvl w:ilvl="0" w:tplc="30549144">
      <w:start w:val="1"/>
      <w:numFmt w:val="bullet"/>
      <w:lvlText w:val=""/>
      <w:lvlJc w:val="left"/>
      <w:pPr>
        <w:tabs>
          <w:tab w:val="num" w:pos="567"/>
        </w:tabs>
        <w:ind w:left="567" w:hanging="170"/>
      </w:pPr>
      <w:rPr>
        <w:rFonts w:ascii="Symbol" w:hAnsi="Symbol" w:hint="default"/>
        <w:color w:val="auto"/>
      </w:rPr>
    </w:lvl>
    <w:lvl w:ilvl="1" w:tplc="04090003" w:tentative="1">
      <w:start w:val="1"/>
      <w:numFmt w:val="bullet"/>
      <w:lvlText w:val="o"/>
      <w:lvlJc w:val="left"/>
      <w:pPr>
        <w:tabs>
          <w:tab w:val="num" w:pos="1837"/>
        </w:tabs>
        <w:ind w:left="1837" w:hanging="360"/>
      </w:pPr>
      <w:rPr>
        <w:rFonts w:ascii="Courier New" w:hAnsi="Courier New" w:cs="Courier New" w:hint="default"/>
      </w:rPr>
    </w:lvl>
    <w:lvl w:ilvl="2" w:tplc="04090005" w:tentative="1">
      <w:start w:val="1"/>
      <w:numFmt w:val="bullet"/>
      <w:lvlText w:val=""/>
      <w:lvlJc w:val="left"/>
      <w:pPr>
        <w:tabs>
          <w:tab w:val="num" w:pos="2557"/>
        </w:tabs>
        <w:ind w:left="2557" w:hanging="360"/>
      </w:pPr>
      <w:rPr>
        <w:rFonts w:ascii="Wingdings" w:hAnsi="Wingdings" w:hint="default"/>
      </w:rPr>
    </w:lvl>
    <w:lvl w:ilvl="3" w:tplc="04090001" w:tentative="1">
      <w:start w:val="1"/>
      <w:numFmt w:val="bullet"/>
      <w:lvlText w:val=""/>
      <w:lvlJc w:val="left"/>
      <w:pPr>
        <w:tabs>
          <w:tab w:val="num" w:pos="3277"/>
        </w:tabs>
        <w:ind w:left="3277" w:hanging="360"/>
      </w:pPr>
      <w:rPr>
        <w:rFonts w:ascii="Symbol" w:hAnsi="Symbol" w:hint="default"/>
      </w:rPr>
    </w:lvl>
    <w:lvl w:ilvl="4" w:tplc="04090003" w:tentative="1">
      <w:start w:val="1"/>
      <w:numFmt w:val="bullet"/>
      <w:lvlText w:val="o"/>
      <w:lvlJc w:val="left"/>
      <w:pPr>
        <w:tabs>
          <w:tab w:val="num" w:pos="3997"/>
        </w:tabs>
        <w:ind w:left="3997" w:hanging="360"/>
      </w:pPr>
      <w:rPr>
        <w:rFonts w:ascii="Courier New" w:hAnsi="Courier New" w:cs="Courier New" w:hint="default"/>
      </w:rPr>
    </w:lvl>
    <w:lvl w:ilvl="5" w:tplc="04090005" w:tentative="1">
      <w:start w:val="1"/>
      <w:numFmt w:val="bullet"/>
      <w:lvlText w:val=""/>
      <w:lvlJc w:val="left"/>
      <w:pPr>
        <w:tabs>
          <w:tab w:val="num" w:pos="4717"/>
        </w:tabs>
        <w:ind w:left="4717" w:hanging="360"/>
      </w:pPr>
      <w:rPr>
        <w:rFonts w:ascii="Wingdings" w:hAnsi="Wingdings" w:hint="default"/>
      </w:rPr>
    </w:lvl>
    <w:lvl w:ilvl="6" w:tplc="04090001" w:tentative="1">
      <w:start w:val="1"/>
      <w:numFmt w:val="bullet"/>
      <w:lvlText w:val=""/>
      <w:lvlJc w:val="left"/>
      <w:pPr>
        <w:tabs>
          <w:tab w:val="num" w:pos="5437"/>
        </w:tabs>
        <w:ind w:left="5437" w:hanging="360"/>
      </w:pPr>
      <w:rPr>
        <w:rFonts w:ascii="Symbol" w:hAnsi="Symbol" w:hint="default"/>
      </w:rPr>
    </w:lvl>
    <w:lvl w:ilvl="7" w:tplc="04090003" w:tentative="1">
      <w:start w:val="1"/>
      <w:numFmt w:val="bullet"/>
      <w:lvlText w:val="o"/>
      <w:lvlJc w:val="left"/>
      <w:pPr>
        <w:tabs>
          <w:tab w:val="num" w:pos="6157"/>
        </w:tabs>
        <w:ind w:left="6157" w:hanging="360"/>
      </w:pPr>
      <w:rPr>
        <w:rFonts w:ascii="Courier New" w:hAnsi="Courier New" w:cs="Courier New" w:hint="default"/>
      </w:rPr>
    </w:lvl>
    <w:lvl w:ilvl="8" w:tplc="04090005" w:tentative="1">
      <w:start w:val="1"/>
      <w:numFmt w:val="bullet"/>
      <w:lvlText w:val=""/>
      <w:lvlJc w:val="left"/>
      <w:pPr>
        <w:tabs>
          <w:tab w:val="num" w:pos="6877"/>
        </w:tabs>
        <w:ind w:left="6877" w:hanging="360"/>
      </w:pPr>
      <w:rPr>
        <w:rFonts w:ascii="Wingdings" w:hAnsi="Wingdings" w:hint="default"/>
      </w:rPr>
    </w:lvl>
  </w:abstractNum>
  <w:abstractNum w:abstractNumId="11">
    <w:nsid w:val="66F805C0"/>
    <w:multiLevelType w:val="hybridMultilevel"/>
    <w:tmpl w:val="96E44E66"/>
    <w:lvl w:ilvl="0" w:tplc="7C3ECE7A">
      <w:start w:val="1"/>
      <w:numFmt w:val="decimal"/>
      <w:lvlText w:val="%1)"/>
      <w:lvlJc w:val="left"/>
      <w:pPr>
        <w:tabs>
          <w:tab w:val="num" w:pos="1042"/>
        </w:tabs>
        <w:ind w:left="1042" w:hanging="645"/>
      </w:pPr>
      <w:rPr>
        <w:rFonts w:hint="default"/>
      </w:rPr>
    </w:lvl>
    <w:lvl w:ilvl="1" w:tplc="04090019" w:tentative="1">
      <w:start w:val="1"/>
      <w:numFmt w:val="lowerLetter"/>
      <w:lvlText w:val="%2."/>
      <w:lvlJc w:val="left"/>
      <w:pPr>
        <w:tabs>
          <w:tab w:val="num" w:pos="1477"/>
        </w:tabs>
        <w:ind w:left="1477" w:hanging="360"/>
      </w:pPr>
    </w:lvl>
    <w:lvl w:ilvl="2" w:tplc="0409001B" w:tentative="1">
      <w:start w:val="1"/>
      <w:numFmt w:val="lowerRoman"/>
      <w:lvlText w:val="%3."/>
      <w:lvlJc w:val="right"/>
      <w:pPr>
        <w:tabs>
          <w:tab w:val="num" w:pos="2197"/>
        </w:tabs>
        <w:ind w:left="2197" w:hanging="180"/>
      </w:pPr>
    </w:lvl>
    <w:lvl w:ilvl="3" w:tplc="0409000F" w:tentative="1">
      <w:start w:val="1"/>
      <w:numFmt w:val="decimal"/>
      <w:lvlText w:val="%4."/>
      <w:lvlJc w:val="left"/>
      <w:pPr>
        <w:tabs>
          <w:tab w:val="num" w:pos="2917"/>
        </w:tabs>
        <w:ind w:left="2917" w:hanging="360"/>
      </w:pPr>
    </w:lvl>
    <w:lvl w:ilvl="4" w:tplc="04090019" w:tentative="1">
      <w:start w:val="1"/>
      <w:numFmt w:val="lowerLetter"/>
      <w:lvlText w:val="%5."/>
      <w:lvlJc w:val="left"/>
      <w:pPr>
        <w:tabs>
          <w:tab w:val="num" w:pos="3637"/>
        </w:tabs>
        <w:ind w:left="3637" w:hanging="360"/>
      </w:pPr>
    </w:lvl>
    <w:lvl w:ilvl="5" w:tplc="0409001B" w:tentative="1">
      <w:start w:val="1"/>
      <w:numFmt w:val="lowerRoman"/>
      <w:lvlText w:val="%6."/>
      <w:lvlJc w:val="right"/>
      <w:pPr>
        <w:tabs>
          <w:tab w:val="num" w:pos="4357"/>
        </w:tabs>
        <w:ind w:left="4357" w:hanging="180"/>
      </w:pPr>
    </w:lvl>
    <w:lvl w:ilvl="6" w:tplc="0409000F" w:tentative="1">
      <w:start w:val="1"/>
      <w:numFmt w:val="decimal"/>
      <w:lvlText w:val="%7."/>
      <w:lvlJc w:val="left"/>
      <w:pPr>
        <w:tabs>
          <w:tab w:val="num" w:pos="5077"/>
        </w:tabs>
        <w:ind w:left="5077" w:hanging="360"/>
      </w:pPr>
    </w:lvl>
    <w:lvl w:ilvl="7" w:tplc="04090019" w:tentative="1">
      <w:start w:val="1"/>
      <w:numFmt w:val="lowerLetter"/>
      <w:lvlText w:val="%8."/>
      <w:lvlJc w:val="left"/>
      <w:pPr>
        <w:tabs>
          <w:tab w:val="num" w:pos="5797"/>
        </w:tabs>
        <w:ind w:left="5797" w:hanging="360"/>
      </w:pPr>
    </w:lvl>
    <w:lvl w:ilvl="8" w:tplc="0409001B" w:tentative="1">
      <w:start w:val="1"/>
      <w:numFmt w:val="lowerRoman"/>
      <w:lvlText w:val="%9."/>
      <w:lvlJc w:val="right"/>
      <w:pPr>
        <w:tabs>
          <w:tab w:val="num" w:pos="6517"/>
        </w:tabs>
        <w:ind w:left="6517" w:hanging="180"/>
      </w:pPr>
    </w:lvl>
  </w:abstractNum>
  <w:abstractNum w:abstractNumId="12">
    <w:nsid w:val="7DD532F3"/>
    <w:multiLevelType w:val="hybridMultilevel"/>
    <w:tmpl w:val="8982E534"/>
    <w:lvl w:ilvl="0" w:tplc="05C00C64">
      <w:start w:val="1"/>
      <w:numFmt w:val="bullet"/>
      <w:lvlText w:val=""/>
      <w:lvlJc w:val="left"/>
      <w:pPr>
        <w:tabs>
          <w:tab w:val="num" w:pos="680"/>
        </w:tabs>
        <w:ind w:left="680" w:hanging="283"/>
      </w:pPr>
      <w:rPr>
        <w:rFonts w:ascii="Symbol" w:hAnsi="Symbol" w:hint="default"/>
        <w:color w:val="auto"/>
      </w:rPr>
    </w:lvl>
    <w:lvl w:ilvl="1" w:tplc="04090003" w:tentative="1">
      <w:start w:val="1"/>
      <w:numFmt w:val="bullet"/>
      <w:lvlText w:val="o"/>
      <w:lvlJc w:val="left"/>
      <w:pPr>
        <w:tabs>
          <w:tab w:val="num" w:pos="1837"/>
        </w:tabs>
        <w:ind w:left="1837" w:hanging="360"/>
      </w:pPr>
      <w:rPr>
        <w:rFonts w:ascii="Courier New" w:hAnsi="Courier New" w:cs="Courier New" w:hint="default"/>
      </w:rPr>
    </w:lvl>
    <w:lvl w:ilvl="2" w:tplc="04090005" w:tentative="1">
      <w:start w:val="1"/>
      <w:numFmt w:val="bullet"/>
      <w:lvlText w:val=""/>
      <w:lvlJc w:val="left"/>
      <w:pPr>
        <w:tabs>
          <w:tab w:val="num" w:pos="2557"/>
        </w:tabs>
        <w:ind w:left="2557" w:hanging="360"/>
      </w:pPr>
      <w:rPr>
        <w:rFonts w:ascii="Wingdings" w:hAnsi="Wingdings" w:hint="default"/>
      </w:rPr>
    </w:lvl>
    <w:lvl w:ilvl="3" w:tplc="04090001" w:tentative="1">
      <w:start w:val="1"/>
      <w:numFmt w:val="bullet"/>
      <w:lvlText w:val=""/>
      <w:lvlJc w:val="left"/>
      <w:pPr>
        <w:tabs>
          <w:tab w:val="num" w:pos="3277"/>
        </w:tabs>
        <w:ind w:left="3277" w:hanging="360"/>
      </w:pPr>
      <w:rPr>
        <w:rFonts w:ascii="Symbol" w:hAnsi="Symbol" w:hint="default"/>
      </w:rPr>
    </w:lvl>
    <w:lvl w:ilvl="4" w:tplc="04090003" w:tentative="1">
      <w:start w:val="1"/>
      <w:numFmt w:val="bullet"/>
      <w:lvlText w:val="o"/>
      <w:lvlJc w:val="left"/>
      <w:pPr>
        <w:tabs>
          <w:tab w:val="num" w:pos="3997"/>
        </w:tabs>
        <w:ind w:left="3997" w:hanging="360"/>
      </w:pPr>
      <w:rPr>
        <w:rFonts w:ascii="Courier New" w:hAnsi="Courier New" w:cs="Courier New" w:hint="default"/>
      </w:rPr>
    </w:lvl>
    <w:lvl w:ilvl="5" w:tplc="04090005" w:tentative="1">
      <w:start w:val="1"/>
      <w:numFmt w:val="bullet"/>
      <w:lvlText w:val=""/>
      <w:lvlJc w:val="left"/>
      <w:pPr>
        <w:tabs>
          <w:tab w:val="num" w:pos="4717"/>
        </w:tabs>
        <w:ind w:left="4717" w:hanging="360"/>
      </w:pPr>
      <w:rPr>
        <w:rFonts w:ascii="Wingdings" w:hAnsi="Wingdings" w:hint="default"/>
      </w:rPr>
    </w:lvl>
    <w:lvl w:ilvl="6" w:tplc="04090001" w:tentative="1">
      <w:start w:val="1"/>
      <w:numFmt w:val="bullet"/>
      <w:lvlText w:val=""/>
      <w:lvlJc w:val="left"/>
      <w:pPr>
        <w:tabs>
          <w:tab w:val="num" w:pos="5437"/>
        </w:tabs>
        <w:ind w:left="5437" w:hanging="360"/>
      </w:pPr>
      <w:rPr>
        <w:rFonts w:ascii="Symbol" w:hAnsi="Symbol" w:hint="default"/>
      </w:rPr>
    </w:lvl>
    <w:lvl w:ilvl="7" w:tplc="04090003" w:tentative="1">
      <w:start w:val="1"/>
      <w:numFmt w:val="bullet"/>
      <w:lvlText w:val="o"/>
      <w:lvlJc w:val="left"/>
      <w:pPr>
        <w:tabs>
          <w:tab w:val="num" w:pos="6157"/>
        </w:tabs>
        <w:ind w:left="6157" w:hanging="360"/>
      </w:pPr>
      <w:rPr>
        <w:rFonts w:ascii="Courier New" w:hAnsi="Courier New" w:cs="Courier New" w:hint="default"/>
      </w:rPr>
    </w:lvl>
    <w:lvl w:ilvl="8" w:tplc="04090005" w:tentative="1">
      <w:start w:val="1"/>
      <w:numFmt w:val="bullet"/>
      <w:lvlText w:val=""/>
      <w:lvlJc w:val="left"/>
      <w:pPr>
        <w:tabs>
          <w:tab w:val="num" w:pos="6877"/>
        </w:tabs>
        <w:ind w:left="6877" w:hanging="360"/>
      </w:pPr>
      <w:rPr>
        <w:rFonts w:ascii="Wingdings" w:hAnsi="Wingdings" w:hint="default"/>
      </w:rPr>
    </w:lvl>
  </w:abstractNum>
  <w:num w:numId="1">
    <w:abstractNumId w:val="1"/>
  </w:num>
  <w:num w:numId="2">
    <w:abstractNumId w:val="5"/>
  </w:num>
  <w:num w:numId="3">
    <w:abstractNumId w:val="7"/>
  </w:num>
  <w:num w:numId="4">
    <w:abstractNumId w:val="11"/>
  </w:num>
  <w:num w:numId="5">
    <w:abstractNumId w:val="2"/>
  </w:num>
  <w:num w:numId="6">
    <w:abstractNumId w:val="8"/>
  </w:num>
  <w:num w:numId="7">
    <w:abstractNumId w:val="4"/>
  </w:num>
  <w:num w:numId="8">
    <w:abstractNumId w:val="10"/>
  </w:num>
  <w:num w:numId="9">
    <w:abstractNumId w:val="9"/>
  </w:num>
  <w:num w:numId="10">
    <w:abstractNumId w:val="12"/>
  </w:num>
  <w:num w:numId="11">
    <w:abstractNumId w:val="5"/>
  </w:num>
  <w:num w:numId="12">
    <w:abstractNumId w:val="6"/>
  </w:num>
  <w:num w:numId="13">
    <w:abstractNumId w:val="3"/>
  </w:num>
  <w:num w:numId="14">
    <w:abstractNumId w:val="6"/>
  </w:num>
  <w:num w:numId="15">
    <w:abstractNumId w:val="5"/>
  </w:num>
  <w:num w:numId="16">
    <w:abstractNumId w:val="3"/>
  </w:num>
  <w:num w:numId="17">
    <w:abstractNumId w:val="6"/>
  </w:num>
  <w:num w:numId="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5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evenAndOddHeaders/>
  <w:drawingGridHorizontalSpacing w:val="100"/>
  <w:drawingGridVerticalSpacing w:val="136"/>
  <w:displayHorizontalDrawingGridEvery w:val="0"/>
  <w:displayVerticalDrawingGridEvery w:val="2"/>
  <w:noPunctuationKerning/>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60E84"/>
    <w:rsid w:val="00001904"/>
    <w:rsid w:val="000447C5"/>
    <w:rsid w:val="00067C65"/>
    <w:rsid w:val="00083B6A"/>
    <w:rsid w:val="000D0193"/>
    <w:rsid w:val="000D2855"/>
    <w:rsid w:val="000F4A25"/>
    <w:rsid w:val="00152AAD"/>
    <w:rsid w:val="00155446"/>
    <w:rsid w:val="00160E84"/>
    <w:rsid w:val="00162B02"/>
    <w:rsid w:val="00171D52"/>
    <w:rsid w:val="001E037F"/>
    <w:rsid w:val="00213E73"/>
    <w:rsid w:val="00234B81"/>
    <w:rsid w:val="00235854"/>
    <w:rsid w:val="002500D6"/>
    <w:rsid w:val="002501A7"/>
    <w:rsid w:val="00256C7D"/>
    <w:rsid w:val="002705D2"/>
    <w:rsid w:val="002C3C26"/>
    <w:rsid w:val="00315F32"/>
    <w:rsid w:val="003455F3"/>
    <w:rsid w:val="003801B3"/>
    <w:rsid w:val="003A5A1F"/>
    <w:rsid w:val="003B317D"/>
    <w:rsid w:val="003E7FA3"/>
    <w:rsid w:val="00423302"/>
    <w:rsid w:val="00426542"/>
    <w:rsid w:val="00456252"/>
    <w:rsid w:val="00461784"/>
    <w:rsid w:val="004E2971"/>
    <w:rsid w:val="00511237"/>
    <w:rsid w:val="00511323"/>
    <w:rsid w:val="0051472C"/>
    <w:rsid w:val="00530D9E"/>
    <w:rsid w:val="005776AA"/>
    <w:rsid w:val="005B5D24"/>
    <w:rsid w:val="005B70D6"/>
    <w:rsid w:val="005F21B2"/>
    <w:rsid w:val="00620217"/>
    <w:rsid w:val="006225B4"/>
    <w:rsid w:val="006347BD"/>
    <w:rsid w:val="00663036"/>
    <w:rsid w:val="006D7C11"/>
    <w:rsid w:val="00705EF8"/>
    <w:rsid w:val="007146FE"/>
    <w:rsid w:val="00763A48"/>
    <w:rsid w:val="00776244"/>
    <w:rsid w:val="007A1998"/>
    <w:rsid w:val="007D334D"/>
    <w:rsid w:val="007F08DC"/>
    <w:rsid w:val="00827BEC"/>
    <w:rsid w:val="0083010A"/>
    <w:rsid w:val="00871F77"/>
    <w:rsid w:val="0089708B"/>
    <w:rsid w:val="008C682C"/>
    <w:rsid w:val="008E56AA"/>
    <w:rsid w:val="008F13D6"/>
    <w:rsid w:val="00907929"/>
    <w:rsid w:val="0095449F"/>
    <w:rsid w:val="00962FFF"/>
    <w:rsid w:val="00981770"/>
    <w:rsid w:val="009A69B9"/>
    <w:rsid w:val="009B70FE"/>
    <w:rsid w:val="009D6200"/>
    <w:rsid w:val="00A017E1"/>
    <w:rsid w:val="00A02B12"/>
    <w:rsid w:val="00A27A41"/>
    <w:rsid w:val="00A3445B"/>
    <w:rsid w:val="00A36255"/>
    <w:rsid w:val="00A51B2E"/>
    <w:rsid w:val="00A522ED"/>
    <w:rsid w:val="00A71106"/>
    <w:rsid w:val="00A74FCD"/>
    <w:rsid w:val="00A80447"/>
    <w:rsid w:val="00AC23A9"/>
    <w:rsid w:val="00AD6E1B"/>
    <w:rsid w:val="00B43680"/>
    <w:rsid w:val="00B578C2"/>
    <w:rsid w:val="00B939B1"/>
    <w:rsid w:val="00BB6C11"/>
    <w:rsid w:val="00BE1EFA"/>
    <w:rsid w:val="00BF04EC"/>
    <w:rsid w:val="00C0673B"/>
    <w:rsid w:val="00C127A7"/>
    <w:rsid w:val="00C6631F"/>
    <w:rsid w:val="00C70195"/>
    <w:rsid w:val="00CD11F0"/>
    <w:rsid w:val="00D33C2C"/>
    <w:rsid w:val="00D36823"/>
    <w:rsid w:val="00D36D7C"/>
    <w:rsid w:val="00D37F20"/>
    <w:rsid w:val="00D43C61"/>
    <w:rsid w:val="00D50D8E"/>
    <w:rsid w:val="00D67DDE"/>
    <w:rsid w:val="00DA28DB"/>
    <w:rsid w:val="00E05B11"/>
    <w:rsid w:val="00E06729"/>
    <w:rsid w:val="00E24519"/>
    <w:rsid w:val="00E25437"/>
    <w:rsid w:val="00E27D9D"/>
    <w:rsid w:val="00E62FED"/>
    <w:rsid w:val="00EA3FD1"/>
    <w:rsid w:val="00EC0475"/>
    <w:rsid w:val="00F26942"/>
    <w:rsid w:val="00F714C7"/>
    <w:rsid w:val="00F8200F"/>
    <w:rsid w:val="00F84B94"/>
    <w:rsid w:val="00FD0F51"/>
    <w:rsid w:val="00FE6CD8"/>
    <w:rsid w:val="00FF0C4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Street"/>
  <w:smartTagType w:namespaceuri="urn:schemas-microsoft-com:office:smarttags" w:name="City"/>
  <w:smartTagType w:namespaceuri="urn:schemas-microsoft-com:office:smarttags" w:name="place"/>
  <w:smartTagType w:namespaceuri="urn:schemas-microsoft-com:office:smarttags" w:name="country-region"/>
  <w:shapeDefaults>
    <o:shapedefaults v:ext="edit" spidmax="2049"/>
    <o:shapelayout v:ext="edit">
      <o:idmap v:ext="edit" data="1"/>
    </o:shapelayout>
  </w:shapeDefaults>
  <w:decimalSymbol w:val="."/>
  <w:listSeparator w:val=","/>
  <w15:chartTrackingRefBased/>
  <w15:docId w15:val="{D4BA97CB-9693-4377-9F8A-7AF6A06757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sz w:val="24"/>
      <w:szCs w:val="24"/>
      <w:lang w:val="en-GB"/>
    </w:rPr>
  </w:style>
  <w:style w:type="paragraph" w:styleId="Heading5">
    <w:name w:val="heading 5"/>
    <w:basedOn w:val="Normal"/>
    <w:next w:val="Normal"/>
    <w:qFormat/>
    <w:rsid w:val="00FD0F51"/>
    <w:pPr>
      <w:keepNext/>
      <w:outlineLvl w:val="4"/>
    </w:pPr>
    <w:rPr>
      <w:b/>
      <w:bCs/>
      <w:lang w:val="en-US"/>
    </w:rPr>
  </w:style>
  <w:style w:type="character" w:default="1" w:styleId="DefaultParagraphFont">
    <w:name w:val="Default Paragraph Font"/>
    <w:semiHidden/>
  </w:style>
  <w:style w:type="table" w:default="1" w:styleId="TableNormal">
    <w:name w:val="Normal Table"/>
    <w:semiHidden/>
    <w:tblPr>
      <w:tblInd w:w="0" w:type="dxa"/>
      <w:tblCellMar>
        <w:top w:w="0" w:type="dxa"/>
        <w:left w:w="108" w:type="dxa"/>
        <w:bottom w:w="0" w:type="dxa"/>
        <w:right w:w="108" w:type="dxa"/>
      </w:tblCellMar>
    </w:tblPr>
  </w:style>
  <w:style w:type="numbering" w:default="1" w:styleId="NoList">
    <w:name w:val="No List"/>
    <w:semiHidden/>
  </w:style>
  <w:style w:type="paragraph" w:styleId="BodyText">
    <w:name w:val="Body Text"/>
    <w:basedOn w:val="Normal"/>
    <w:rsid w:val="00FD0F51"/>
    <w:pPr>
      <w:jc w:val="center"/>
    </w:pPr>
    <w:rPr>
      <w:b/>
      <w:bCs/>
      <w:lang w:val="en-US"/>
    </w:rPr>
  </w:style>
  <w:style w:type="character" w:styleId="PageNumber">
    <w:name w:val="page number"/>
    <w:basedOn w:val="DefaultParagraphFont"/>
    <w:rsid w:val="004E2971"/>
  </w:style>
  <w:style w:type="paragraph" w:customStyle="1" w:styleId="JAbstract">
    <w:name w:val="JAbstract"/>
    <w:basedOn w:val="Normal"/>
    <w:rsid w:val="00155446"/>
    <w:pPr>
      <w:spacing w:before="240"/>
      <w:ind w:left="284" w:right="284"/>
      <w:jc w:val="both"/>
    </w:pPr>
    <w:rPr>
      <w:sz w:val="20"/>
      <w:lang w:val="en-US"/>
    </w:rPr>
  </w:style>
  <w:style w:type="paragraph" w:customStyle="1" w:styleId="JAuthor">
    <w:name w:val="JAuthor"/>
    <w:basedOn w:val="Normal"/>
    <w:link w:val="JAuthorChar"/>
    <w:rsid w:val="00155446"/>
    <w:pPr>
      <w:keepNext/>
      <w:spacing w:before="240"/>
      <w:jc w:val="center"/>
    </w:pPr>
    <w:rPr>
      <w:b/>
      <w:lang w:val="en-US"/>
    </w:rPr>
  </w:style>
  <w:style w:type="character" w:customStyle="1" w:styleId="JAuthorChar">
    <w:name w:val="JAuthor Char"/>
    <w:basedOn w:val="DefaultParagraphFont"/>
    <w:link w:val="JAuthor"/>
    <w:rsid w:val="00763A48"/>
    <w:rPr>
      <w:b/>
      <w:sz w:val="24"/>
      <w:szCs w:val="24"/>
      <w:lang w:val="en-US" w:eastAsia="en-US" w:bidi="ar-SA"/>
    </w:rPr>
  </w:style>
  <w:style w:type="paragraph" w:customStyle="1" w:styleId="JEquation">
    <w:name w:val="JEquation"/>
    <w:basedOn w:val="Normal"/>
    <w:rsid w:val="00155446"/>
    <w:pPr>
      <w:tabs>
        <w:tab w:val="center" w:pos="3544"/>
        <w:tab w:val="right" w:pos="7088"/>
      </w:tabs>
      <w:spacing w:before="60" w:after="60"/>
      <w:jc w:val="both"/>
    </w:pPr>
    <w:rPr>
      <w:sz w:val="22"/>
      <w:szCs w:val="22"/>
      <w:lang w:val="en-US"/>
    </w:rPr>
  </w:style>
  <w:style w:type="paragraph" w:customStyle="1" w:styleId="JFootnote">
    <w:name w:val="JFootnote"/>
    <w:basedOn w:val="JSubtitle"/>
    <w:rsid w:val="00155446"/>
    <w:pPr>
      <w:keepNext w:val="0"/>
      <w:spacing w:before="0" w:after="0"/>
      <w:ind w:left="57" w:hanging="57"/>
      <w:jc w:val="both"/>
    </w:pPr>
    <w:rPr>
      <w:b w:val="0"/>
      <w:sz w:val="16"/>
    </w:rPr>
  </w:style>
  <w:style w:type="paragraph" w:customStyle="1" w:styleId="JFigure">
    <w:name w:val="JFigure"/>
    <w:basedOn w:val="Normal"/>
    <w:rsid w:val="000447C5"/>
    <w:pPr>
      <w:spacing w:before="120" w:after="60"/>
      <w:jc w:val="center"/>
    </w:pPr>
    <w:rPr>
      <w:sz w:val="20"/>
      <w:lang w:val="en-US"/>
    </w:rPr>
  </w:style>
  <w:style w:type="paragraph" w:customStyle="1" w:styleId="JSubtitle">
    <w:name w:val="JSubtitle"/>
    <w:basedOn w:val="Normal"/>
    <w:link w:val="JSubtitleChar"/>
    <w:rsid w:val="00155446"/>
    <w:pPr>
      <w:keepNext/>
      <w:tabs>
        <w:tab w:val="left" w:pos="397"/>
      </w:tabs>
      <w:spacing w:before="240" w:after="120"/>
      <w:ind w:left="397" w:hanging="397"/>
    </w:pPr>
    <w:rPr>
      <w:b/>
      <w:lang w:val="en-US"/>
    </w:rPr>
  </w:style>
  <w:style w:type="character" w:customStyle="1" w:styleId="JSubtitleChar">
    <w:name w:val="JSubtitle Char"/>
    <w:basedOn w:val="DefaultParagraphFont"/>
    <w:link w:val="JSubtitle"/>
    <w:rsid w:val="00256C7D"/>
    <w:rPr>
      <w:b/>
      <w:sz w:val="24"/>
      <w:szCs w:val="24"/>
      <w:lang w:val="en-US" w:eastAsia="en-US" w:bidi="ar-SA"/>
    </w:rPr>
  </w:style>
  <w:style w:type="paragraph" w:customStyle="1" w:styleId="JTableText">
    <w:name w:val="JTableText"/>
    <w:basedOn w:val="BodyText"/>
    <w:rsid w:val="002500D6"/>
    <w:rPr>
      <w:b w:val="0"/>
      <w:bCs w:val="0"/>
      <w:sz w:val="18"/>
    </w:rPr>
  </w:style>
  <w:style w:type="paragraph" w:customStyle="1" w:styleId="JReference">
    <w:name w:val="JReference"/>
    <w:basedOn w:val="JSubtitle"/>
    <w:rsid w:val="00155446"/>
    <w:pPr>
      <w:keepNext w:val="0"/>
      <w:numPr>
        <w:numId w:val="15"/>
      </w:numPr>
      <w:spacing w:before="60" w:after="0"/>
      <w:jc w:val="both"/>
    </w:pPr>
    <w:rPr>
      <w:b w:val="0"/>
      <w:sz w:val="18"/>
      <w:szCs w:val="18"/>
    </w:rPr>
  </w:style>
  <w:style w:type="paragraph" w:customStyle="1" w:styleId="JSubSubTitle">
    <w:name w:val="JSubSubTitle"/>
    <w:basedOn w:val="JSubtitle"/>
    <w:rsid w:val="00155446"/>
    <w:pPr>
      <w:keepLines/>
      <w:spacing w:before="120" w:after="0"/>
    </w:pPr>
    <w:rPr>
      <w:sz w:val="22"/>
    </w:rPr>
  </w:style>
  <w:style w:type="paragraph" w:customStyle="1" w:styleId="JText">
    <w:name w:val="JText"/>
    <w:basedOn w:val="Normal"/>
    <w:link w:val="JTextChar"/>
    <w:rsid w:val="00155446"/>
    <w:pPr>
      <w:spacing w:before="60"/>
      <w:ind w:firstLine="397"/>
      <w:jc w:val="both"/>
    </w:pPr>
    <w:rPr>
      <w:sz w:val="22"/>
      <w:lang w:val="en-US"/>
    </w:rPr>
  </w:style>
  <w:style w:type="character" w:customStyle="1" w:styleId="JTextChar">
    <w:name w:val="JText Char"/>
    <w:basedOn w:val="DefaultParagraphFont"/>
    <w:link w:val="JText"/>
    <w:rsid w:val="002705D2"/>
    <w:rPr>
      <w:sz w:val="22"/>
      <w:szCs w:val="24"/>
      <w:lang w:val="en-US" w:eastAsia="en-US" w:bidi="ar-SA"/>
    </w:rPr>
  </w:style>
  <w:style w:type="paragraph" w:customStyle="1" w:styleId="JTitle">
    <w:name w:val="JTitle"/>
    <w:basedOn w:val="Normal"/>
    <w:autoRedefine/>
    <w:rsid w:val="00FE6CD8"/>
    <w:pPr>
      <w:keepNext/>
      <w:spacing w:before="720"/>
      <w:jc w:val="center"/>
    </w:pPr>
    <w:rPr>
      <w:b/>
      <w:bCs/>
      <w:sz w:val="32"/>
      <w:szCs w:val="28"/>
      <w:lang w:val="en-US"/>
    </w:rPr>
  </w:style>
  <w:style w:type="paragraph" w:styleId="FootnoteText">
    <w:name w:val="footnote text"/>
    <w:basedOn w:val="Normal"/>
    <w:semiHidden/>
    <w:rsid w:val="00F714C7"/>
    <w:rPr>
      <w:sz w:val="20"/>
      <w:szCs w:val="20"/>
    </w:rPr>
  </w:style>
  <w:style w:type="character" w:styleId="FootnoteReference">
    <w:name w:val="footnote reference"/>
    <w:basedOn w:val="DefaultParagraphFont"/>
    <w:semiHidden/>
    <w:rsid w:val="00F714C7"/>
    <w:rPr>
      <w:vertAlign w:val="superscript"/>
    </w:rPr>
  </w:style>
  <w:style w:type="paragraph" w:styleId="Header">
    <w:name w:val="header"/>
    <w:basedOn w:val="Normal"/>
    <w:rsid w:val="003B317D"/>
    <w:pPr>
      <w:tabs>
        <w:tab w:val="center" w:pos="4320"/>
        <w:tab w:val="right" w:pos="8640"/>
      </w:tabs>
    </w:pPr>
  </w:style>
  <w:style w:type="paragraph" w:styleId="Footer">
    <w:name w:val="footer"/>
    <w:basedOn w:val="Normal"/>
    <w:rsid w:val="00256C7D"/>
    <w:pPr>
      <w:tabs>
        <w:tab w:val="center" w:pos="4320"/>
        <w:tab w:val="right" w:pos="8640"/>
      </w:tabs>
    </w:pPr>
  </w:style>
  <w:style w:type="paragraph" w:customStyle="1" w:styleId="JText-noIndent">
    <w:name w:val="JText-noIndent"/>
    <w:basedOn w:val="JText"/>
    <w:rsid w:val="00155446"/>
    <w:pPr>
      <w:ind w:firstLine="0"/>
    </w:pPr>
    <w:rPr>
      <w:szCs w:val="20"/>
    </w:rPr>
  </w:style>
  <w:style w:type="paragraph" w:customStyle="1" w:styleId="JText-numberedList">
    <w:name w:val="JText-numberedList"/>
    <w:basedOn w:val="JText"/>
    <w:rsid w:val="00155446"/>
    <w:pPr>
      <w:numPr>
        <w:numId w:val="16"/>
      </w:numPr>
    </w:pPr>
  </w:style>
  <w:style w:type="paragraph" w:customStyle="1" w:styleId="JText-unorderedList">
    <w:name w:val="JText-unorderedList"/>
    <w:basedOn w:val="JText"/>
    <w:rsid w:val="00155446"/>
    <w:pPr>
      <w:numPr>
        <w:numId w:val="17"/>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targetScreenSz w:val="800x600"/>
</w:webSettings>
</file>

<file path=word/_rels/document.xml.rels><?xml version='1.0' encoding='UTF-8' standalone='yes'?>
<Relationships xmlns="http://schemas.openxmlformats.org/package/2006/relationships"><Relationship Id="rId18"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footer" Target="footer3.xml"/><Relationship Id="rId17" Type="http://schemas.openxmlformats.org/officeDocument/2006/relationships/header" Target="header2.xml"/><Relationship Id="rId2" Type="http://schemas.openxmlformats.org/officeDocument/2006/relationships/styles" Target="styles.xml"/><Relationship Id="rId16" Type="http://schemas.openxmlformats.org/officeDocument/2006/relationships/header" Target="header1.xml"/><Relationship Id="rId20" Type="http://schemas.openxmlformats.org/officeDocument/2006/relationships/header" Target="header3.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23" Type="http://schemas.openxmlformats.org/officeDocument/2006/relationships/theme" Target="theme/theme1.xml"/><Relationship Id="rId19" Type="http://schemas.openxmlformats.org/officeDocument/2006/relationships/footer" Target="footer2.xml"/><Relationship Id="rId4" Type="http://schemas.openxmlformats.org/officeDocument/2006/relationships/webSettings" Target="webSettings.xml"/><Relationship Id="rId22" Type="http://schemas.openxmlformats.org/officeDocument/2006/relationships/fontTable" Target="fontTable.xml"/></Relationships>
</file>

<file path=word/_rels/footnotes.xml.rels><?xml version='1.0' encoding='UTF-8' standalone='yes'?>
<Relationships xmlns="http://schemas.openxmlformats.org/package/2006/relationships"><Relationship Id="rId1" Type="http://schemas.openxmlformats.org/officeDocument/2006/relationships/hyperlink" Target="mailto:npsubbu@yahoo.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TotalTime>
  <Pages>5</Pages>
  <Words>909</Words>
  <Characters>5185</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ANALYSIS OF HIGH IMPEDANCE TRANSIENTS AND IMPROVED DATA COMPRESSION USING WAVELET TRANSFORM</vt:lpstr>
    </vt:vector>
  </TitlesOfParts>
  <Company/>
  <LinksUpToDate>false</LinksUpToDate>
  <CharactersWithSpaces>6082</CharactersWithSpaces>
  <SharedDoc>false</SharedDoc>
  <HLinks>
    <vt:vector size="6" baseType="variant">
      <vt:variant>
        <vt:i4>1572898</vt:i4>
      </vt:variant>
      <vt:variant>
        <vt:i4>0</vt:i4>
      </vt:variant>
      <vt:variant>
        <vt:i4>0</vt:i4>
      </vt:variant>
      <vt:variant>
        <vt:i4>5</vt:i4>
      </vt:variant>
      <vt:variant>
        <vt:lpwstr>mailto:npsubbu@yahoo.com</vt:lpwstr>
      </vt:variant>
      <vt:variant>
        <vt:lpwstr/>
      </vt:variant>
    </vt:vector>
  </HLinks>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Validation-First CPU/GPU Microbenchmarking of AES Implementations in the Context of Symmetric Cryptography Evolution</dc:title>
  <dc:subject>SJEE manuscript draft</dc:subject>
  <dc:creator>Marko Mihajlovic</dc:creator>
  <cp:keywords/>
  <dc:description>Generated from content/*.tex and references.bib; edit those sources.</dc:description>
  <cp:lastModifiedBy>mjanjic75</cp:lastModifiedBy>
  <cp:revision>5</cp:revision>
  <dcterms:created xsi:type="dcterms:W3CDTF">2021-08-05T14:23:00Z</dcterms:created>
  <dcterms:modified xsi:type="dcterms:W3CDTF">2021-08-05T14:31:00Z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ies>
</file>