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Normal-Only Design and Measured Failure Modes</w:t>
      </w:r>
    </w:p>
    <w:p>
      <w:pPr>
        <w:pStyle w:val="Author"/>
      </w:pPr>
      <w:r>
        <w:t>Mihajlo Živković and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Anomalous sound detection for machine condition monitoring is almost always evaluated as an offline benchmark. This paper reports what changes when the same statistical detector is moved onto a microcontroller and required to calibrate itself, in the field, on one machine, from normal sound only. The device is an ESP32-S3 with a single MEMS microphone: a Welch power spectral density front end, a Ledoit-Wolf Mahalanobis score, and a local centre learned in about 115 s from ten calibration windows. Every operating policy - audio quality gate, machine-presence gate, temporal decision rule and threshold - is derived without reading a single anomalous recording. With ten calibration windows, we report a developmental AUC of 0.856 on the DCASE 2026 fan data and 716 ms of computation per 10 s window. On a physical fan the device learns the normal state of a machine it has never heard, derives its own threshold from a normal-only period, verifies that threshold on a later normal-only period, and reports a sustained acoustic change while rejecting speech and door noise as unreliable rather than interpreting them. An earlier version of the same system produced thresholds differing by a factor of 16 across repeated calibrations of the same machine in the same room; we report both that failure and the measured fix, together with four negative results, one of which the device itself rejected during verification.</w:t>
      </w:r>
    </w:p>
    <w:p>
      <w:pPr>
        <w:pStyle w:val="Keywords"/>
      </w:pPr>
      <w:r>
        <w:rPr>
          <w:b/>
          <w:i/>
        </w:rPr>
        <w:t>Keywords—</w:t>
      </w:r>
      <w:r>
        <w:t>Anomalous sound detection, condition monitoring, embedded systems, ESP32, Mahalanobis distance, unsupervised learning.</w:t>
      </w:r>
    </w:p>
    <w:p>
      <w:pPr>
        <w:pStyle w:val="1"/>
      </w:pPr>
      <w:r>
        <w:t>Introduction</w:t>
      </w:r>
    </w:p>
    <w:p>
      <w:pPr>
        <w:pStyle w:val="a3"/>
      </w:pPr>
      <w:r>
        <w:t>Monitoring machine condition through sound is attractive because a microphone is cheap, non-invasive and does not have to touch the machine. The unsupervised formulation used by the DCASE challenge series [1]-[3] matches industrial reality: a working machine produces normal sound continuously while faults are rare, so a detector has to be fitted on normal sound alone and has to generalise to machines and operating conditions it has never heard.</w:t>
      </w:r>
    </w:p>
    <w:p>
      <w:pPr>
        <w:pStyle w:val="a3"/>
      </w:pPr>
      <w:r>
        <w:t>That formulation is nearly always evaluated offline. A model is fitted on a workstation, scored against a labelled test set, and reported as an area under the ROC curve. The deployment questions stay outside the loop, and they are not small ones. A device installed next to one machine has to decide by itself whether the machine is running at all; whether the audio it has just captured can be trusted; which score is high enough to be called an anomaly; and how long a deviation has to persist before anyone is told about it. None of those questions can be answered with anomalous recordings, because the installation does not have any.</w:t>
      </w:r>
    </w:p>
    <w:p>
      <w:pPr>
        <w:pStyle w:val="a3"/>
      </w:pPr>
      <w:r>
        <w:t>This paper reports what happened once those questions had to be answered on the device. The system is a self-contained detector on an ESP32-S3 microcontroller with a single MEMS microphone. An operator presses one button, the device listens to the machine for about 115 s, learns its normal sound, and monitors it from then on. In the reported bench run, a PC only replayed the audio stimulus through a loudspeaker; calibration, inference and decisions remained entirely on the device. The contributions are:</w:t>
      </w:r>
    </w:p>
    <w:p>
      <w:pPr>
        <w:pStyle w:val="a3"/>
      </w:pPr>
      <w:r>
        <w:t>1) A complete self-calibrating detector: 716 ms of computation per 10 s window, an about 14x real-time margin, 355 kB of firmware and no neural network. 2) A normal-only design protocol under which every operating policy is derived, versioned and frozen before any anomalous recording is read. 3) A fail-closed decision hierarchy in which the device refuses to score untrustworthy input, and a reliability gate that rejects an internally unstable window instead of attributing it to a cause a single microphone cannot identify. 4) A threshold derived on the device from one normal-only period and verified on a later one, which removes the factor-16 calibration instability we previously reported as an open failure mode. 5) Measurements on a physical fan, and four negative results, one of which the verification stage rejected on the device before it could reach monitoring.</w:t>
      </w:r>
    </w:p>
    <w:p>
      <w:pPr>
        <w:pStyle w:val="1"/>
      </w:pPr>
      <w:r>
        <w:t>System Overview</w:t>
      </w:r>
    </w:p>
    <w:p>
      <w:pPr>
        <w:pStyle w:val="2"/>
      </w:pPr>
      <w:r>
        <w:t>Hardware and signal path</w:t>
      </w:r>
    </w:p>
    <w:p>
      <w:pPr>
        <w:pStyle w:val="a3"/>
      </w:pPr>
      <w:r>
        <w:t>The platform is an ESP32-S3-WROOM-1 N32R16V (240 MHz dual core, 16 MB PSRAM) running ESP-IDF v5.5.5. Audio arrives from one INMP441 MEMS microphone over I2S at 16 kHz, 16 bit, mono. A push-button starts calibration and two LEDs report the device state, so the complete user interface is one button and two lamps. Fig. 1 shows the whole chain, from the microphone to the alarm.</w:t>
      </w:r>
    </w:p>
    <w:p>
      <w:pPr>
        <w:pStyle w:val="a3"/>
      </w:pPr>
      <w:r>
        <w:t>The firmware image is 354 784 B with research telemetry included and leaves most of the application partition free. The front end is computed in streaming fashion, hop by hop, avoiding the approximately 640 kB full-window float buffer that a 10 s recording would require, and its result is identical to the batch computation. One 10 s window takes 716 ms end to end, feature and score together, which is an about 14x real-time margin.</w:t>
      </w:r>
    </w:p>
    <w:p>
      <w:pPr>
        <w:pStyle w:val="a3"/>
      </w:pPr>
      <w:r>
        <w:t>The same C code computes features on the host and on the device. On one benchmark WAV the host-to-C difference is at most 9.5e-7 feature units, and on one live microphone capture the host-to-device difference is at most 1.7e-6. Host results and device results therefore refer to the same quantity by construction rather than by assumption.</w:t>
      </w:r>
    </w:p>
    <w:p>
      <w:pPr>
        <w:keepNext/>
        <w:spacing w:before="80" w:after="20"/>
        <w:jc w:val="center"/>
      </w:pPr>
      <w:r>
        <w:drawing>
          <wp:inline xmlns:a="http://schemas.openxmlformats.org/drawingml/2006/main" xmlns:pic="http://schemas.openxmlformats.org/drawingml/2006/picture">
            <wp:extent cx="2988000" cy="2203312"/>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203312"/>
                    </a:xfrm>
                    <a:prstGeom prst="rect"/>
                  </pic:spPr>
                </pic:pic>
              </a:graphicData>
            </a:graphic>
          </wp:inline>
        </w:drawing>
      </w:r>
    </w:p>
    <w:p>
      <w:pPr>
        <w:pStyle w:val="figurecaption"/>
      </w:pPr>
      <w:r>
        <w:t>Signal path and decision hierarchy. Bold outlines mark the gates that stop the pipeline instead of producing a score. The threshold and the local centre come from the on-site calibration, never from a host.</w:t>
      </w:r>
    </w:p>
    <w:p>
      <w:pPr>
        <w:pStyle w:val="a3"/>
      </w:pPr>
    </w:p>
    <w:p>
      <w:pPr>
        <w:pStyle w:val="2"/>
      </w:pPr>
      <w:r>
        <w:t>Feature and model</w:t>
      </w:r>
    </w:p>
    <w:p>
      <w:pPr>
        <w:pStyle w:val="a3"/>
      </w:pPr>
      <w:r>
        <w:t>The feature is a Welch power spectral density estimate [4] with an 8192-sample segment and 50 % overlap, reduced to 96 logarithmically spaced bands between 10 Hz and 4 kHz on a logarithmic magnitude scale, with the mean level subtracted. Subtracting the mean turns the feature into a spectral shape rather than a loudness measurement, which matters because microphone distance is not controlled in the field.</w:t>
      </w:r>
    </w:p>
    <w:p>
      <w:pPr>
        <w:pStyle w:val="a3"/>
      </w:pPr>
      <w:r>
        <w:t>The statistical model is deliberately split in two. A per-dimension standardisation and a Ledoit-Wolf shrinkage precision matrix [5] are estimated once, on the host, from 990 normal source-domain clips; the 96x96 matrix occupies 36 864 B in flash. Only the local centre, the arithmetic mean of ten calibration windows, is learned on the deployed machine. Writing z for the standardised feature, c for that local centre and P for the precision matrix, the firmware computes the squared Mahalanobis score s(x) = (z − c)ᵀ P (z − c).</w:t>
      </w:r>
    </w:p>
    <w:p>
      <w:pPr>
        <w:pStyle w:val="a3"/>
      </w:pPr>
      <w:r>
        <w:t>This split is what makes field calibration feasible. The precision matrix is the part that needs a large amount of data; the centre is the part that has to be local. About 115 s of listening is enough for a centre and nowhere near enough for a covariance in 96 dimensions. This ten-window configuration is the deployed and demonstrated setting and reaches an AUC of 0.8556 ± 0.0240 over 20 development splits. A separate 100-split canonical reference with 20 calibration windows reaches an AUC of 0.8666 and is not the deployed configuration.</w:t>
      </w:r>
    </w:p>
    <w:p>
      <w:pPr>
        <w:pStyle w:val="2"/>
      </w:pPr>
      <w:r>
        <w:t>Operating flow</w:t>
      </w:r>
    </w:p>
    <w:p>
      <w:pPr>
        <w:pStyle w:val="a3"/>
      </w:pPr>
      <w:r>
        <w:t>A button press starts a fixed sequence: SETTLE, then ten 10 s windows that fix the local centre, then 44 normal-only windows from which the threshold is derived, then 22 later normal-only windows on which that threshold is verified, and only then MONITORING. The entry threshold is the empirical 99th percentile of the derivation window scores and the release threshold the 95th, clamped below by the median and above by half the entry threshold. Derivation and verification are separated in time and in data: if any alarm occurs during verification the calibration is rejected and the device does not arm. The threshold is never adjusted to make verification pass, which would defeat its purpose. In monitoring an alarm needs three consecutive reliable windows above the entry threshold, roughly 30 s, and twelve further alarm windows raise a separate sustained-deviation event.</w:t>
      </w:r>
    </w:p>
    <w:p>
      <w:pPr>
        <w:pStyle w:val="1"/>
      </w:pPr>
      <w:r>
        <w:t>Normal-Only Design Protocol</w:t>
      </w:r>
    </w:p>
    <w:p>
      <w:pPr>
        <w:pStyle w:val="a3"/>
      </w:pPr>
      <w:r>
        <w:t>The rule we imposed on ourselves is that any policy shipped to the device must be derivable from normal data alone, because a deployed device has nothing else. This is stronger than avoiding test-set leakage: it forbids using anomalies even to choose a constant.</w:t>
      </w:r>
    </w:p>
    <w:p>
      <w:pPr>
        <w:pStyle w:val="a3"/>
      </w:pPr>
      <w:r>
        <w:t>The rule is enforced mechanically. The quality, presence and temporal policies each live in a versioned JSON file recording the derivation data, the decision statistic, the measured properties, the stated limitation, and a change rule requiring fresh normal-only evidence before any anomaly data are touched. In the evaluator, anomalous clips are loaded only in the final scoring stage, after the method list, the splits, the preprocessing, the global model and the calibration protocol are frozen. The evaluator stops if an anomaly reaches a fitting or calibration cohort, if calibration and held-out sets overlap, or if a feature cache was produced by different code.</w:t>
      </w:r>
    </w:p>
    <w:p>
      <w:pPr>
        <w:pStyle w:val="1"/>
      </w:pPr>
      <w:r>
        <w:t>Fail-Closed Decision Hierarchy</w:t>
      </w:r>
    </w:p>
    <w:p>
      <w:pPr>
        <w:pStyle w:val="a3"/>
      </w:pPr>
      <w:r>
        <w:t>A benchmark script always receives a well-formed clip. A device does not, so scoring is the third of four ordered stages and never the first.</w:t>
      </w:r>
    </w:p>
    <w:p>
      <w:pPr>
        <w:pStyle w:val="a3"/>
      </w:pPr>
      <w:r>
        <w:t>The quality gate checks the exact sample count, RMS level, peak, clipped fraction (at most 1e-3), zero and stuck-sample fractions, and a per-window dropped-sample delta of exactly zero; it also requires the DC offset, every metric and every feature to be finite. Any violation stops the pipeline instead of producing a score, in WAIT, CAL and DET alike. The presence gate declares the machine present immediately at or above the calibrated mean minus 11 dB, and declares it stopped only after three consecutive windows below that level. This separates “machine stopped” from “machine behaving strangely” - two conditions that a distance-based score cannot tell apart, since both are far from the normal centre. Only then is the Mahalanobis score compared against the threshold, and only then does the temporal rule decide whether the comparison becomes an alarm.</w:t>
      </w:r>
    </w:p>
    <w:p>
      <w:pPr>
        <w:pStyle w:val="a3"/>
      </w:pPr>
      <w:r>
        <w:t>The calibration itself is fail-closed as well. A rejected window does not get replaced silently; calibration stops and the operator repeats it. We prefer a device that refuses to arm over a device that arms on ten windows of which two were noise.</w:t>
      </w:r>
    </w:p>
    <w:p>
      <w:pPr>
        <w:pStyle w:val="a3"/>
      </w:pPr>
      <w:r>
        <w:t>A fourth stage was added after the first physical trial. Each 10 s window is split into five sub-windows and a feature is computed for each. If those five disagree by more than a per-session limit, the window is internally unstable, its score is not a reliable measure of machine state, and it is excluded from alarm build-up. The limit is derived per session as 1.25 times the largest instability seen among the ten calibration windows; an earlier absolute limit carried the scale of one microphone position and stopped being valid as soon as the setup moved.</w:t>
      </w:r>
    </w:p>
    <w:p>
      <w:pPr>
        <w:pStyle w:val="a3"/>
      </w:pPr>
      <w:r>
        <w:t>The gate suspends alarm build-up, but it does not clear an active alarm and does not modify the learned centre or threshold. It also makes no claim about the cause of the instability. One microphone cannot separate speech from an impact or from a change on the machine, and a system asserting otherwise would be diagnosing without evidence. Six consecutive held windows raise a warning that monitoring has been unreliable for some time, which is a claim one microphone can support.</w:t>
      </w:r>
    </w:p>
    <w:p>
      <w:pPr>
        <w:pStyle w:val="1"/>
      </w:pPr>
      <w:r>
        <w:t>Results</w:t>
      </w:r>
    </w:p>
    <w:p>
      <w:pPr>
        <w:pStyle w:val="a3"/>
      </w:pPr>
      <w:r>
        <w:t>All benchmark numbers below come from the DCASE 2026 development data [6] under a leakage-guarded developmental protocol. Table I and the temporal evaluation are fan-only; the scope comparison covers all seven machine types. These are not an independent final validation: the same data guided earlier design decisions, so historical model-selection bias applies and the figures should be read as relative comparisons.</w:t>
      </w:r>
    </w:p>
    <w:p>
      <w:pPr>
        <w:pStyle w:val="2"/>
      </w:pPr>
      <w:r>
        <w:t>Feature candidates</w:t>
      </w:r>
    </w:p>
    <w:p>
      <w:pPr>
        <w:pStyle w:val="a3"/>
      </w:pPr>
      <w:r>
        <w:t>Eight candidates were declared before any of them was run, and each was evaluated over the same 20 splits. Table I gives the results. Three of the negative outcomes removed design options and are worth naming.</w:t>
      </w:r>
    </w:p>
    <w:p>
      <w:pPr>
        <w:pStyle w:val="tablehead"/>
        <w:keepNext/>
      </w:pPr>
      <w:r>
        <w:t>Feature Candidates, DCASE 2026 Dev Fan, k = 10, 20 Splits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530"/>
        <w:gridCol w:w="2530"/>
        <w:gridCol w:w="2530"/>
        <w:gridCol w:w="2530"/>
      </w:tblGrid>
      <w:tr>
        <w:trPr>
          <w:cantSplit/>
        </w:trPr>
        <w:tc>
          <w:tcPr>
            <w:tcW w:type="dxa" w:w="1644"/>
          </w:tcPr>
          <w:p>
            <w:pPr>
              <w:pStyle w:val="tablecolhead"/>
              <w:keepNext/>
              <w:jc w:val="center"/>
            </w:pPr>
            <w:r/>
            <w:r>
              <w:rPr>
                <w:b/>
                <w:sz w:val="15"/>
              </w:rPr>
              <w:t>Candidate</w:t>
            </w:r>
          </w:p>
        </w:tc>
        <w:tc>
          <w:tcPr>
            <w:tcW w:type="dxa" w:w="1247"/>
          </w:tcPr>
          <w:p>
            <w:pPr>
              <w:pStyle w:val="tablecolhead"/>
              <w:keepNext/>
              <w:jc w:val="center"/>
            </w:pPr>
            <w:r/>
            <w:r>
              <w:rPr>
                <w:b/>
                <w:sz w:val="15"/>
              </w:rPr>
              <w:t>AUC</w:t>
            </w:r>
          </w:p>
        </w:tc>
        <w:tc>
          <w:tcPr>
            <w:tcW w:type="dxa" w:w="850"/>
          </w:tcPr>
          <w:p>
            <w:pPr>
              <w:pStyle w:val="tablecolhead"/>
              <w:keepNext/>
              <w:jc w:val="center"/>
            </w:pPr>
            <w:r/>
            <w:r>
              <w:rPr>
                <w:b/>
                <w:sz w:val="15"/>
              </w:rPr>
              <w:t>pAUC (p=0.1)</w:t>
            </w:r>
          </w:p>
        </w:tc>
        <w:tc>
          <w:tcPr>
            <w:tcW w:type="dxa" w:w="964"/>
          </w:tcPr>
          <w:p>
            <w:pPr>
              <w:pStyle w:val="tablecolhead"/>
              <w:keepNext/>
              <w:jc w:val="center"/>
            </w:pPr>
            <w:r/>
            <w:r>
              <w:rPr>
                <w:b/>
                <w:sz w:val="15"/>
              </w:rPr>
              <w:t>Δ AUC</w:t>
            </w:r>
          </w:p>
        </w:tc>
      </w:tr>
      <w:tr>
        <w:trPr>
          <w:cantSplit/>
        </w:trPr>
        <w:tc>
          <w:tcPr>
            <w:tcW w:type="dxa" w:w="1644"/>
          </w:tcPr>
          <w:p>
            <w:pPr>
              <w:pStyle w:val="tablecopy"/>
              <w:keepNext/>
            </w:pPr>
            <w:r/>
            <w:r>
              <w:rPr>
                <w:sz w:val="15"/>
              </w:rPr>
              <w:t>psd_shape (baseline)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w:t>
            </w:r>
          </w:p>
        </w:tc>
      </w:tr>
      <w:tr>
        <w:trPr>
          <w:cantSplit/>
        </w:trPr>
        <w:tc>
          <w:tcPr>
            <w:tcW w:type="dxa" w:w="1644"/>
          </w:tcPr>
          <w:p>
            <w:pPr>
              <w:pStyle w:val="tablecopy"/>
              <w:keepNext/>
            </w:pPr>
            <w:r/>
            <w:r>
              <w:rPr>
                <w:sz w:val="15"/>
              </w:rPr>
              <w:t>psd_order (rotation order)</w:t>
            </w:r>
          </w:p>
        </w:tc>
        <w:tc>
          <w:tcPr>
            <w:tcW w:type="dxa" w:w="1247"/>
          </w:tcPr>
          <w:p>
            <w:pPr>
              <w:pStyle w:val="tablecopy"/>
              <w:keepNext/>
              <w:jc w:val="center"/>
            </w:pPr>
            <w:r/>
            <w:r>
              <w:rPr>
                <w:sz w:val="15"/>
              </w:rPr>
              <w:t>0.6388 ± 0.0467</w:t>
            </w:r>
          </w:p>
        </w:tc>
        <w:tc>
          <w:tcPr>
            <w:tcW w:type="dxa" w:w="850"/>
          </w:tcPr>
          <w:p>
            <w:pPr>
              <w:pStyle w:val="tablecopy"/>
              <w:keepNext/>
              <w:jc w:val="center"/>
            </w:pPr>
            <w:r/>
            <w:r>
              <w:rPr>
                <w:sz w:val="15"/>
              </w:rPr>
              <w:t>0.5171</w:t>
            </w:r>
          </w:p>
        </w:tc>
        <w:tc>
          <w:tcPr>
            <w:tcW w:type="dxa" w:w="964"/>
          </w:tcPr>
          <w:p>
            <w:pPr>
              <w:pStyle w:val="tablecopy"/>
              <w:keepNext/>
              <w:jc w:val="center"/>
            </w:pPr>
            <w:r/>
            <w:r>
              <w:rPr>
                <w:sz w:val="15"/>
              </w:rPr>
              <w:t>-0.2168</w:t>
            </w:r>
          </w:p>
        </w:tc>
      </w:tr>
      <w:tr>
        <w:trPr>
          <w:cantSplit/>
        </w:trPr>
        <w:tc>
          <w:tcPr>
            <w:tcW w:type="dxa" w:w="1644"/>
          </w:tcPr>
          <w:p>
            <w:pPr>
              <w:pStyle w:val="tablecopy"/>
              <w:keepNext/>
            </w:pPr>
            <w:r/>
            <w:r>
              <w:rPr>
                <w:sz w:val="15"/>
              </w:rPr>
              <w:t>psd_regime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0.0000</w:t>
            </w:r>
          </w:p>
        </w:tc>
      </w:tr>
      <w:tr>
        <w:trPr>
          <w:cantSplit/>
        </w:trPr>
        <w:tc>
          <w:tcPr>
            <w:tcW w:type="dxa" w:w="1644"/>
          </w:tcPr>
          <w:p>
            <w:pPr>
              <w:pStyle w:val="tablecopy"/>
              <w:keepNext/>
            </w:pPr>
            <w:r/>
            <w:r>
              <w:rPr>
                <w:sz w:val="15"/>
              </w:rPr>
              <w:t>psd_logratio (dual mic)</w:t>
            </w:r>
          </w:p>
        </w:tc>
        <w:tc>
          <w:tcPr>
            <w:tcW w:type="dxa" w:w="1247"/>
          </w:tcPr>
          <w:p>
            <w:pPr>
              <w:pStyle w:val="tablecopy"/>
              <w:keepNext/>
              <w:jc w:val="center"/>
            </w:pPr>
            <w:r/>
            <w:r>
              <w:rPr>
                <w:sz w:val="15"/>
              </w:rPr>
              <w:t>0.7185 ± 0.0347</w:t>
            </w:r>
          </w:p>
        </w:tc>
        <w:tc>
          <w:tcPr>
            <w:tcW w:type="dxa" w:w="850"/>
          </w:tcPr>
          <w:p>
            <w:pPr>
              <w:pStyle w:val="tablecopy"/>
              <w:keepNext/>
              <w:jc w:val="center"/>
            </w:pPr>
            <w:r/>
            <w:r>
              <w:rPr>
                <w:sz w:val="15"/>
              </w:rPr>
              <w:t>0.5848</w:t>
            </w:r>
          </w:p>
        </w:tc>
        <w:tc>
          <w:tcPr>
            <w:tcW w:type="dxa" w:w="964"/>
          </w:tcPr>
          <w:p>
            <w:pPr>
              <w:pStyle w:val="tablecopy"/>
              <w:keepNext/>
              <w:jc w:val="center"/>
            </w:pPr>
            <w:r/>
            <w:r>
              <w:rPr>
                <w:sz w:val="15"/>
              </w:rPr>
              <w:t>-0.1371</w:t>
            </w:r>
          </w:p>
        </w:tc>
      </w:tr>
      <w:tr>
        <w:trPr>
          <w:cantSplit/>
        </w:trPr>
        <w:tc>
          <w:tcPr>
            <w:tcW w:type="dxa" w:w="1644"/>
          </w:tcPr>
          <w:p>
            <w:pPr>
              <w:pStyle w:val="tablecopy"/>
              <w:keepNext/>
            </w:pPr>
            <w:r/>
            <w:r>
              <w:rPr>
                <w:sz w:val="15"/>
              </w:rPr>
              <w:t>psd_coherence (dual mic)</w:t>
            </w:r>
          </w:p>
        </w:tc>
        <w:tc>
          <w:tcPr>
            <w:tcW w:type="dxa" w:w="1247"/>
          </w:tcPr>
          <w:p>
            <w:pPr>
              <w:pStyle w:val="tablecopy"/>
              <w:keepNext/>
              <w:jc w:val="center"/>
            </w:pPr>
            <w:r/>
            <w:r>
              <w:rPr>
                <w:sz w:val="15"/>
              </w:rPr>
              <w:t>0.7506 ± 0.0398</w:t>
            </w:r>
          </w:p>
        </w:tc>
        <w:tc>
          <w:tcPr>
            <w:tcW w:type="dxa" w:w="850"/>
          </w:tcPr>
          <w:p>
            <w:pPr>
              <w:pStyle w:val="tablecopy"/>
              <w:keepNext/>
              <w:jc w:val="center"/>
            </w:pPr>
            <w:r/>
            <w:r>
              <w:rPr>
                <w:sz w:val="15"/>
              </w:rPr>
              <w:t>0.5774</w:t>
            </w:r>
          </w:p>
        </w:tc>
        <w:tc>
          <w:tcPr>
            <w:tcW w:type="dxa" w:w="964"/>
          </w:tcPr>
          <w:p>
            <w:pPr>
              <w:pStyle w:val="tablecopy"/>
              <w:keepNext/>
              <w:jc w:val="center"/>
            </w:pPr>
            <w:r/>
            <w:r>
              <w:rPr>
                <w:sz w:val="15"/>
              </w:rPr>
              <w:t>-0.1050</w:t>
            </w:r>
          </w:p>
        </w:tc>
      </w:tr>
      <w:tr>
        <w:trPr>
          <w:cantSplit/>
        </w:trPr>
        <w:tc>
          <w:tcPr>
            <w:tcW w:type="dxa" w:w="1644"/>
          </w:tcPr>
          <w:p>
            <w:pPr>
              <w:pStyle w:val="tablecopy"/>
              <w:keepNext/>
            </w:pPr>
            <w:r/>
            <w:r>
              <w:rPr>
                <w:sz w:val="15"/>
              </w:rPr>
              <w:t>psd_masked (dual mic)</w:t>
            </w:r>
          </w:p>
        </w:tc>
        <w:tc>
          <w:tcPr>
            <w:tcW w:type="dxa" w:w="1247"/>
          </w:tcPr>
          <w:p>
            <w:pPr>
              <w:pStyle w:val="tablecopy"/>
              <w:keepNext/>
              <w:jc w:val="center"/>
            </w:pPr>
            <w:r/>
            <w:r>
              <w:rPr>
                <w:sz w:val="15"/>
              </w:rPr>
              <w:t>0.4500 ± 0.0645</w:t>
            </w:r>
          </w:p>
        </w:tc>
        <w:tc>
          <w:tcPr>
            <w:tcW w:type="dxa" w:w="850"/>
          </w:tcPr>
          <w:p>
            <w:pPr>
              <w:pStyle w:val="tablecopy"/>
              <w:keepNext/>
              <w:jc w:val="center"/>
            </w:pPr>
            <w:r/>
            <w:r>
              <w:rPr>
                <w:sz w:val="15"/>
              </w:rPr>
              <w:t>0.4884</w:t>
            </w:r>
          </w:p>
        </w:tc>
        <w:tc>
          <w:tcPr>
            <w:tcW w:type="dxa" w:w="964"/>
          </w:tcPr>
          <w:p>
            <w:pPr>
              <w:pStyle w:val="tablecopy"/>
              <w:keepNext/>
              <w:jc w:val="center"/>
            </w:pPr>
            <w:r/>
            <w:r>
              <w:rPr>
                <w:sz w:val="15"/>
              </w:rPr>
              <w:t>-0.4056</w:t>
            </w:r>
          </w:p>
        </w:tc>
      </w:tr>
      <w:tr>
        <w:trPr>
          <w:cantSplit/>
        </w:trPr>
        <w:tc>
          <w:tcPr>
            <w:tcW w:type="dxa" w:w="1644"/>
          </w:tcPr>
          <w:p>
            <w:pPr>
              <w:pStyle w:val="tablecopy"/>
              <w:keepNext/>
            </w:pPr>
            <w:r/>
            <w:r>
              <w:rPr>
                <w:sz w:val="15"/>
              </w:rPr>
              <w:t>transient</w:t>
            </w:r>
          </w:p>
        </w:tc>
        <w:tc>
          <w:tcPr>
            <w:tcW w:type="dxa" w:w="1247"/>
          </w:tcPr>
          <w:p>
            <w:pPr>
              <w:pStyle w:val="tablecopy"/>
              <w:keepNext/>
              <w:jc w:val="center"/>
            </w:pPr>
            <w:r/>
            <w:r>
              <w:rPr>
                <w:sz w:val="15"/>
              </w:rPr>
              <w:t>0.5647 ± 0.0267</w:t>
            </w:r>
          </w:p>
        </w:tc>
        <w:tc>
          <w:tcPr>
            <w:tcW w:type="dxa" w:w="850"/>
          </w:tcPr>
          <w:p>
            <w:pPr>
              <w:pStyle w:val="tablecopy"/>
              <w:keepNext/>
              <w:jc w:val="center"/>
            </w:pPr>
            <w:r/>
            <w:r>
              <w:rPr>
                <w:sz w:val="15"/>
              </w:rPr>
              <w:t>0.5062</w:t>
            </w:r>
          </w:p>
        </w:tc>
        <w:tc>
          <w:tcPr>
            <w:tcW w:type="dxa" w:w="964"/>
          </w:tcPr>
          <w:p>
            <w:pPr>
              <w:pStyle w:val="tablecopy"/>
              <w:keepNext/>
              <w:jc w:val="center"/>
            </w:pPr>
            <w:r/>
            <w:r>
              <w:rPr>
                <w:sz w:val="15"/>
              </w:rPr>
              <w:t>-0.2909</w:t>
            </w:r>
          </w:p>
        </w:tc>
      </w:tr>
      <w:tr>
        <w:trPr>
          <w:cantSplit/>
        </w:trPr>
        <w:tc>
          <w:tcPr>
            <w:tcW w:type="dxa" w:w="1644"/>
          </w:tcPr>
          <w:p>
            <w:pPr>
              <w:pStyle w:val="tablecopy"/>
            </w:pPr>
            <w:r/>
            <w:r>
              <w:rPr>
                <w:sz w:val="15"/>
              </w:rPr>
              <w:t>psd_plus_transient</w:t>
            </w:r>
          </w:p>
        </w:tc>
        <w:tc>
          <w:tcPr>
            <w:tcW w:type="dxa" w:w="1247"/>
          </w:tcPr>
          <w:p>
            <w:pPr>
              <w:pStyle w:val="tablecopy"/>
              <w:jc w:val="center"/>
            </w:pPr>
            <w:r/>
            <w:r>
              <w:rPr>
                <w:sz w:val="15"/>
              </w:rPr>
              <w:t>0.8568 ± 0.0258</w:t>
            </w:r>
          </w:p>
        </w:tc>
        <w:tc>
          <w:tcPr>
            <w:tcW w:type="dxa" w:w="850"/>
          </w:tcPr>
          <w:p>
            <w:pPr>
              <w:pStyle w:val="tablecopy"/>
              <w:jc w:val="center"/>
            </w:pPr>
            <w:r/>
            <w:r>
              <w:rPr>
                <w:sz w:val="15"/>
              </w:rPr>
              <w:t>0.6433</w:t>
            </w:r>
          </w:p>
        </w:tc>
        <w:tc>
          <w:tcPr>
            <w:tcW w:type="dxa" w:w="964"/>
          </w:tcPr>
          <w:p>
            <w:pPr>
              <w:pStyle w:val="tablecopy"/>
              <w:jc w:val="center"/>
            </w:pPr>
            <w:r/>
            <w:r>
              <w:rPr>
                <w:sz w:val="15"/>
              </w:rPr>
              <w:t>+0.0012</w:t>
            </w:r>
          </w:p>
        </w:tc>
      </w:tr>
    </w:tbl>
    <w:p>
      <w:pPr>
        <w:pStyle w:val="a3"/>
      </w:pPr>
    </w:p>
    <w:p>
      <w:pPr>
        <w:pStyle w:val="a3"/>
      </w:pPr>
      <w:r>
        <w:t>Three outcomes removed design options. Rotation-order features collapse to 0.639: the median fundamental is 34 Hz at all three labelled speeds and their dominant peaks coincide to within one 1.95 Hz bin, so the labelled speeds carry nothing the shape feature does not already have. All three dual-microphone variants are worse than the single channel and the spatial-mask variant reaches 0.450, below chance, so the shipped device uses one microphone by measurement rather than by cost. Adding a transient channel yields +0.0012 AUC against a split-to-split standard deviation of 0.024, which is nothing.</w:t>
      </w:r>
    </w:p>
    <w:p>
      <w:pPr>
        <w:pStyle w:val="2"/>
      </w:pPr>
      <w:r>
        <w:t>Scope of the front end</w:t>
      </w:r>
    </w:p>
    <w:p>
      <w:pPr>
        <w:pStyle w:val="a3"/>
      </w:pPr>
      <w:r>
        <w:t>Under a stricter 100-split protocol the same backend was run with two log-mel front ends. On the fan the PSD shape feature reaches 0.867 against 0.627 and 0.590; across the other six machine types a log-mel variant wins on five, with reversals such as 0.448 against 0.539 on ToyCar and 0.506 against 0.576 on bearing. The front end is specialised to stationary rotating machinery and we report it as such. For a device that calibrates itself on one machine and monitors only that machine the specialisation is a defensible trade; it is not a general-purpose anomalous sound detection result.</w:t>
      </w:r>
    </w:p>
    <w:p>
      <w:pPr>
        <w:pStyle w:val="2"/>
      </w:pPr>
      <w:r>
        <w:t>Temporal decision rule</w:t>
      </w:r>
    </w:p>
    <w:p>
      <w:pPr>
        <w:pStyle w:val="a3"/>
      </w:pPr>
      <w:r>
        <w:t>The temporal rule was derived over 40 splits and 2000 normal windows drawn from held-out normal clips of the same machine. Short disturbances are synthetic score bumps, so Table II measures the temporal behaviour of each rule and not acoustic detectability. Clips of a different physical fan are scored separately as a domain-shift measure and are never counted as false alarms.</w:t>
      </w:r>
    </w:p>
    <w:p>
      <w:pPr>
        <w:pStyle w:val="tablehead"/>
        <w:keepNext/>
      </w:pPr>
      <w:r>
        <w:t>Temporal Decision Rules, 40 Splits, 2000 Normal Windows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024"/>
        <w:gridCol w:w="2024"/>
        <w:gridCol w:w="2024"/>
        <w:gridCol w:w="2024"/>
        <w:gridCol w:w="2024"/>
      </w:tblGrid>
      <w:tr>
        <w:trPr>
          <w:cantSplit/>
        </w:trPr>
        <w:tc>
          <w:tcPr>
            <w:tcW w:type="dxa" w:w="1304"/>
          </w:tcPr>
          <w:p>
            <w:pPr>
              <w:pStyle w:val="tablecolhead"/>
              <w:keepNext/>
              <w:jc w:val="center"/>
            </w:pPr>
            <w:r/>
            <w:r>
              <w:rPr>
                <w:b/>
                <w:sz w:val="15"/>
              </w:rPr>
              <w:t>Rule</w:t>
            </w:r>
          </w:p>
        </w:tc>
        <w:tc>
          <w:tcPr>
            <w:tcW w:type="dxa" w:w="850"/>
          </w:tcPr>
          <w:p>
            <w:pPr>
              <w:pStyle w:val="tablecolhead"/>
              <w:keepNext/>
              <w:jc w:val="center"/>
            </w:pPr>
            <w:r/>
            <w:r>
              <w:rPr>
                <w:b/>
                <w:sz w:val="15"/>
              </w:rPr>
              <w:t>False alarms /h</w:t>
            </w:r>
          </w:p>
        </w:tc>
        <w:tc>
          <w:tcPr>
            <w:tcW w:type="dxa" w:w="907"/>
          </w:tcPr>
          <w:p>
            <w:pPr>
              <w:pStyle w:val="tablecolhead"/>
              <w:keepNext/>
              <w:jc w:val="center"/>
            </w:pPr>
            <w:r/>
            <w:r>
              <w:rPr>
                <w:b/>
                <w:sz w:val="15"/>
              </w:rPr>
              <w:t>Foreign machine /h</w:t>
            </w:r>
          </w:p>
        </w:tc>
        <w:tc>
          <w:tcPr>
            <w:tcW w:type="dxa" w:w="850"/>
          </w:tcPr>
          <w:p>
            <w:pPr>
              <w:pStyle w:val="tablecolhead"/>
              <w:keepNext/>
              <w:jc w:val="center"/>
            </w:pPr>
            <w:r/>
            <w:r>
              <w:rPr>
                <w:b/>
                <w:sz w:val="15"/>
              </w:rPr>
              <w:t>Alarm on 1 window</w:t>
            </w:r>
          </w:p>
        </w:tc>
        <w:tc>
          <w:tcPr>
            <w:tcW w:type="dxa" w:w="794"/>
          </w:tcPr>
          <w:p>
            <w:pPr>
              <w:pStyle w:val="tablecolhead"/>
              <w:keepNext/>
              <w:jc w:val="center"/>
            </w:pPr>
            <w:r/>
            <w:r>
              <w:rPr>
                <w:b/>
                <w:sz w:val="15"/>
              </w:rPr>
              <w:t>Latency (win.)</w:t>
            </w:r>
          </w:p>
        </w:tc>
      </w:tr>
      <w:tr>
        <w:trPr>
          <w:cantSplit/>
        </w:trPr>
        <w:tc>
          <w:tcPr>
            <w:tcW w:type="dxa" w:w="1304"/>
          </w:tcPr>
          <w:p>
            <w:pPr>
              <w:pStyle w:val="tablecopy"/>
              <w:keepNext/>
            </w:pPr>
            <w:r/>
            <w:r>
              <w:rPr>
                <w:sz w:val="15"/>
              </w:rPr>
              <w:t>3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11.16</w:t>
            </w:r>
          </w:p>
        </w:tc>
        <w:tc>
          <w:tcPr>
            <w:tcW w:type="dxa" w:w="850"/>
          </w:tcPr>
          <w:p>
            <w:pPr>
              <w:pStyle w:val="tablecopy"/>
              <w:keepNext/>
              <w:jc w:val="center"/>
            </w:pPr>
            <w:r/>
            <w:r>
              <w:rPr>
                <w:sz w:val="15"/>
              </w:rPr>
              <w:t>0.004</w:t>
            </w:r>
          </w:p>
        </w:tc>
        <w:tc>
          <w:tcPr>
            <w:tcW w:type="dxa" w:w="794"/>
          </w:tcPr>
          <w:p>
            <w:pPr>
              <w:pStyle w:val="tablecopy"/>
              <w:keepNext/>
              <w:jc w:val="center"/>
            </w:pPr>
            <w:r/>
            <w:r>
              <w:rPr>
                <w:sz w:val="15"/>
              </w:rPr>
              <w:t>3</w:t>
            </w:r>
          </w:p>
        </w:tc>
      </w:tr>
      <w:tr>
        <w:trPr>
          <w:cantSplit/>
        </w:trPr>
        <w:tc>
          <w:tcPr>
            <w:tcW w:type="dxa" w:w="1304"/>
          </w:tcPr>
          <w:p>
            <w:pPr>
              <w:pStyle w:val="tablecopy"/>
              <w:keepNext/>
            </w:pPr>
            <w:r/>
            <w:r>
              <w:rPr>
                <w:sz w:val="15"/>
              </w:rPr>
              <w:t>4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10.98</w:t>
            </w:r>
          </w:p>
        </w:tc>
        <w:tc>
          <w:tcPr>
            <w:tcW w:type="dxa" w:w="850"/>
          </w:tcPr>
          <w:p>
            <w:pPr>
              <w:pStyle w:val="tablecopy"/>
              <w:keepNext/>
              <w:jc w:val="center"/>
            </w:pPr>
            <w:r/>
            <w:r>
              <w:rPr>
                <w:sz w:val="15"/>
              </w:rPr>
              <w:t>0.000</w:t>
            </w:r>
          </w:p>
        </w:tc>
        <w:tc>
          <w:tcPr>
            <w:tcW w:type="dxa" w:w="794"/>
          </w:tcPr>
          <w:p>
            <w:pPr>
              <w:pStyle w:val="tablecopy"/>
              <w:keepNext/>
              <w:jc w:val="center"/>
            </w:pPr>
            <w:r/>
            <w:r>
              <w:rPr>
                <w:sz w:val="15"/>
              </w:rPr>
              <w:t>4</w:t>
            </w:r>
          </w:p>
        </w:tc>
      </w:tr>
      <w:tr>
        <w:trPr>
          <w:cantSplit/>
        </w:trPr>
        <w:tc>
          <w:tcPr>
            <w:tcW w:type="dxa" w:w="1304"/>
          </w:tcPr>
          <w:p>
            <w:pPr>
              <w:pStyle w:val="tablecopy"/>
              <w:keepNext/>
            </w:pPr>
            <w:r/>
            <w:r>
              <w:rPr>
                <w:b/>
                <w:sz w:val="15"/>
              </w:rPr>
              <w:t>Hysteresis 1.0/0.7, n = 3</w:t>
            </w:r>
          </w:p>
        </w:tc>
        <w:tc>
          <w:tcPr>
            <w:tcW w:type="dxa" w:w="850"/>
          </w:tcPr>
          <w:p>
            <w:pPr>
              <w:pStyle w:val="tablecopy"/>
              <w:keepNext/>
              <w:jc w:val="center"/>
            </w:pPr>
            <w:r/>
            <w:r>
              <w:rPr>
                <w:b/>
                <w:sz w:val="15"/>
              </w:rPr>
              <w:t>0.00</w:t>
            </w:r>
          </w:p>
        </w:tc>
        <w:tc>
          <w:tcPr>
            <w:tcW w:type="dxa" w:w="907"/>
          </w:tcPr>
          <w:p>
            <w:pPr>
              <w:pStyle w:val="tablecopy"/>
              <w:keepNext/>
              <w:jc w:val="center"/>
            </w:pPr>
            <w:r/>
            <w:r>
              <w:rPr>
                <w:b/>
                <w:sz w:val="15"/>
              </w:rPr>
              <w:t>5.40</w:t>
            </w:r>
          </w:p>
        </w:tc>
        <w:tc>
          <w:tcPr>
            <w:tcW w:type="dxa" w:w="850"/>
          </w:tcPr>
          <w:p>
            <w:pPr>
              <w:pStyle w:val="tablecopy"/>
              <w:keepNext/>
              <w:jc w:val="center"/>
            </w:pPr>
            <w:r/>
            <w:r>
              <w:rPr>
                <w:b/>
                <w:sz w:val="15"/>
              </w:rPr>
              <w:t>0.000</w:t>
            </w:r>
          </w:p>
        </w:tc>
        <w:tc>
          <w:tcPr>
            <w:tcW w:type="dxa" w:w="794"/>
          </w:tcPr>
          <w:p>
            <w:pPr>
              <w:pStyle w:val="tablecopy"/>
              <w:keepNext/>
              <w:jc w:val="center"/>
            </w:pPr>
            <w:r/>
            <w:r>
              <w:rPr>
                <w:b/>
                <w:sz w:val="15"/>
              </w:rPr>
              <w:t>3</w:t>
            </w:r>
          </w:p>
        </w:tc>
      </w:tr>
      <w:tr>
        <w:trPr>
          <w:cantSplit/>
        </w:trPr>
        <w:tc>
          <w:tcPr>
            <w:tcW w:type="dxa" w:w="1304"/>
          </w:tcPr>
          <w:p>
            <w:pPr>
              <w:pStyle w:val="tablecopy"/>
              <w:keepNext/>
            </w:pPr>
            <w:r/>
            <w:r>
              <w:rPr>
                <w:sz w:val="15"/>
              </w:rPr>
              <w:t>EWMA (0.4), n = 3</w:t>
            </w:r>
          </w:p>
        </w:tc>
        <w:tc>
          <w:tcPr>
            <w:tcW w:type="dxa" w:w="850"/>
          </w:tcPr>
          <w:p>
            <w:pPr>
              <w:pStyle w:val="tablecopy"/>
              <w:keepNext/>
              <w:jc w:val="center"/>
            </w:pPr>
            <w:r/>
            <w:r>
              <w:rPr>
                <w:sz w:val="15"/>
              </w:rPr>
              <w:t>5.40</w:t>
            </w:r>
          </w:p>
        </w:tc>
        <w:tc>
          <w:tcPr>
            <w:tcW w:type="dxa" w:w="907"/>
          </w:tcPr>
          <w:p>
            <w:pPr>
              <w:pStyle w:val="tablecopy"/>
              <w:keepNext/>
              <w:jc w:val="center"/>
            </w:pPr>
            <w:r/>
            <w:r>
              <w:rPr>
                <w:sz w:val="15"/>
              </w:rPr>
              <w:t>6.48</w:t>
            </w:r>
          </w:p>
        </w:tc>
        <w:tc>
          <w:tcPr>
            <w:tcW w:type="dxa" w:w="850"/>
          </w:tcPr>
          <w:p>
            <w:pPr>
              <w:pStyle w:val="tablecopy"/>
              <w:keepNext/>
              <w:jc w:val="center"/>
            </w:pPr>
            <w:r/>
            <w:r>
              <w:rPr>
                <w:sz w:val="15"/>
              </w:rPr>
              <w:t>0.592</w:t>
            </w:r>
          </w:p>
        </w:tc>
        <w:tc>
          <w:tcPr>
            <w:tcW w:type="dxa" w:w="794"/>
          </w:tcPr>
          <w:p>
            <w:pPr>
              <w:pStyle w:val="tablecopy"/>
              <w:keepNext/>
              <w:jc w:val="center"/>
            </w:pPr>
            <w:r/>
            <w:r>
              <w:rPr>
                <w:sz w:val="15"/>
              </w:rPr>
              <w:t>3</w:t>
            </w:r>
          </w:p>
        </w:tc>
      </w:tr>
      <w:tr>
        <w:trPr>
          <w:cantSplit/>
        </w:trPr>
        <w:tc>
          <w:tcPr>
            <w:tcW w:type="dxa" w:w="1304"/>
          </w:tcPr>
          <w:p>
            <w:pPr>
              <w:pStyle w:val="tablecopy"/>
            </w:pPr>
            <w:r/>
            <w:r>
              <w:rPr>
                <w:sz w:val="15"/>
              </w:rPr>
              <w:t>CUSUM k = 0.5, h = 2</w:t>
            </w:r>
          </w:p>
        </w:tc>
        <w:tc>
          <w:tcPr>
            <w:tcW w:type="dxa" w:w="850"/>
          </w:tcPr>
          <w:p>
            <w:pPr>
              <w:pStyle w:val="tablecopy"/>
              <w:jc w:val="center"/>
            </w:pPr>
            <w:r/>
            <w:r>
              <w:rPr>
                <w:sz w:val="15"/>
              </w:rPr>
              <w:t>5.40</w:t>
            </w:r>
          </w:p>
        </w:tc>
        <w:tc>
          <w:tcPr>
            <w:tcW w:type="dxa" w:w="907"/>
          </w:tcPr>
          <w:p>
            <w:pPr>
              <w:pStyle w:val="tablecopy"/>
              <w:jc w:val="center"/>
            </w:pPr>
            <w:r/>
            <w:r>
              <w:rPr>
                <w:sz w:val="15"/>
              </w:rPr>
              <w:t>11.16</w:t>
            </w:r>
          </w:p>
        </w:tc>
        <w:tc>
          <w:tcPr>
            <w:tcW w:type="dxa" w:w="850"/>
          </w:tcPr>
          <w:p>
            <w:pPr>
              <w:pStyle w:val="tablecopy"/>
              <w:jc w:val="center"/>
            </w:pPr>
            <w:r/>
            <w:r>
              <w:rPr>
                <w:sz w:val="15"/>
              </w:rPr>
              <w:t>0.721</w:t>
            </w:r>
          </w:p>
        </w:tc>
        <w:tc>
          <w:tcPr>
            <w:tcW w:type="dxa" w:w="794"/>
          </w:tcPr>
          <w:p>
            <w:pPr>
              <w:pStyle w:val="tablecopy"/>
              <w:jc w:val="center"/>
            </w:pPr>
            <w:r/>
            <w:r>
              <w:rPr>
                <w:sz w:val="15"/>
              </w:rPr>
              <w:t>1</w:t>
            </w:r>
          </w:p>
        </w:tc>
      </w:tr>
    </w:tbl>
    <w:p>
      <w:pPr>
        <w:spacing w:before="40" w:after="120"/>
        <w:jc w:val="left"/>
      </w:pPr>
      <w:r>
        <w:rPr>
          <w:i/>
          <w:sz w:val="14"/>
        </w:rPr>
        <w:t>The selected rule is set in bold. Short disturbances are synthetic score bumps and probe the rule, not acoustic detectability.</w:t>
      </w:r>
    </w:p>
    <w:p>
      <w:pPr>
        <w:pStyle w:val="a3"/>
      </w:pPr>
      <w:r>
        <w:t>The selected rule, hysteresis with entry at the threshold, release at 0.7 times the threshold and three consecutive windows, gives no false alarms, no response at all to a single disturbed window, and roughly half the response to a foreign machine that the plain three-window rule gives, at the same detection latency. No candidate satisfied the strict criterion of zero false alarms and zero response to short disturbances and no missed sustained shift; we report that as a rejected criterion rather than relaxing it silently. One reason is structural: a disturbed window next to one already above the threshold can complete a run of three, and no consecutive-window rule can exclude that. The other reason is the threshold itself, the subject of Section VI.</w:t>
      </w:r>
    </w:p>
    <w:p>
      <w:pPr>
        <w:pStyle w:val="2"/>
      </w:pPr>
      <w:r>
        <w:t>Autonomous operation on the device</w:t>
      </w:r>
    </w:p>
    <w:p>
      <w:pPr>
        <w:pStyle w:val="a3"/>
      </w:pPr>
      <w:r>
        <w:t>Before a fan was available the device calibrated itself and monitored with no host in the decision path, a PC only replaying recordings through a loudspeaker. The clean run covers 107 detection windows over 17.6 min with OK quality verdicts throughout, six windows above the threshold and no alarm episode, because the longest run above the threshold was two windows and the rule requires three. The per-window dropped-sample delta was zero in all 177 measured windows; the cumulative counter is large only because the ring buffer is not drained while the device idles waiting for the button, and we make no claim from it.</w:t>
      </w:r>
    </w:p>
    <w:p>
      <w:pPr>
        <w:pStyle w:val="2"/>
      </w:pPr>
      <w:r>
        <w:t>Trials on a physical fan</w:t>
      </w:r>
    </w:p>
    <w:p>
      <w:pPr>
        <w:pStyle w:val="a3"/>
      </w:pPr>
      <w:r>
        <w:t>Two valid trials were then run on a physical fan, both from the same firmware image, with the microphone 40 cm from the shaft. In the first, the induced change was a strip of paper held against the intake grille, repeated three times, followed by speech and a door. In the second, the change was a constant 1 kHz tone from a loudspeaker at a fixed level and position. Table III reports both. The induced changes are controlled, reversible disturbances; neither is a confirmed fault, and we do not call them one.</w:t>
      </w:r>
    </w:p>
    <w:p>
      <w:pPr>
        <w:pStyle w:val="tablehead"/>
        <w:keepNext/>
      </w:pPr>
      <w:r>
        <w:t>Physical Fan Trials, Same Firmware Image</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3373"/>
        <w:gridCol w:w="3373"/>
        <w:gridCol w:w="3373"/>
      </w:tblGrid>
      <w:tr>
        <w:trPr>
          <w:cantSplit/>
        </w:trPr>
        <w:tc>
          <w:tcPr>
            <w:tcW w:type="dxa" w:w="1814"/>
          </w:tcPr>
          <w:p>
            <w:pPr>
              <w:pStyle w:val="tablecolhead"/>
              <w:keepNext/>
              <w:jc w:val="center"/>
            </w:pPr>
            <w:r/>
            <w:r>
              <w:rPr>
                <w:b/>
                <w:sz w:val="15"/>
              </w:rPr>
              <w:t>Measurement</w:t>
            </w:r>
          </w:p>
        </w:tc>
        <w:tc>
          <w:tcPr>
            <w:tcW w:type="dxa" w:w="1417"/>
          </w:tcPr>
          <w:p>
            <w:pPr>
              <w:pStyle w:val="tablecolhead"/>
              <w:keepNext/>
              <w:jc w:val="center"/>
            </w:pPr>
            <w:r/>
            <w:r>
              <w:rPr>
                <w:b/>
                <w:sz w:val="15"/>
              </w:rPr>
              <w:t>Paper strip</w:t>
            </w:r>
          </w:p>
        </w:tc>
        <w:tc>
          <w:tcPr>
            <w:tcW w:type="dxa" w:w="1474"/>
          </w:tcPr>
          <w:p>
            <w:pPr>
              <w:pStyle w:val="tablecolhead"/>
              <w:keepNext/>
              <w:jc w:val="center"/>
            </w:pPr>
            <w:r/>
            <w:r>
              <w:rPr>
                <w:b/>
                <w:sz w:val="15"/>
              </w:rPr>
              <w:t>Constant tone</w:t>
            </w:r>
          </w:p>
        </w:tc>
      </w:tr>
      <w:tr>
        <w:trPr>
          <w:cantSplit/>
        </w:trPr>
        <w:tc>
          <w:tcPr>
            <w:tcW w:type="dxa" w:w="1814"/>
          </w:tcPr>
          <w:p>
            <w:pPr>
              <w:pStyle w:val="tablecopy"/>
              <w:keepNext/>
            </w:pPr>
            <w:r/>
            <w:r>
              <w:rPr>
                <w:sz w:val="15"/>
              </w:rPr>
              <w:t>Calibration accepted</w:t>
            </w:r>
          </w:p>
        </w:tc>
        <w:tc>
          <w:tcPr>
            <w:tcW w:type="dxa" w:w="1417"/>
          </w:tcPr>
          <w:p>
            <w:pPr>
              <w:pStyle w:val="tablecopy"/>
              <w:keepNext/>
              <w:jc w:val="center"/>
            </w:pPr>
            <w:r/>
            <w:r>
              <w:rPr>
                <w:sz w:val="15"/>
              </w:rPr>
              <w:t>yes, 2 clips trimmed</w:t>
            </w:r>
          </w:p>
        </w:tc>
        <w:tc>
          <w:tcPr>
            <w:tcW w:type="dxa" w:w="1474"/>
          </w:tcPr>
          <w:p>
            <w:pPr>
              <w:pStyle w:val="tablecopy"/>
              <w:keepNext/>
              <w:jc w:val="center"/>
            </w:pPr>
            <w:r/>
            <w:r>
              <w:rPr>
                <w:sz w:val="15"/>
              </w:rPr>
              <w:t>yes, no trim</w:t>
            </w:r>
          </w:p>
        </w:tc>
      </w:tr>
      <w:tr>
        <w:trPr>
          <w:cantSplit/>
        </w:trPr>
        <w:tc>
          <w:tcPr>
            <w:tcW w:type="dxa" w:w="1814"/>
          </w:tcPr>
          <w:p>
            <w:pPr>
              <w:pStyle w:val="tablecopy"/>
              <w:keepNext/>
            </w:pPr>
            <w:r/>
            <w:r>
              <w:rPr>
                <w:sz w:val="15"/>
              </w:rPr>
              <w:t>Leave-one-out CV</w:t>
            </w:r>
          </w:p>
        </w:tc>
        <w:tc>
          <w:tcPr>
            <w:tcW w:type="dxa" w:w="1417"/>
          </w:tcPr>
          <w:p>
            <w:pPr>
              <w:pStyle w:val="tablecopy"/>
              <w:keepNext/>
              <w:jc w:val="center"/>
            </w:pPr>
            <w:r/>
            <w:r>
              <w:rPr>
                <w:sz w:val="15"/>
              </w:rPr>
              <w:t>0.84 -&gt; 0.43</w:t>
            </w:r>
          </w:p>
        </w:tc>
        <w:tc>
          <w:tcPr>
            <w:tcW w:type="dxa" w:w="1474"/>
          </w:tcPr>
          <w:p>
            <w:pPr>
              <w:pStyle w:val="tablecopy"/>
              <w:keepNext/>
              <w:jc w:val="center"/>
            </w:pPr>
            <w:r/>
            <w:r>
              <w:rPr>
                <w:sz w:val="15"/>
              </w:rPr>
              <w:t>0.43</w:t>
            </w:r>
          </w:p>
        </w:tc>
      </w:tr>
      <w:tr>
        <w:trPr>
          <w:cantSplit/>
        </w:trPr>
        <w:tc>
          <w:tcPr>
            <w:tcW w:type="dxa" w:w="1814"/>
          </w:tcPr>
          <w:p>
            <w:pPr>
              <w:pStyle w:val="tablecopy"/>
              <w:keepNext/>
            </w:pPr>
            <w:r/>
            <w:r>
              <w:rPr>
                <w:sz w:val="15"/>
              </w:rPr>
              <w:t>Entry / release threshold</w:t>
            </w:r>
          </w:p>
        </w:tc>
        <w:tc>
          <w:tcPr>
            <w:tcW w:type="dxa" w:w="1417"/>
          </w:tcPr>
          <w:p>
            <w:pPr>
              <w:pStyle w:val="tablecopy"/>
              <w:keepNext/>
              <w:jc w:val="center"/>
            </w:pPr>
            <w:r/>
            <w:r>
              <w:rPr>
                <w:sz w:val="15"/>
              </w:rPr>
              <w:t>8084 / 3707</w:t>
            </w:r>
          </w:p>
        </w:tc>
        <w:tc>
          <w:tcPr>
            <w:tcW w:type="dxa" w:w="1474"/>
          </w:tcPr>
          <w:p>
            <w:pPr>
              <w:pStyle w:val="tablecopy"/>
              <w:keepNext/>
              <w:jc w:val="center"/>
            </w:pPr>
            <w:r/>
            <w:r>
              <w:rPr>
                <w:sz w:val="15"/>
              </w:rPr>
              <w:t>21 810 / 10 905</w:t>
            </w:r>
          </w:p>
        </w:tc>
      </w:tr>
      <w:tr>
        <w:trPr>
          <w:cantSplit/>
        </w:trPr>
        <w:tc>
          <w:tcPr>
            <w:tcW w:type="dxa" w:w="1814"/>
          </w:tcPr>
          <w:p>
            <w:pPr>
              <w:pStyle w:val="tablecopy"/>
              <w:keepNext/>
            </w:pPr>
            <w:r/>
            <w:r>
              <w:rPr>
                <w:sz w:val="15"/>
              </w:rPr>
              <w:t>Normal baseline, median score</w:t>
            </w:r>
          </w:p>
        </w:tc>
        <w:tc>
          <w:tcPr>
            <w:tcW w:type="dxa" w:w="1417"/>
          </w:tcPr>
          <w:p>
            <w:pPr>
              <w:pStyle w:val="tablecopy"/>
              <w:keepNext/>
              <w:jc w:val="center"/>
            </w:pPr>
            <w:r/>
            <w:r>
              <w:rPr>
                <w:sz w:val="15"/>
              </w:rPr>
              <w:t>1190</w:t>
            </w:r>
          </w:p>
        </w:tc>
        <w:tc>
          <w:tcPr>
            <w:tcW w:type="dxa" w:w="1474"/>
          </w:tcPr>
          <w:p>
            <w:pPr>
              <w:pStyle w:val="tablecopy"/>
              <w:keepNext/>
              <w:jc w:val="center"/>
            </w:pPr>
            <w:r/>
            <w:r>
              <w:rPr>
                <w:sz w:val="15"/>
              </w:rPr>
              <w:t>7164</w:t>
            </w:r>
          </w:p>
        </w:tc>
      </w:tr>
      <w:tr>
        <w:trPr>
          <w:cantSplit/>
        </w:trPr>
        <w:tc>
          <w:tcPr>
            <w:tcW w:type="dxa" w:w="1814"/>
          </w:tcPr>
          <w:p>
            <w:pPr>
              <w:pStyle w:val="tablecopy"/>
              <w:keepNext/>
            </w:pPr>
            <w:r/>
            <w:r>
              <w:rPr>
                <w:sz w:val="15"/>
              </w:rPr>
              <w:t>Induced change, median score</w:t>
            </w:r>
          </w:p>
        </w:tc>
        <w:tc>
          <w:tcPr>
            <w:tcW w:type="dxa" w:w="1417"/>
          </w:tcPr>
          <w:p>
            <w:pPr>
              <w:pStyle w:val="tablecopy"/>
              <w:keepNext/>
              <w:jc w:val="center"/>
            </w:pPr>
            <w:r/>
            <w:r>
              <w:rPr>
                <w:sz w:val="15"/>
              </w:rPr>
              <w:t>14 389 - 60 050</w:t>
            </w:r>
          </w:p>
        </w:tc>
        <w:tc>
          <w:tcPr>
            <w:tcW w:type="dxa" w:w="1474"/>
          </w:tcPr>
          <w:p>
            <w:pPr>
              <w:pStyle w:val="tablecopy"/>
              <w:keepNext/>
              <w:jc w:val="center"/>
            </w:pPr>
            <w:r/>
            <w:r>
              <w:rPr>
                <w:sz w:val="15"/>
              </w:rPr>
              <w:t>22 629</w:t>
            </w:r>
          </w:p>
        </w:tc>
      </w:tr>
      <w:tr>
        <w:trPr>
          <w:cantSplit/>
        </w:trPr>
        <w:tc>
          <w:tcPr>
            <w:tcW w:type="dxa" w:w="1814"/>
          </w:tcPr>
          <w:p>
            <w:pPr>
              <w:pStyle w:val="tablecopy"/>
              <w:keepNext/>
            </w:pPr>
            <w:r/>
            <w:r>
              <w:rPr>
                <w:sz w:val="15"/>
              </w:rPr>
              <w:t>Monitoring windows</w:t>
            </w:r>
          </w:p>
        </w:tc>
        <w:tc>
          <w:tcPr>
            <w:tcW w:type="dxa" w:w="1417"/>
          </w:tcPr>
          <w:p>
            <w:pPr>
              <w:pStyle w:val="tablecopy"/>
              <w:keepNext/>
              <w:jc w:val="center"/>
            </w:pPr>
            <w:r/>
            <w:r>
              <w:rPr>
                <w:sz w:val="15"/>
              </w:rPr>
              <w:t>65</w:t>
            </w:r>
          </w:p>
        </w:tc>
        <w:tc>
          <w:tcPr>
            <w:tcW w:type="dxa" w:w="1474"/>
          </w:tcPr>
          <w:p>
            <w:pPr>
              <w:pStyle w:val="tablecopy"/>
              <w:keepNext/>
              <w:jc w:val="center"/>
            </w:pPr>
            <w:r/>
            <w:r>
              <w:rPr>
                <w:sz w:val="15"/>
              </w:rPr>
              <w:t>115</w:t>
            </w:r>
          </w:p>
        </w:tc>
      </w:tr>
      <w:tr>
        <w:trPr>
          <w:cantSplit/>
        </w:trPr>
        <w:tc>
          <w:tcPr>
            <w:tcW w:type="dxa" w:w="1814"/>
          </w:tcPr>
          <w:p>
            <w:pPr>
              <w:pStyle w:val="tablecopy"/>
              <w:keepNext/>
            </w:pPr>
            <w:r/>
            <w:r>
              <w:rPr>
                <w:sz w:val="15"/>
              </w:rPr>
              <w:t>Alarm windows / episodes</w:t>
            </w:r>
          </w:p>
        </w:tc>
        <w:tc>
          <w:tcPr>
            <w:tcW w:type="dxa" w:w="1417"/>
          </w:tcPr>
          <w:p>
            <w:pPr>
              <w:pStyle w:val="tablecopy"/>
              <w:keepNext/>
              <w:jc w:val="center"/>
            </w:pPr>
            <w:r/>
            <w:r>
              <w:rPr>
                <w:sz w:val="15"/>
              </w:rPr>
              <w:t>3 / 2</w:t>
            </w:r>
          </w:p>
        </w:tc>
        <w:tc>
          <w:tcPr>
            <w:tcW w:type="dxa" w:w="1474"/>
          </w:tcPr>
          <w:p>
            <w:pPr>
              <w:pStyle w:val="tablecopy"/>
              <w:keepNext/>
              <w:jc w:val="center"/>
            </w:pPr>
            <w:r/>
            <w:r>
              <w:rPr>
                <w:sz w:val="15"/>
              </w:rPr>
              <w:t>64 / 2</w:t>
            </w:r>
          </w:p>
        </w:tc>
      </w:tr>
      <w:tr>
        <w:trPr>
          <w:cantSplit/>
        </w:trPr>
        <w:tc>
          <w:tcPr>
            <w:tcW w:type="dxa" w:w="1814"/>
          </w:tcPr>
          <w:p>
            <w:pPr>
              <w:pStyle w:val="tablecopy"/>
              <w:keepNext/>
            </w:pPr>
            <w:r/>
            <w:r>
              <w:rPr>
                <w:sz w:val="15"/>
              </w:rPr>
              <w:t>Alarm latency</w:t>
            </w:r>
          </w:p>
        </w:tc>
        <w:tc>
          <w:tcPr>
            <w:tcW w:type="dxa" w:w="1417"/>
          </w:tcPr>
          <w:p>
            <w:pPr>
              <w:pStyle w:val="tablecopy"/>
              <w:keepNext/>
              <w:jc w:val="center"/>
            </w:pPr>
            <w:r/>
            <w:r>
              <w:rPr>
                <w:sz w:val="15"/>
              </w:rPr>
              <w:t>3 windows</w:t>
            </w:r>
          </w:p>
        </w:tc>
        <w:tc>
          <w:tcPr>
            <w:tcW w:type="dxa" w:w="1474"/>
          </w:tcPr>
          <w:p>
            <w:pPr>
              <w:pStyle w:val="tablecopy"/>
              <w:keepNext/>
              <w:jc w:val="center"/>
            </w:pPr>
            <w:r/>
            <w:r>
              <w:rPr>
                <w:sz w:val="15"/>
              </w:rPr>
              <w:t>3 windows</w:t>
            </w:r>
          </w:p>
        </w:tc>
      </w:tr>
      <w:tr>
        <w:trPr>
          <w:cantSplit/>
        </w:trPr>
        <w:tc>
          <w:tcPr>
            <w:tcW w:type="dxa" w:w="1814"/>
          </w:tcPr>
          <w:p>
            <w:pPr>
              <w:pStyle w:val="tablecopy"/>
              <w:keepNext/>
            </w:pPr>
            <w:r/>
            <w:r>
              <w:rPr>
                <w:sz w:val="15"/>
              </w:rPr>
              <w:t>Median release latency</w:t>
            </w:r>
          </w:p>
        </w:tc>
        <w:tc>
          <w:tcPr>
            <w:tcW w:type="dxa" w:w="1417"/>
          </w:tcPr>
          <w:p>
            <w:pPr>
              <w:pStyle w:val="tablecopy"/>
              <w:keepNext/>
              <w:jc w:val="center"/>
            </w:pPr>
            <w:r/>
            <w:r>
              <w:rPr>
                <w:sz w:val="15"/>
              </w:rPr>
              <w:t>10.1 s</w:t>
            </w:r>
          </w:p>
        </w:tc>
        <w:tc>
          <w:tcPr>
            <w:tcW w:type="dxa" w:w="1474"/>
          </w:tcPr>
          <w:p>
            <w:pPr>
              <w:pStyle w:val="tablecopy"/>
              <w:keepNext/>
              <w:jc w:val="center"/>
            </w:pPr>
            <w:r/>
            <w:r>
              <w:rPr>
                <w:sz w:val="15"/>
              </w:rPr>
              <w:t>not measured</w:t>
            </w:r>
          </w:p>
        </w:tc>
      </w:tr>
      <w:tr>
        <w:trPr>
          <w:cantSplit/>
        </w:trPr>
        <w:tc>
          <w:tcPr>
            <w:tcW w:type="dxa" w:w="1814"/>
          </w:tcPr>
          <w:p>
            <w:pPr>
              <w:pStyle w:val="tablecopy"/>
              <w:keepNext/>
            </w:pPr>
            <w:r/>
            <w:r>
              <w:rPr>
                <w:sz w:val="15"/>
              </w:rPr>
              <w:t>Speech / door response</w:t>
            </w:r>
          </w:p>
        </w:tc>
        <w:tc>
          <w:tcPr>
            <w:tcW w:type="dxa" w:w="1417"/>
          </w:tcPr>
          <w:p>
            <w:pPr>
              <w:pStyle w:val="tablecopy"/>
              <w:keepNext/>
              <w:jc w:val="center"/>
            </w:pPr>
            <w:r/>
            <w:r>
              <w:rPr>
                <w:sz w:val="15"/>
              </w:rPr>
              <w:t>no alarm, windows held</w:t>
            </w:r>
          </w:p>
        </w:tc>
        <w:tc>
          <w:tcPr>
            <w:tcW w:type="dxa" w:w="1474"/>
          </w:tcPr>
          <w:p>
            <w:pPr>
              <w:pStyle w:val="tablecopy"/>
              <w:keepNext/>
              <w:jc w:val="center"/>
            </w:pPr>
            <w:r/>
            <w:r>
              <w:rPr>
                <w:sz w:val="15"/>
              </w:rPr>
              <w:t>not applied</w:t>
            </w:r>
          </w:p>
        </w:tc>
      </w:tr>
      <w:tr>
        <w:trPr>
          <w:cantSplit/>
        </w:trPr>
        <w:tc>
          <w:tcPr>
            <w:tcW w:type="dxa" w:w="1814"/>
          </w:tcPr>
          <w:p>
            <w:pPr>
              <w:pStyle w:val="tablecopy"/>
              <w:keepNext/>
            </w:pPr>
            <w:r/>
            <w:r>
              <w:rPr>
                <w:sz w:val="15"/>
              </w:rPr>
              <w:t>Sustained-deviation event</w:t>
            </w:r>
          </w:p>
        </w:tc>
        <w:tc>
          <w:tcPr>
            <w:tcW w:type="dxa" w:w="1417"/>
          </w:tcPr>
          <w:p>
            <w:pPr>
              <w:pStyle w:val="tablecopy"/>
              <w:keepNext/>
              <w:jc w:val="center"/>
            </w:pPr>
            <w:r/>
            <w:r>
              <w:rPr>
                <w:sz w:val="15"/>
              </w:rPr>
              <w:t>no</w:t>
            </w:r>
          </w:p>
        </w:tc>
        <w:tc>
          <w:tcPr>
            <w:tcW w:type="dxa" w:w="1474"/>
          </w:tcPr>
          <w:p>
            <w:pPr>
              <w:pStyle w:val="tablecopy"/>
              <w:keepNext/>
              <w:jc w:val="center"/>
            </w:pPr>
            <w:r/>
            <w:r>
              <w:rPr>
                <w:sz w:val="15"/>
              </w:rPr>
              <w:t>yes, after 12 windows</w:t>
            </w:r>
          </w:p>
        </w:tc>
      </w:tr>
      <w:tr>
        <w:trPr>
          <w:cantSplit/>
        </w:trPr>
        <w:tc>
          <w:tcPr>
            <w:tcW w:type="dxa" w:w="1814"/>
          </w:tcPr>
          <w:p>
            <w:pPr>
              <w:pStyle w:val="tablecopy"/>
            </w:pPr>
            <w:r/>
            <w:r>
              <w:rPr>
                <w:sz w:val="15"/>
              </w:rPr>
              <w:t>Per-window dropped samples</w:t>
            </w:r>
          </w:p>
        </w:tc>
        <w:tc>
          <w:tcPr>
            <w:tcW w:type="dxa" w:w="1417"/>
          </w:tcPr>
          <w:p>
            <w:pPr>
              <w:pStyle w:val="tablecopy"/>
              <w:jc w:val="center"/>
            </w:pPr>
            <w:r/>
            <w:r>
              <w:rPr>
                <w:sz w:val="15"/>
              </w:rPr>
              <w:t>0</w:t>
            </w:r>
          </w:p>
        </w:tc>
        <w:tc>
          <w:tcPr>
            <w:tcW w:type="dxa" w:w="1474"/>
          </w:tcPr>
          <w:p>
            <w:pPr>
              <w:pStyle w:val="tablecopy"/>
              <w:jc w:val="center"/>
            </w:pPr>
            <w:r/>
            <w:r>
              <w:rPr>
                <w:sz w:val="15"/>
              </w:rPr>
              <w:t>0</w:t>
            </w:r>
          </w:p>
        </w:tc>
      </w:tr>
    </w:tbl>
    <w:p>
      <w:pPr>
        <w:spacing w:before="40" w:after="120"/>
        <w:jc w:val="left"/>
      </w:pPr>
      <w:r>
        <w:rPr>
          <w:i/>
          <w:sz w:val="14"/>
        </w:rPr>
        <w:t>Both trials come from the same firmware image. The induced changes are controlled disturbances, not confirmed faults.</w:t>
      </w:r>
    </w:p>
    <w:p>
      <w:pPr>
        <w:pStyle w:val="a3"/>
      </w:pPr>
      <w:r>
        <w:t>The paper trial is the more informative of the two. The feature saw the change in all three blocks - median scores of 26 399, 60 050 and 14 389 against a normal baseline of 1190 - but an alarm was raised only in the third. In the first two the reliability gate held four and three of five windows, so the run of three consecutive reliable windows never completed. A strip of paper held by hand is not a constant stimulus, and the device refuses to call an unstable window an anomaly. Speech and the door produced high scores, 36 838 and 4366, and no alarm, for the same reason.</w:t>
      </w:r>
    </w:p>
    <w:p>
      <w:pPr>
        <w:pStyle w:val="a3"/>
      </w:pPr>
      <w:r>
        <w:t>The tone trial supplies the constant stimulus the paper trial lacked. The alarm was raised after three consecutive reliable windows, about 30 s, and the sustained-deviation event followed twelve alarm windows later. The first nine tone windows scored within the normal range because the loudspeaker was too quiet: the change has to be loud enough relative to the fan's own noise. After the tone was switched off the score fell below the entry threshold but stayed above the release threshold until the trial ended, so that release latency was not measured.</w:t>
      </w:r>
    </w:p>
    <w:p>
      <w:pPr>
        <w:keepNext/>
        <w:spacing w:before="80" w:after="20"/>
        <w:jc w:val="center"/>
      </w:pPr>
      <w:r>
        <w:drawing>
          <wp:inline xmlns:a="http://schemas.openxmlformats.org/drawingml/2006/main" xmlns:pic="http://schemas.openxmlformats.org/drawingml/2006/picture">
            <wp:extent cx="2988000" cy="1794153"/>
            <wp:docPr id="2" name="Picture 2"/>
            <wp:cNvGraphicFramePr>
              <a:graphicFrameLocks noChangeAspect="1"/>
            </wp:cNvGraphicFramePr>
            <a:graphic>
              <a:graphicData uri="http://schemas.openxmlformats.org/drawingml/2006/picture">
                <pic:pic>
                  <pic:nvPicPr>
                    <pic:cNvPr id="0" name="fig5_fan_tone.png"/>
                    <pic:cNvPicPr/>
                  </pic:nvPicPr>
                  <pic:blipFill>
                    <a:blip r:embed="rId12"/>
                    <a:stretch>
                      <a:fillRect/>
                    </a:stretch>
                  </pic:blipFill>
                  <pic:spPr>
                    <a:xfrm>
                      <a:off x="0" y="0"/>
                      <a:ext cx="2988000" cy="1794153"/>
                    </a:xfrm>
                    <a:prstGeom prst="rect"/>
                  </pic:spPr>
                </pic:pic>
              </a:graphicData>
            </a:graphic>
          </wp:inline>
        </w:drawing>
      </w:r>
    </w:p>
    <w:p>
      <w:pPr>
        <w:pStyle w:val="figurecaption"/>
      </w:pPr>
      <w:r>
        <w:t>Score over the tone trial, one point per 10 s window. The alarm is raised after three consecutive reliable windows; held windows are excluded from alarm build-up. Note the logarithmic scale.</w:t>
      </w:r>
    </w:p>
    <w:p>
      <w:pPr>
        <w:pStyle w:val="a3"/>
      </w:pPr>
    </w:p>
    <w:p>
      <w:pPr>
        <w:pStyle w:val="1"/>
      </w:pPr>
      <w:r>
        <w:t>Threshold Instability and Its Fix</w:t>
      </w:r>
    </w:p>
    <w:p>
      <w:pPr>
        <w:pStyle w:val="a3"/>
      </w:pPr>
      <w:r>
        <w:t>The failure mode we previously reported as open is worth restating because the fix follows from it. The same board, microphone, audio source and room produced three calibrations with thresholds of 5687, 347 and 1088. Scoring the windows of run 1 with the threshold of run 2 puts 92 % of them above it; the reverse leaves 8 % above. Across the three runs the threshold spans a factor of 16 while the median score spans a factor of 4.7. The scores were comparatively stable; the threshold was not.</w:t>
      </w:r>
    </w:p>
    <w:p>
      <w:pPr>
        <w:pStyle w:val="a3"/>
      </w:pPr>
      <w:r>
        <w:t>The mechanism was the estimator, not the machine. The threshold was taken from the ten leave-one-out calibration scores as max(Q_0.90, mean + 3 sd). In one run a single window stood out and the standard deviation carried the threshold to 5687; in another the calibration was clean with a standard deviation of 60 while the normal operation that followed had a standard deviation of 8557. Ten windows recorded back to back do not represent how much normal operation varies later.</w:t>
      </w:r>
    </w:p>
    <w:p>
      <w:pPr>
        <w:pStyle w:val="a3"/>
      </w:pPr>
      <w:r>
        <w:t>The fix is the derive-and-verify sequence of Section II.C: the threshold comes from 44 normal-only windows as an empirical percentile rather than from a mean and a standard deviation over ten, and it is then verified on 22 later normal-only windows. In both physical trials the derived threshold passed verification and the resulting monitoring produced two alarm episodes in the paper trial and two in the tone trial, each attributable to an induced change rather than to normal operation.</w:t>
      </w:r>
    </w:p>
    <w:p>
      <w:pPr>
        <w:pStyle w:val="a3"/>
      </w:pPr>
      <w:r>
        <w:t>The fourth negative result belongs here, because the verification stage produced it. A more robust estimator was tried on the device, the smaller of the empirical 99th percentile and a Hampel bound of median + 3 x 1.4826 x MAD. It returned a threshold of 791 while the normal verification windows of the same session scored between 2083 and 7766, and verification rejected the calibration before a single monitoring window existed. The median absolute deviation describes only the body of the distribution, and the tail of normal operation on this fan is far longer than three robust deviations. The robust estimator was removed from the live path; a gate that fires rarely still earns its place.</w:t>
      </w:r>
    </w:p>
    <w:p>
      <w:pPr>
        <w:pStyle w:val="a3"/>
      </w:pPr>
      <w:r>
        <w:t>One limitation is unchanged. The calibration quality gate rejects a session whose ten clips disagree, and a single clip deviating by about 0.7 dB in one of 96 bands is enough to trigger it, always in the narrow band around the rotation frequency. The device may discard at most the two worst clips and recompute, which treats the symptom rather than the small variance the borrowed covariance assigns to that band.</w:t>
      </w:r>
    </w:p>
    <w:p>
      <w:pPr>
        <w:pStyle w:val="1"/>
      </w:pPr>
      <w:r>
        <w:t>Conclusion</w:t>
      </w:r>
    </w:p>
    <w:p>
      <w:pPr>
        <w:pStyle w:val="a3"/>
      </w:pPr>
      <w:r>
        <w:t>A statistical anomalous sound detector fits comfortably on an ESP32-S3: 716 ms per 10 s window, 355 kB of firmware, one microphone, one button, and a field calibration that ends with a threshold the device derived and verified by itself. Every operating policy was derived from normal sound alone, and the decision hierarchy fails closed rather than scoring untrustworthy audio.</w:t>
      </w:r>
    </w:p>
    <w:p>
      <w:pPr>
        <w:pStyle w:val="a3"/>
      </w:pPr>
      <w:r>
        <w:t>On a physical fan the device reports a constant acoustic change reliably and rejects speech and a door as unreliable rather than interpreting them. What limits the claim is no longer threshold stability but coverage: one fan, one room, and induced changes that are controlled disturbances rather than confirmed faults. A second machine, a longer normal-only run for a meaningful false-alarm interval, and full-pipeline power remain open.</w:t>
      </w:r>
    </w:p>
    <w:p>
      <w:pPr>
        <w:pStyle w:val="1"/>
        <w:numPr>
          <w:ilvl w:val="0"/>
          <w:numId w:val="0"/>
        </w:numPr>
      </w:pPr>
      <w:r>
        <w:t>References</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et al., “ToyADMOS2: Another dataset of miniature-machine operating sounds for anomalous sound detection under domain shift conditions,” in Proc. DCASE Workshop, Barcelona, Spain, Nov. 2021, pp. 1-5, doi: 10.5281/zenodo.5770113.</w:t>
      </w:r>
    </w:p>
    <w:p>
      <w:pPr>
        <w:pStyle w:val="references"/>
      </w:pPr>
      <w:r>
        <w:t>K. Dohi et al., “MIMII DG: Sound dataset for malfunctioning industrial machine investigation and inspection for domain generalization task,” in Proc. DCASE Workshop, Nancy, France, Nov. 2022, pp. 1-5.</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T. Nishida et al., “Description and discussion on DCASE 2026 Challenge Task 2: Noise-aware unsupervised anomalous sound detection for machine condition monitoring,” arXiv:2606.01578, 2026.</w:t>
      </w:r>
    </w:p>
    <w:sectPr w:rsidR="00836367" w:rsidRPr="00F96569" w:rsidSect="003B4E04">
      <w:type w:val="continuous"/>
      <w:pgSz w:w="11906" w:h="16838" w:code="9"/>
      <w:pgMar w:top="1080" w:right="907" w:bottom="1440" w:left="907" w:header="720" w:footer="720"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t>[TODO] IEEE copyright notice - the exact number is issued by the TELFOR registration system (registration.telfor.rs) and must be inserted here before submission.</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Leonid</cp:lastModifiedBy>
  <cp:revision>2</cp:revision>
  <dcterms:created xsi:type="dcterms:W3CDTF">2021-07-20T15:14:00Z</dcterms:created>
  <dcterms:modified xsi:type="dcterms:W3CDTF">2021-07-20T15:14:00Z</dcterms:modified>
</cp:coreProperties>
</file>