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tabs>
          <w:tab w:pos="10091" w:val="right"/>
        </w:tabs>
        <w:spacing w:after="200"/>
      </w:pPr>
      <w:r>
        <w:rPr>
          <w:sz w:val="18"/>
        </w:rPr>
        <w:t>34th Telecommunications Forum TELFOR 2026</w:t>
        <w:tab/>
        <w:t>Serbia, Belgrade, November 24-26, 2026</w:t>
      </w:r>
    </w:p>
    <w:p>
      <w:pPr>
        <w:pStyle w:val="papertitle"/>
      </w:pPr>
      <w:r>
        <w:t>Anomalous Sound Detection on an ESP32-S3: Normal-Only Design and Measured Failure Modes</w:t>
      </w:r>
    </w:p>
    <w:p>
      <w:pPr>
        <w:pStyle w:val="Author"/>
      </w:pPr>
      <w:r>
        <w:t>Mihajlo Živković and Ivan Mezei</w:t>
      </w:r>
    </w:p>
    <w:p>
      <w:pPr>
        <w:pStyle w:val="Author"/>
      </w:pPr>
      <w:r>
        <w:rPr>
          <w:sz w:val="18"/>
        </w:rPr>
        <w:t>University of Novi Sad, Faculty of Technical Sciences, Novi Sad, Serbia</w:t>
      </w:r>
    </w:p>
    <w:p>
      <w:pPr>
        <w:pStyle w:val="Author"/>
      </w:pPr>
      <w:r>
        <w:rPr>
          <w:sz w:val="18"/>
        </w:rPr>
        <w:t>mihajlo11zivkovic@gmail.com, imezei@uns.ac.rs</w:t>
      </w:r>
    </w:p>
    <w:p>
      <w:pPr>
        <w:spacing w:after="0"/>
        <w:sectPr w:rsidR="00D7522C" w:rsidRPr="00CA4392" w:rsidSect="003B4E04">
          <w:footerReference w:type="first" r:id="rId8"/>
          <w:pgSz w:w="11906" w:h="16838" w:code="9"/>
          <w:pgMar w:top="540" w:right="893" w:bottom="1440" w:left="893" w:header="720" w:footer="720" w:gutter="0"/>
          <w:cols w:space="720"/>
          <w:titlePg/>
          <w:docGrid w:linePitch="360"/>
        </w:sectPr>
      </w:pPr>
    </w:p>
    <w:p>
      <w:pPr>
        <w:pStyle w:val="Abstract"/>
      </w:pPr>
      <w:r>
        <w:rPr>
          <w:b/>
          <w:i/>
        </w:rPr>
        <w:t>Abstract—</w:t>
      </w:r>
      <w:r>
        <w:t>This paper evaluates a normal-only anomalous sound detector on an ESP32-S3 with one MEMS microphone. A Welch spectral feature and a Ledoit-Wolf Mahalanobis score use a local centre learned from ten normal windows. The deployed ten-window configuration reaches a developmental AUC of 0.856 on DCASE 2026 fan data. Feature and score computation takes about 716 ms per 10 s window. Field commissioning additionally derives a threshold from 44 normal windows and verifies it on 22 later windows; the complete sequence takes about 13.6 min in two recorded trials. The device detects an added tone and withholds decisions on unstable speech and door windows. The paper-strip trial detects only one of three prescribed change blocks and fails its acceptance criteria. Both trials provide valid telemetry, which is distinct from passing the experiment. Earlier threshold instability and a rejected robust estimator are reported alongside these results. The experiments demonstrate on-device execution, but do not establish fault diagnosis or long-term reliability.</w:t>
      </w:r>
    </w:p>
    <w:p>
      <w:pPr>
        <w:pStyle w:val="Keywords"/>
      </w:pPr>
      <w:r>
        <w:rPr>
          <w:b/>
          <w:i/>
        </w:rPr>
        <w:t>Keywords—</w:t>
      </w:r>
      <w:r>
        <w:t>Anomalous sound detection, condition monitoring, embedded systems, ESP32, Mahalanobis distance, unsupervised learning.</w:t>
      </w:r>
    </w:p>
    <w:p>
      <w:pPr>
        <w:pStyle w:val="1"/>
      </w:pPr>
      <w:r>
        <w:t>Introduction</w:t>
      </w:r>
    </w:p>
    <w:p>
      <w:pPr>
        <w:pStyle w:val="a3"/>
      </w:pPr>
      <w:r>
        <w:t>Monitoring machine condition through sound is attractive because a microphone is cheap, non-invasive and does not have to touch the machine. The unsupervised formulation used by the DCASE challenge series [1]-[3] matches industrial reality: a working machine produces normal sound continuously while faults are rare, so a detector has to be fitted on normal sound alone and has to generalise to machines and operating conditions it has never heard.</w:t>
      </w:r>
    </w:p>
    <w:p>
      <w:pPr>
        <w:pStyle w:val="a3"/>
      </w:pPr>
      <w:r>
        <w:t>Offline AUC measures ranking across thresholds. Deployment additionally requires a threshold for one installation, checks on audio validity and a rule for persistent deviations. These decisions must be made without assuming access to future faults. The present work studies their implementation and observed limitations on a microcontroller.</w:t>
      </w:r>
    </w:p>
    <w:p>
      <w:pPr>
        <w:pStyle w:val="a3"/>
      </w:pPr>
      <w:r>
        <w:t>The system performs calibration, scoring and alarm decisions on the ESP32-S3. A PC records telemetry, sends operator commands and, in replay trials, supplies the acoustic stimulus. Ten windows learn the centre; threshold derivation and verification follow before monitoring. The contributions are:</w:t>
      </w:r>
    </w:p>
    <w:p>
      <w:pPr>
        <w:pStyle w:val="a3"/>
      </w:pPr>
      <w:r>
        <w:t>1) An on-device statistical detector with measured computation cost and host-to-C checks. 2) A normal-only fitting procedure with separate threshold derivation and verification. 3) A reliability gate that withholds decisions on internally unstable high-score windows. 4) Physical trials with explicit acceptance failures and retained negative results. These contributions concern a developmental fan detector rather than a general fault-diagnosis system.</w:t>
      </w:r>
    </w:p>
    <w:p>
      <w:pPr>
        <w:pStyle w:val="1"/>
      </w:pPr>
      <w:r>
        <w:t>System Overview</w:t>
      </w:r>
    </w:p>
    <w:p>
      <w:pPr>
        <w:pStyle w:val="2"/>
      </w:pPr>
      <w:r>
        <w:t>Hardware and signal path</w:t>
      </w:r>
    </w:p>
    <w:p>
      <w:pPr>
        <w:pStyle w:val="a3"/>
      </w:pPr>
      <w:r>
        <w:t>The platform is an ESP32-S3 development board at 240 MHz with 16 MB PSRAM, running ESP-IDF v5.5.5. An INMP441 microphone supplies I2S audio at 16 kHz, converted to 16-bit mono samples. The intended interface has one push-button and two LEDs. The recorded trials use a UART virtual button through the same operator event path; a complete standalone button-and-LED demonstration remains unverified. Fig. 1 shows the signal path.</w:t>
      </w:r>
    </w:p>
    <w:p>
      <w:pPr>
        <w:pStyle w:val="a3"/>
      </w:pPr>
      <w:r>
        <w:t>The firmware image is 354 784 B including research telemetry. Streaming processing avoids a 640 kB full-window float buffer. The measured 716 ms covers feature and score computation per 10 s window, not acquisition, UART output or alarm latency. The approximately 14× compute margin is not a worst-case timing guarantee for the full pipeline.</w:t>
      </w:r>
    </w:p>
    <w:p>
      <w:pPr>
        <w:pStyle w:val="a3"/>
      </w:pPr>
      <w:r>
        <w:t>The same C code computes features on the host and on the device. On one benchmark WAV the host-to-C difference is at most 9.5e-7 feature units, and on one live microphone capture the host-to-device difference is at most 1.7e-6. Host results and device results therefore refer to the same quantity by construction rather than by assumption.</w:t>
      </w:r>
    </w:p>
    <w:p>
      <w:pPr>
        <w:keepNext/>
        <w:spacing w:before="80" w:after="20"/>
        <w:jc w:val="center"/>
      </w:pPr>
      <w:r>
        <w:drawing>
          <wp:inline xmlns:a="http://schemas.openxmlformats.org/drawingml/2006/main" xmlns:pic="http://schemas.openxmlformats.org/drawingml/2006/picture">
            <wp:extent cx="2988000" cy="2203312"/>
            <wp:docPr id="1" name="Picture 1"/>
            <wp:cNvGraphicFramePr>
              <a:graphicFrameLocks noChangeAspect="1"/>
            </wp:cNvGraphicFramePr>
            <a:graphic>
              <a:graphicData uri="http://schemas.openxmlformats.org/drawingml/2006/picture">
                <pic:pic>
                  <pic:nvPicPr>
                    <pic:cNvPr id="0" name="fig1_system.png"/>
                    <pic:cNvPicPr/>
                  </pic:nvPicPr>
                  <pic:blipFill>
                    <a:blip r:embed="rId11"/>
                    <a:stretch>
                      <a:fillRect/>
                    </a:stretch>
                  </pic:blipFill>
                  <pic:spPr>
                    <a:xfrm>
                      <a:off x="0" y="0"/>
                      <a:ext cx="2988000" cy="2203312"/>
                    </a:xfrm>
                    <a:prstGeom prst="rect"/>
                  </pic:spPr>
                </pic:pic>
              </a:graphicData>
            </a:graphic>
          </wp:inline>
        </w:drawing>
      </w:r>
    </w:p>
    <w:p>
      <w:pPr>
        <w:pStyle w:val="figurecaption"/>
      </w:pPr>
      <w:r>
        <w:t>Signal path and decision hierarchy. Reliability gating applies to high scores. Calibration and threshold fitting run on the device; the PC records telemetry and operator labels.</w:t>
      </w:r>
    </w:p>
    <w:p>
      <w:pPr>
        <w:pStyle w:val="a3"/>
      </w:pPr>
    </w:p>
    <w:p>
      <w:pPr>
        <w:pStyle w:val="2"/>
      </w:pPr>
      <w:r>
        <w:t>Feature and model</w:t>
      </w:r>
    </w:p>
    <w:p>
      <w:pPr>
        <w:pStyle w:val="a3"/>
      </w:pPr>
      <w:r>
        <w:t>The feature uses Welch spectral estimation [4] with 8192-sample periodic Hann segments and 50 % overlap: 38 complete segments per 10 s window. Band mean power is mapped through log10 and centred across 96 logarithmic bands from 10 Hz to 4 kHz. Eight low-frequency bands contain no FFT bin and receive a fixed log floor before centring, so the implementation is not exactly invariant to input gain.</w:t>
      </w:r>
    </w:p>
    <w:p>
      <w:pPr>
        <w:pStyle w:val="a3"/>
      </w:pPr>
      <w:r>
        <w:t>Standardisation and a Ledoit-Wolf precision matrix [5] are fitted offline on 990 source-domain normal clips. The 96×96 float matrix occupies 36 864 B. On-device calibration collects ten normal windows; up to two may be rejected by the calibration consistency check before the centre is frozen. For standardised features z, centre c and precision P, the score is the squared Mahalanobis distance s(x) = (z − c)ᵀ P (z − c).</w:t>
      </w:r>
    </w:p>
    <w:p>
      <w:pPr>
        <w:pStyle w:val="a3"/>
      </w:pPr>
      <w:r>
        <w:t>The source covariance supplies a prior over normal variation, while the centre adapts to the installation. Ten-window centre learning reaches AUC 0.8556 ± 0.0240 over 20 development splits. A separate canonical reference uses 20 calibration windows and 100 splits, reaching 0.8666; it is not the deployed configuration. Neither comparison is an independent final test.</w:t>
      </w:r>
    </w:p>
    <w:p>
      <w:pPr>
        <w:pStyle w:val="2"/>
      </w:pPr>
      <w:r>
        <w:t>Operating flow</w:t>
      </w:r>
    </w:p>
    <w:p>
      <w:pPr>
        <w:pStyle w:val="a3"/>
      </w:pPr>
      <w:r>
        <w:t>The guided profile runs SETTLE, ten centre-learning windows, 44 threshold-derivation windows and 22 verification windows before MONITORING. The normal audio alone totals at least 760 s before settling and overhead. Entry is the empirical higher 99th percentile, equal to the maximum for 44 values. Release is the smaller of p95 and half the entry threshold, floored at the median; conflicting bounds reject calibration. VERIFY rejects an alarm, which requires three consecutive high scores, not a single exceedance. Monitoring also requires three consecutive reliable high windows. Sustained deviation is emitted at the twelfth measured alarm window, including entry; HOLD pauses that count.</w:t>
      </w:r>
    </w:p>
    <w:p>
      <w:pPr>
        <w:pStyle w:val="1"/>
      </w:pPr>
      <w:r>
        <w:t>Normal-Only Design Protocol</w:t>
      </w:r>
    </w:p>
    <w:p>
      <w:pPr>
        <w:pStyle w:val="a3"/>
      </w:pPr>
      <w:r>
        <w:t>Model parameters, calibration centres and thresholds are fitted using normal recordings only. This data boundary does not imply that the complete research process was blind to anomalies: results of earlier labelled and physical trials informed subsequent design choices. The policies remain developmental.</w:t>
      </w:r>
    </w:p>
    <w:p>
      <w:pPr>
        <w:pStyle w:val="a3"/>
      </w:pPr>
      <w:r>
        <w:t>Versioned JSON policies record fitting data, parameters and limitations. The evaluator freezes its method list, splits and fitted models before loading anomaly features for scoring. It rejects anomalous fitting inputs, overlapping calibration and evaluation cohorts, and incompatible caches. These checks guard the current computation; they cannot remove bias from earlier model selection.</w:t>
      </w:r>
    </w:p>
    <w:p>
      <w:pPr>
        <w:pStyle w:val="1"/>
      </w:pPr>
      <w:r>
        <w:t>Fail-Closed Decision Hierarchy</w:t>
      </w:r>
    </w:p>
    <w:p>
      <w:pPr>
        <w:pStyle w:val="a3"/>
      </w:pPr>
      <w:r>
        <w:t>The runtime separates audio validity, machine presence, reliability and temporal alarm decisions. Diagnostic scores may still be computed for held windows; withholding an alarm decision is not the same as omitting all computation.</w:t>
      </w:r>
    </w:p>
    <w:p>
      <w:pPr>
        <w:pStyle w:val="a3"/>
      </w:pPr>
      <w:r>
        <w:t>The quality gate checks the exact sample count, RMS level, peak, clipped fraction (at most 1e-3), zero and stuck-sample fractions, and a per-window dropped-sample delta of exactly zero; it also requires the DC offset, every metric and every feature to be finite. Any violation stops the pipeline instead of producing a score, in WAIT, CAL and DET alike. The presence gate declares the machine present immediately at or above the calibrated mean minus 11 dB, and declares it stopped only after three consecutive windows below that level. This separates “machine stopped” from “machine behaving strangely” — two conditions that a distance-based score cannot tell apart, since both are far from the normal centre. Only then is the Mahalanobis score compared against the threshold, and only then does the temporal rule decide whether the comparison becomes an alarm.</w:t>
      </w:r>
    </w:p>
    <w:p>
      <w:pPr>
        <w:pStyle w:val="a3"/>
      </w:pPr>
      <w:r>
        <w:t>Invalid audio stops calibration. A separate consistency check may discard at most two of the ten otherwise valid calibration windows, recomputing the centre and leave-one-out scores each time. This exception is logged and must be distinguished from silent replacement of bad audio.</w:t>
      </w:r>
    </w:p>
    <w:p>
      <w:pPr>
        <w:pStyle w:val="a3"/>
      </w:pPr>
      <w:r>
        <w:t>Each 10 s window also yields five sub-window features. For a score above the entry threshold, excessive disagreement triggers OBSERVATION_HOLD. Its limit is 1.25 times the largest instability among the ten normal calibration windows. The gate is conditional on a high score; it does not reject every internally unstable low-score window.</w:t>
      </w:r>
    </w:p>
    <w:p>
      <w:pPr>
        <w:pStyle w:val="a3"/>
      </w:pPr>
      <w:r>
        <w:t>The gate suspends alarm build-up, but it does not clear an active alarm and does not modify the learned centre or threshold. It also makes no claim about the cause of the instability. One microphone cannot separate speech from an impact or from a change on the machine, and a system asserting otherwise would be diagnosing without evidence. Six consecutive held windows raise a warning that monitoring has been unreliable for some time, which is a claim one microphone can support.</w:t>
      </w:r>
    </w:p>
    <w:p>
      <w:pPr>
        <w:pStyle w:val="1"/>
      </w:pPr>
      <w:r>
        <w:t>Results</w:t>
      </w:r>
    </w:p>
    <w:p>
      <w:pPr>
        <w:pStyle w:val="a3"/>
      </w:pPr>
      <w:r>
        <w:t>All benchmark numbers below come from the DCASE 2026 development data [6] under a leakage-guarded developmental protocol. Table I and the temporal evaluation are fan-only; the scope comparison covers all seven machine types. These are not an independent final validation: the same data guided earlier design decisions, so historical model-selection bias applies and the figures should be read as relative comparisons.</w:t>
      </w:r>
    </w:p>
    <w:p>
      <w:pPr>
        <w:pStyle w:val="2"/>
      </w:pPr>
      <w:r>
        <w:t>Feature candidates</w:t>
      </w:r>
    </w:p>
    <w:p>
      <w:pPr>
        <w:pStyle w:val="a3"/>
      </w:pPr>
      <w:r>
        <w:t>Eight candidates were declared before any of them was run, and each was evaluated over the same 20 splits. Table I gives the results. Three of the negative outcomes removed design options and are worth naming.</w:t>
      </w:r>
    </w:p>
    <w:p>
      <w:pPr>
        <w:pStyle w:val="tablehead"/>
        <w:keepNext/>
      </w:pPr>
      <w:r>
        <w:t>Feature Candidates, DCASE 2026 Dev Fan, k = 10, 20 Splits</w:t>
      </w:r>
    </w:p>
    <w:tbl>
      <w:tblPr>
        <w:tblW w:type="auto" w:w="0"/>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Pr>
      <w:tblGrid>
        <w:gridCol w:w="2530"/>
        <w:gridCol w:w="2530"/>
        <w:gridCol w:w="2530"/>
        <w:gridCol w:w="2530"/>
      </w:tblGrid>
      <w:tr>
        <w:trPr>
          <w:cantSplit/>
        </w:trPr>
        <w:tc>
          <w:tcPr>
            <w:tcW w:type="dxa" w:w="1644"/>
          </w:tcPr>
          <w:p>
            <w:pPr>
              <w:pStyle w:val="tablecolhead"/>
              <w:keepNext/>
              <w:jc w:val="center"/>
            </w:pPr>
            <w:r/>
            <w:r>
              <w:rPr>
                <w:b/>
                <w:sz w:val="15"/>
              </w:rPr>
              <w:t>Candidate</w:t>
            </w:r>
          </w:p>
        </w:tc>
        <w:tc>
          <w:tcPr>
            <w:tcW w:type="dxa" w:w="1247"/>
          </w:tcPr>
          <w:p>
            <w:pPr>
              <w:pStyle w:val="tablecolhead"/>
              <w:keepNext/>
              <w:jc w:val="center"/>
            </w:pPr>
            <w:r/>
            <w:r>
              <w:rPr>
                <w:b/>
                <w:sz w:val="15"/>
              </w:rPr>
              <w:t>AUC</w:t>
            </w:r>
          </w:p>
        </w:tc>
        <w:tc>
          <w:tcPr>
            <w:tcW w:type="dxa" w:w="850"/>
          </w:tcPr>
          <w:p>
            <w:pPr>
              <w:pStyle w:val="tablecolhead"/>
              <w:keepNext/>
              <w:jc w:val="center"/>
            </w:pPr>
            <w:r/>
            <w:r>
              <w:rPr>
                <w:b/>
                <w:sz w:val="15"/>
              </w:rPr>
              <w:t>pAUC (p=0.1)</w:t>
            </w:r>
          </w:p>
        </w:tc>
        <w:tc>
          <w:tcPr>
            <w:tcW w:type="dxa" w:w="964"/>
          </w:tcPr>
          <w:p>
            <w:pPr>
              <w:pStyle w:val="tablecolhead"/>
              <w:keepNext/>
              <w:jc w:val="center"/>
            </w:pPr>
            <w:r/>
            <w:r>
              <w:rPr>
                <w:b/>
                <w:sz w:val="15"/>
              </w:rPr>
              <w:t>Δ AUC</w:t>
            </w:r>
          </w:p>
        </w:tc>
      </w:tr>
      <w:tr>
        <w:trPr>
          <w:cantSplit/>
        </w:trPr>
        <w:tc>
          <w:tcPr>
            <w:tcW w:type="dxa" w:w="1644"/>
          </w:tcPr>
          <w:p>
            <w:pPr>
              <w:pStyle w:val="tablecopy"/>
              <w:keepNext/>
            </w:pPr>
            <w:r/>
            <w:r>
              <w:rPr>
                <w:sz w:val="15"/>
              </w:rPr>
              <w:t>psd_shape (baseline)</w:t>
            </w:r>
          </w:p>
        </w:tc>
        <w:tc>
          <w:tcPr>
            <w:tcW w:type="dxa" w:w="1247"/>
          </w:tcPr>
          <w:p>
            <w:pPr>
              <w:pStyle w:val="tablecopy"/>
              <w:keepNext/>
              <w:jc w:val="center"/>
            </w:pPr>
            <w:r/>
            <w:r>
              <w:rPr>
                <w:sz w:val="15"/>
              </w:rPr>
              <w:t>0.8556 ± 0.0240</w:t>
            </w:r>
          </w:p>
        </w:tc>
        <w:tc>
          <w:tcPr>
            <w:tcW w:type="dxa" w:w="850"/>
          </w:tcPr>
          <w:p>
            <w:pPr>
              <w:pStyle w:val="tablecopy"/>
              <w:keepNext/>
              <w:jc w:val="center"/>
            </w:pPr>
            <w:r/>
            <w:r>
              <w:rPr>
                <w:sz w:val="15"/>
              </w:rPr>
              <w:t>0.6393</w:t>
            </w:r>
          </w:p>
        </w:tc>
        <w:tc>
          <w:tcPr>
            <w:tcW w:type="dxa" w:w="964"/>
          </w:tcPr>
          <w:p>
            <w:pPr>
              <w:pStyle w:val="tablecopy"/>
              <w:keepNext/>
              <w:jc w:val="center"/>
            </w:pPr>
            <w:r/>
            <w:r>
              <w:rPr>
                <w:sz w:val="15"/>
              </w:rPr>
              <w:t>-</w:t>
            </w:r>
          </w:p>
        </w:tc>
      </w:tr>
      <w:tr>
        <w:trPr>
          <w:cantSplit/>
        </w:trPr>
        <w:tc>
          <w:tcPr>
            <w:tcW w:type="dxa" w:w="1644"/>
          </w:tcPr>
          <w:p>
            <w:pPr>
              <w:pStyle w:val="tablecopy"/>
              <w:keepNext/>
            </w:pPr>
            <w:r/>
            <w:r>
              <w:rPr>
                <w:sz w:val="15"/>
              </w:rPr>
              <w:t>psd_order (rotation order)</w:t>
            </w:r>
          </w:p>
        </w:tc>
        <w:tc>
          <w:tcPr>
            <w:tcW w:type="dxa" w:w="1247"/>
          </w:tcPr>
          <w:p>
            <w:pPr>
              <w:pStyle w:val="tablecopy"/>
              <w:keepNext/>
              <w:jc w:val="center"/>
            </w:pPr>
            <w:r/>
            <w:r>
              <w:rPr>
                <w:sz w:val="15"/>
              </w:rPr>
              <w:t>0.6388 ± 0.0467</w:t>
            </w:r>
          </w:p>
        </w:tc>
        <w:tc>
          <w:tcPr>
            <w:tcW w:type="dxa" w:w="850"/>
          </w:tcPr>
          <w:p>
            <w:pPr>
              <w:pStyle w:val="tablecopy"/>
              <w:keepNext/>
              <w:jc w:val="center"/>
            </w:pPr>
            <w:r/>
            <w:r>
              <w:rPr>
                <w:sz w:val="15"/>
              </w:rPr>
              <w:t>0.5171</w:t>
            </w:r>
          </w:p>
        </w:tc>
        <w:tc>
          <w:tcPr>
            <w:tcW w:type="dxa" w:w="964"/>
          </w:tcPr>
          <w:p>
            <w:pPr>
              <w:pStyle w:val="tablecopy"/>
              <w:keepNext/>
              <w:jc w:val="center"/>
            </w:pPr>
            <w:r/>
            <w:r>
              <w:rPr>
                <w:sz w:val="15"/>
              </w:rPr>
              <w:t>-0.2168</w:t>
            </w:r>
          </w:p>
        </w:tc>
      </w:tr>
      <w:tr>
        <w:trPr>
          <w:cantSplit/>
        </w:trPr>
        <w:tc>
          <w:tcPr>
            <w:tcW w:type="dxa" w:w="1644"/>
          </w:tcPr>
          <w:p>
            <w:pPr>
              <w:pStyle w:val="tablecopy"/>
              <w:keepNext/>
            </w:pPr>
            <w:r/>
            <w:r>
              <w:rPr>
                <w:sz w:val="15"/>
              </w:rPr>
              <w:t>psd_regime</w:t>
            </w:r>
          </w:p>
        </w:tc>
        <w:tc>
          <w:tcPr>
            <w:tcW w:type="dxa" w:w="1247"/>
          </w:tcPr>
          <w:p>
            <w:pPr>
              <w:pStyle w:val="tablecopy"/>
              <w:keepNext/>
              <w:jc w:val="center"/>
            </w:pPr>
            <w:r/>
            <w:r>
              <w:rPr>
                <w:sz w:val="15"/>
              </w:rPr>
              <w:t>0.8556 ± 0.0240</w:t>
            </w:r>
          </w:p>
        </w:tc>
        <w:tc>
          <w:tcPr>
            <w:tcW w:type="dxa" w:w="850"/>
          </w:tcPr>
          <w:p>
            <w:pPr>
              <w:pStyle w:val="tablecopy"/>
              <w:keepNext/>
              <w:jc w:val="center"/>
            </w:pPr>
            <w:r/>
            <w:r>
              <w:rPr>
                <w:sz w:val="15"/>
              </w:rPr>
              <w:t>0.6393</w:t>
            </w:r>
          </w:p>
        </w:tc>
        <w:tc>
          <w:tcPr>
            <w:tcW w:type="dxa" w:w="964"/>
          </w:tcPr>
          <w:p>
            <w:pPr>
              <w:pStyle w:val="tablecopy"/>
              <w:keepNext/>
              <w:jc w:val="center"/>
            </w:pPr>
            <w:r/>
            <w:r>
              <w:rPr>
                <w:sz w:val="15"/>
              </w:rPr>
              <w:t>0.0000</w:t>
            </w:r>
          </w:p>
        </w:tc>
      </w:tr>
      <w:tr>
        <w:trPr>
          <w:cantSplit/>
        </w:trPr>
        <w:tc>
          <w:tcPr>
            <w:tcW w:type="dxa" w:w="1644"/>
          </w:tcPr>
          <w:p>
            <w:pPr>
              <w:pStyle w:val="tablecopy"/>
              <w:keepNext/>
            </w:pPr>
            <w:r/>
            <w:r>
              <w:rPr>
                <w:sz w:val="15"/>
              </w:rPr>
              <w:t>psd_logratio (dual mic)</w:t>
            </w:r>
          </w:p>
        </w:tc>
        <w:tc>
          <w:tcPr>
            <w:tcW w:type="dxa" w:w="1247"/>
          </w:tcPr>
          <w:p>
            <w:pPr>
              <w:pStyle w:val="tablecopy"/>
              <w:keepNext/>
              <w:jc w:val="center"/>
            </w:pPr>
            <w:r/>
            <w:r>
              <w:rPr>
                <w:sz w:val="15"/>
              </w:rPr>
              <w:t>0.7185 ± 0.0347</w:t>
            </w:r>
          </w:p>
        </w:tc>
        <w:tc>
          <w:tcPr>
            <w:tcW w:type="dxa" w:w="850"/>
          </w:tcPr>
          <w:p>
            <w:pPr>
              <w:pStyle w:val="tablecopy"/>
              <w:keepNext/>
              <w:jc w:val="center"/>
            </w:pPr>
            <w:r/>
            <w:r>
              <w:rPr>
                <w:sz w:val="15"/>
              </w:rPr>
              <w:t>0.5848</w:t>
            </w:r>
          </w:p>
        </w:tc>
        <w:tc>
          <w:tcPr>
            <w:tcW w:type="dxa" w:w="964"/>
          </w:tcPr>
          <w:p>
            <w:pPr>
              <w:pStyle w:val="tablecopy"/>
              <w:keepNext/>
              <w:jc w:val="center"/>
            </w:pPr>
            <w:r/>
            <w:r>
              <w:rPr>
                <w:sz w:val="15"/>
              </w:rPr>
              <w:t>-0.1371</w:t>
            </w:r>
          </w:p>
        </w:tc>
      </w:tr>
      <w:tr>
        <w:trPr>
          <w:cantSplit/>
        </w:trPr>
        <w:tc>
          <w:tcPr>
            <w:tcW w:type="dxa" w:w="1644"/>
          </w:tcPr>
          <w:p>
            <w:pPr>
              <w:pStyle w:val="tablecopy"/>
              <w:keepNext/>
            </w:pPr>
            <w:r/>
            <w:r>
              <w:rPr>
                <w:sz w:val="15"/>
              </w:rPr>
              <w:t>psd_coherence (dual mic)</w:t>
            </w:r>
          </w:p>
        </w:tc>
        <w:tc>
          <w:tcPr>
            <w:tcW w:type="dxa" w:w="1247"/>
          </w:tcPr>
          <w:p>
            <w:pPr>
              <w:pStyle w:val="tablecopy"/>
              <w:keepNext/>
              <w:jc w:val="center"/>
            </w:pPr>
            <w:r/>
            <w:r>
              <w:rPr>
                <w:sz w:val="15"/>
              </w:rPr>
              <w:t>0.7506 ± 0.0398</w:t>
            </w:r>
          </w:p>
        </w:tc>
        <w:tc>
          <w:tcPr>
            <w:tcW w:type="dxa" w:w="850"/>
          </w:tcPr>
          <w:p>
            <w:pPr>
              <w:pStyle w:val="tablecopy"/>
              <w:keepNext/>
              <w:jc w:val="center"/>
            </w:pPr>
            <w:r/>
            <w:r>
              <w:rPr>
                <w:sz w:val="15"/>
              </w:rPr>
              <w:t>0.5774</w:t>
            </w:r>
          </w:p>
        </w:tc>
        <w:tc>
          <w:tcPr>
            <w:tcW w:type="dxa" w:w="964"/>
          </w:tcPr>
          <w:p>
            <w:pPr>
              <w:pStyle w:val="tablecopy"/>
              <w:keepNext/>
              <w:jc w:val="center"/>
            </w:pPr>
            <w:r/>
            <w:r>
              <w:rPr>
                <w:sz w:val="15"/>
              </w:rPr>
              <w:t>-0.1050</w:t>
            </w:r>
          </w:p>
        </w:tc>
      </w:tr>
      <w:tr>
        <w:trPr>
          <w:cantSplit/>
        </w:trPr>
        <w:tc>
          <w:tcPr>
            <w:tcW w:type="dxa" w:w="1644"/>
          </w:tcPr>
          <w:p>
            <w:pPr>
              <w:pStyle w:val="tablecopy"/>
              <w:keepNext/>
            </w:pPr>
            <w:r/>
            <w:r>
              <w:rPr>
                <w:sz w:val="15"/>
              </w:rPr>
              <w:t>psd_masked (dual mic)</w:t>
            </w:r>
          </w:p>
        </w:tc>
        <w:tc>
          <w:tcPr>
            <w:tcW w:type="dxa" w:w="1247"/>
          </w:tcPr>
          <w:p>
            <w:pPr>
              <w:pStyle w:val="tablecopy"/>
              <w:keepNext/>
              <w:jc w:val="center"/>
            </w:pPr>
            <w:r/>
            <w:r>
              <w:rPr>
                <w:sz w:val="15"/>
              </w:rPr>
              <w:t>0.4500 ± 0.0645</w:t>
            </w:r>
          </w:p>
        </w:tc>
        <w:tc>
          <w:tcPr>
            <w:tcW w:type="dxa" w:w="850"/>
          </w:tcPr>
          <w:p>
            <w:pPr>
              <w:pStyle w:val="tablecopy"/>
              <w:keepNext/>
              <w:jc w:val="center"/>
            </w:pPr>
            <w:r/>
            <w:r>
              <w:rPr>
                <w:sz w:val="15"/>
              </w:rPr>
              <w:t>0.4884</w:t>
            </w:r>
          </w:p>
        </w:tc>
        <w:tc>
          <w:tcPr>
            <w:tcW w:type="dxa" w:w="964"/>
          </w:tcPr>
          <w:p>
            <w:pPr>
              <w:pStyle w:val="tablecopy"/>
              <w:keepNext/>
              <w:jc w:val="center"/>
            </w:pPr>
            <w:r/>
            <w:r>
              <w:rPr>
                <w:sz w:val="15"/>
              </w:rPr>
              <w:t>-0.4056</w:t>
            </w:r>
          </w:p>
        </w:tc>
      </w:tr>
      <w:tr>
        <w:trPr>
          <w:cantSplit/>
        </w:trPr>
        <w:tc>
          <w:tcPr>
            <w:tcW w:type="dxa" w:w="1644"/>
          </w:tcPr>
          <w:p>
            <w:pPr>
              <w:pStyle w:val="tablecopy"/>
              <w:keepNext/>
            </w:pPr>
            <w:r/>
            <w:r>
              <w:rPr>
                <w:sz w:val="15"/>
              </w:rPr>
              <w:t>transient</w:t>
            </w:r>
          </w:p>
        </w:tc>
        <w:tc>
          <w:tcPr>
            <w:tcW w:type="dxa" w:w="1247"/>
          </w:tcPr>
          <w:p>
            <w:pPr>
              <w:pStyle w:val="tablecopy"/>
              <w:keepNext/>
              <w:jc w:val="center"/>
            </w:pPr>
            <w:r/>
            <w:r>
              <w:rPr>
                <w:sz w:val="15"/>
              </w:rPr>
              <w:t>0.5647 ± 0.0267</w:t>
            </w:r>
          </w:p>
        </w:tc>
        <w:tc>
          <w:tcPr>
            <w:tcW w:type="dxa" w:w="850"/>
          </w:tcPr>
          <w:p>
            <w:pPr>
              <w:pStyle w:val="tablecopy"/>
              <w:keepNext/>
              <w:jc w:val="center"/>
            </w:pPr>
            <w:r/>
            <w:r>
              <w:rPr>
                <w:sz w:val="15"/>
              </w:rPr>
              <w:t>0.5062</w:t>
            </w:r>
          </w:p>
        </w:tc>
        <w:tc>
          <w:tcPr>
            <w:tcW w:type="dxa" w:w="964"/>
          </w:tcPr>
          <w:p>
            <w:pPr>
              <w:pStyle w:val="tablecopy"/>
              <w:keepNext/>
              <w:jc w:val="center"/>
            </w:pPr>
            <w:r/>
            <w:r>
              <w:rPr>
                <w:sz w:val="15"/>
              </w:rPr>
              <w:t>-0.2909</w:t>
            </w:r>
          </w:p>
        </w:tc>
      </w:tr>
      <w:tr>
        <w:trPr>
          <w:cantSplit/>
        </w:trPr>
        <w:tc>
          <w:tcPr>
            <w:tcW w:type="dxa" w:w="1644"/>
          </w:tcPr>
          <w:p>
            <w:pPr>
              <w:pStyle w:val="tablecopy"/>
            </w:pPr>
            <w:r/>
            <w:r>
              <w:rPr>
                <w:sz w:val="15"/>
              </w:rPr>
              <w:t>psd_plus_transient</w:t>
            </w:r>
          </w:p>
        </w:tc>
        <w:tc>
          <w:tcPr>
            <w:tcW w:type="dxa" w:w="1247"/>
          </w:tcPr>
          <w:p>
            <w:pPr>
              <w:pStyle w:val="tablecopy"/>
              <w:jc w:val="center"/>
            </w:pPr>
            <w:r/>
            <w:r>
              <w:rPr>
                <w:sz w:val="15"/>
              </w:rPr>
              <w:t>0.8568 ± 0.0258</w:t>
            </w:r>
          </w:p>
        </w:tc>
        <w:tc>
          <w:tcPr>
            <w:tcW w:type="dxa" w:w="850"/>
          </w:tcPr>
          <w:p>
            <w:pPr>
              <w:pStyle w:val="tablecopy"/>
              <w:jc w:val="center"/>
            </w:pPr>
            <w:r/>
            <w:r>
              <w:rPr>
                <w:sz w:val="15"/>
              </w:rPr>
              <w:t>0.6433</w:t>
            </w:r>
          </w:p>
        </w:tc>
        <w:tc>
          <w:tcPr>
            <w:tcW w:type="dxa" w:w="964"/>
          </w:tcPr>
          <w:p>
            <w:pPr>
              <w:pStyle w:val="tablecopy"/>
              <w:jc w:val="center"/>
            </w:pPr>
            <w:r/>
            <w:r>
              <w:rPr>
                <w:sz w:val="15"/>
              </w:rPr>
              <w:t>+0.0012</w:t>
            </w:r>
          </w:p>
        </w:tc>
      </w:tr>
    </w:tbl>
    <w:p>
      <w:pPr>
        <w:pStyle w:val="a3"/>
      </w:pPr>
    </w:p>
    <w:p>
      <w:pPr>
        <w:pStyle w:val="a3"/>
      </w:pPr>
      <w:r>
        <w:t>Rotation-order features reach AUC 0.639. The estimated fundamental remains near 34 Hz across the three labelled speeds, which does not establish actual shaft speed without a reference tachometer. All three tested dual-channel variants underperform the first channel. Adding transient features gives +0.0012 AUC; comparing that difference with an individual standard deviation is not a paired significance test, so no meaningful advantage is established.</w:t>
      </w:r>
    </w:p>
    <w:p>
      <w:pPr>
        <w:pStyle w:val="2"/>
      </w:pPr>
      <w:r>
        <w:t>Scope of the front end</w:t>
      </w:r>
    </w:p>
    <w:p>
      <w:pPr>
        <w:pStyle w:val="a3"/>
      </w:pPr>
      <w:r>
        <w:t>Under a stricter 100-split protocol the same backend was run with two log-mel front ends. On the fan the PSD shape feature reaches 0.867 against 0.627 and 0.590; across the other six machine types a log-mel variant wins on five, with reversals such as 0.448 against 0.539 on ToyCar and 0.506 against 0.576 on bearing. The front end is specialised to stationary rotating machinery and we report it as such. For a device that calibrates itself on one machine and monitors only that machine the specialisation is a defensible trade; it is not a general-purpose anomalous sound detection result.</w:t>
      </w:r>
    </w:p>
    <w:p>
      <w:pPr>
        <w:pStyle w:val="2"/>
      </w:pPr>
      <w:r>
        <w:t>Temporal decision rule</w:t>
      </w:r>
    </w:p>
    <w:p>
      <w:pPr>
        <w:pStyle w:val="a3"/>
      </w:pPr>
      <w:r>
        <w:t>The temporal rule was derived over 40 splits and 2000 normal windows drawn from held-out normal clips of the same machine. Short disturbances are synthetic score bumps, so Table II measures the temporal behaviour of each rule and not acoustic detectability. Clips of a different physical fan are scored separately as a domain-shift measure and are never counted as false alarms.</w:t>
      </w:r>
    </w:p>
    <w:p>
      <w:pPr>
        <w:pStyle w:val="tablehead"/>
        <w:keepNext/>
      </w:pPr>
      <w:r>
        <w:t>Temporal Decision Rules, 40 Splits, 2000 Normal Windows</w:t>
      </w:r>
    </w:p>
    <w:tbl>
      <w:tblPr>
        <w:tblW w:type="auto" w:w="0"/>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Pr>
      <w:tblGrid>
        <w:gridCol w:w="2024"/>
        <w:gridCol w:w="2024"/>
        <w:gridCol w:w="2024"/>
        <w:gridCol w:w="2024"/>
        <w:gridCol w:w="2024"/>
      </w:tblGrid>
      <w:tr>
        <w:trPr>
          <w:cantSplit/>
        </w:trPr>
        <w:tc>
          <w:tcPr>
            <w:tcW w:type="dxa" w:w="1304"/>
          </w:tcPr>
          <w:p>
            <w:pPr>
              <w:pStyle w:val="tablecolhead"/>
              <w:keepNext/>
              <w:jc w:val="center"/>
            </w:pPr>
            <w:r/>
            <w:r>
              <w:rPr>
                <w:b/>
                <w:sz w:val="15"/>
              </w:rPr>
              <w:t>Rule</w:t>
            </w:r>
          </w:p>
        </w:tc>
        <w:tc>
          <w:tcPr>
            <w:tcW w:type="dxa" w:w="850"/>
          </w:tcPr>
          <w:p>
            <w:pPr>
              <w:pStyle w:val="tablecolhead"/>
              <w:keepNext/>
              <w:jc w:val="center"/>
            </w:pPr>
            <w:r/>
            <w:r>
              <w:rPr>
                <w:b/>
                <w:sz w:val="15"/>
              </w:rPr>
              <w:t>False alarms /h</w:t>
            </w:r>
          </w:p>
        </w:tc>
        <w:tc>
          <w:tcPr>
            <w:tcW w:type="dxa" w:w="907"/>
          </w:tcPr>
          <w:p>
            <w:pPr>
              <w:pStyle w:val="tablecolhead"/>
              <w:keepNext/>
              <w:jc w:val="center"/>
            </w:pPr>
            <w:r/>
            <w:r>
              <w:rPr>
                <w:b/>
                <w:sz w:val="15"/>
              </w:rPr>
              <w:t>Foreign machine /h</w:t>
            </w:r>
          </w:p>
        </w:tc>
        <w:tc>
          <w:tcPr>
            <w:tcW w:type="dxa" w:w="850"/>
          </w:tcPr>
          <w:p>
            <w:pPr>
              <w:pStyle w:val="tablecolhead"/>
              <w:keepNext/>
              <w:jc w:val="center"/>
            </w:pPr>
            <w:r/>
            <w:r>
              <w:rPr>
                <w:b/>
                <w:sz w:val="15"/>
              </w:rPr>
              <w:t>Alarm on 1 window</w:t>
            </w:r>
          </w:p>
        </w:tc>
        <w:tc>
          <w:tcPr>
            <w:tcW w:type="dxa" w:w="794"/>
          </w:tcPr>
          <w:p>
            <w:pPr>
              <w:pStyle w:val="tablecolhead"/>
              <w:keepNext/>
              <w:jc w:val="center"/>
            </w:pPr>
            <w:r/>
            <w:r>
              <w:rPr>
                <w:b/>
                <w:sz w:val="15"/>
              </w:rPr>
              <w:t>Latency (win.)</w:t>
            </w:r>
          </w:p>
        </w:tc>
      </w:tr>
      <w:tr>
        <w:trPr>
          <w:cantSplit/>
        </w:trPr>
        <w:tc>
          <w:tcPr>
            <w:tcW w:type="dxa" w:w="1304"/>
          </w:tcPr>
          <w:p>
            <w:pPr>
              <w:pStyle w:val="tablecopy"/>
              <w:keepNext/>
            </w:pPr>
            <w:r/>
            <w:r>
              <w:rPr>
                <w:sz w:val="15"/>
              </w:rPr>
              <w:t>3 consecutive</w:t>
            </w:r>
          </w:p>
        </w:tc>
        <w:tc>
          <w:tcPr>
            <w:tcW w:type="dxa" w:w="850"/>
          </w:tcPr>
          <w:p>
            <w:pPr>
              <w:pStyle w:val="tablecopy"/>
              <w:keepNext/>
              <w:jc w:val="center"/>
            </w:pPr>
            <w:r/>
            <w:r>
              <w:rPr>
                <w:sz w:val="15"/>
              </w:rPr>
              <w:t>0.00</w:t>
            </w:r>
          </w:p>
        </w:tc>
        <w:tc>
          <w:tcPr>
            <w:tcW w:type="dxa" w:w="907"/>
          </w:tcPr>
          <w:p>
            <w:pPr>
              <w:pStyle w:val="tablecopy"/>
              <w:keepNext/>
              <w:jc w:val="center"/>
            </w:pPr>
            <w:r/>
            <w:r>
              <w:rPr>
                <w:sz w:val="15"/>
              </w:rPr>
              <w:t>11.16</w:t>
            </w:r>
          </w:p>
        </w:tc>
        <w:tc>
          <w:tcPr>
            <w:tcW w:type="dxa" w:w="850"/>
          </w:tcPr>
          <w:p>
            <w:pPr>
              <w:pStyle w:val="tablecopy"/>
              <w:keepNext/>
              <w:jc w:val="center"/>
            </w:pPr>
            <w:r/>
            <w:r>
              <w:rPr>
                <w:sz w:val="15"/>
              </w:rPr>
              <w:t>0.004</w:t>
            </w:r>
          </w:p>
        </w:tc>
        <w:tc>
          <w:tcPr>
            <w:tcW w:type="dxa" w:w="794"/>
          </w:tcPr>
          <w:p>
            <w:pPr>
              <w:pStyle w:val="tablecopy"/>
              <w:keepNext/>
              <w:jc w:val="center"/>
            </w:pPr>
            <w:r/>
            <w:r>
              <w:rPr>
                <w:sz w:val="15"/>
              </w:rPr>
              <w:t>3</w:t>
            </w:r>
          </w:p>
        </w:tc>
      </w:tr>
      <w:tr>
        <w:trPr>
          <w:cantSplit/>
        </w:trPr>
        <w:tc>
          <w:tcPr>
            <w:tcW w:type="dxa" w:w="1304"/>
          </w:tcPr>
          <w:p>
            <w:pPr>
              <w:pStyle w:val="tablecopy"/>
              <w:keepNext/>
            </w:pPr>
            <w:r/>
            <w:r>
              <w:rPr>
                <w:sz w:val="15"/>
              </w:rPr>
              <w:t>4 consecutive</w:t>
            </w:r>
          </w:p>
        </w:tc>
        <w:tc>
          <w:tcPr>
            <w:tcW w:type="dxa" w:w="850"/>
          </w:tcPr>
          <w:p>
            <w:pPr>
              <w:pStyle w:val="tablecopy"/>
              <w:keepNext/>
              <w:jc w:val="center"/>
            </w:pPr>
            <w:r/>
            <w:r>
              <w:rPr>
                <w:sz w:val="15"/>
              </w:rPr>
              <w:t>0.00</w:t>
            </w:r>
          </w:p>
        </w:tc>
        <w:tc>
          <w:tcPr>
            <w:tcW w:type="dxa" w:w="907"/>
          </w:tcPr>
          <w:p>
            <w:pPr>
              <w:pStyle w:val="tablecopy"/>
              <w:keepNext/>
              <w:jc w:val="center"/>
            </w:pPr>
            <w:r/>
            <w:r>
              <w:rPr>
                <w:sz w:val="15"/>
              </w:rPr>
              <w:t>10.98</w:t>
            </w:r>
          </w:p>
        </w:tc>
        <w:tc>
          <w:tcPr>
            <w:tcW w:type="dxa" w:w="850"/>
          </w:tcPr>
          <w:p>
            <w:pPr>
              <w:pStyle w:val="tablecopy"/>
              <w:keepNext/>
              <w:jc w:val="center"/>
            </w:pPr>
            <w:r/>
            <w:r>
              <w:rPr>
                <w:sz w:val="15"/>
              </w:rPr>
              <w:t>0.000</w:t>
            </w:r>
          </w:p>
        </w:tc>
        <w:tc>
          <w:tcPr>
            <w:tcW w:type="dxa" w:w="794"/>
          </w:tcPr>
          <w:p>
            <w:pPr>
              <w:pStyle w:val="tablecopy"/>
              <w:keepNext/>
              <w:jc w:val="center"/>
            </w:pPr>
            <w:r/>
            <w:r>
              <w:rPr>
                <w:sz w:val="15"/>
              </w:rPr>
              <w:t>4</w:t>
            </w:r>
          </w:p>
        </w:tc>
      </w:tr>
      <w:tr>
        <w:trPr>
          <w:cantSplit/>
        </w:trPr>
        <w:tc>
          <w:tcPr>
            <w:tcW w:type="dxa" w:w="1304"/>
          </w:tcPr>
          <w:p>
            <w:pPr>
              <w:pStyle w:val="tablecopy"/>
              <w:keepNext/>
            </w:pPr>
            <w:r/>
            <w:r>
              <w:rPr>
                <w:b/>
                <w:sz w:val="15"/>
              </w:rPr>
              <w:t>Hysteresis 1.0/0.7, n = 3</w:t>
            </w:r>
          </w:p>
        </w:tc>
        <w:tc>
          <w:tcPr>
            <w:tcW w:type="dxa" w:w="850"/>
          </w:tcPr>
          <w:p>
            <w:pPr>
              <w:pStyle w:val="tablecopy"/>
              <w:keepNext/>
              <w:jc w:val="center"/>
            </w:pPr>
            <w:r/>
            <w:r>
              <w:rPr>
                <w:b/>
                <w:sz w:val="15"/>
              </w:rPr>
              <w:t>0.00</w:t>
            </w:r>
          </w:p>
        </w:tc>
        <w:tc>
          <w:tcPr>
            <w:tcW w:type="dxa" w:w="907"/>
          </w:tcPr>
          <w:p>
            <w:pPr>
              <w:pStyle w:val="tablecopy"/>
              <w:keepNext/>
              <w:jc w:val="center"/>
            </w:pPr>
            <w:r/>
            <w:r>
              <w:rPr>
                <w:b/>
                <w:sz w:val="15"/>
              </w:rPr>
              <w:t>5.40</w:t>
            </w:r>
          </w:p>
        </w:tc>
        <w:tc>
          <w:tcPr>
            <w:tcW w:type="dxa" w:w="850"/>
          </w:tcPr>
          <w:p>
            <w:pPr>
              <w:pStyle w:val="tablecopy"/>
              <w:keepNext/>
              <w:jc w:val="center"/>
            </w:pPr>
            <w:r/>
            <w:r>
              <w:rPr>
                <w:b/>
                <w:sz w:val="15"/>
              </w:rPr>
              <w:t>0.000</w:t>
            </w:r>
          </w:p>
        </w:tc>
        <w:tc>
          <w:tcPr>
            <w:tcW w:type="dxa" w:w="794"/>
          </w:tcPr>
          <w:p>
            <w:pPr>
              <w:pStyle w:val="tablecopy"/>
              <w:keepNext/>
              <w:jc w:val="center"/>
            </w:pPr>
            <w:r/>
            <w:r>
              <w:rPr>
                <w:b/>
                <w:sz w:val="15"/>
              </w:rPr>
              <w:t>3</w:t>
            </w:r>
          </w:p>
        </w:tc>
      </w:tr>
      <w:tr>
        <w:trPr>
          <w:cantSplit/>
        </w:trPr>
        <w:tc>
          <w:tcPr>
            <w:tcW w:type="dxa" w:w="1304"/>
          </w:tcPr>
          <w:p>
            <w:pPr>
              <w:pStyle w:val="tablecopy"/>
              <w:keepNext/>
            </w:pPr>
            <w:r/>
            <w:r>
              <w:rPr>
                <w:sz w:val="15"/>
              </w:rPr>
              <w:t>EWMA (0.4), n = 3</w:t>
            </w:r>
          </w:p>
        </w:tc>
        <w:tc>
          <w:tcPr>
            <w:tcW w:type="dxa" w:w="850"/>
          </w:tcPr>
          <w:p>
            <w:pPr>
              <w:pStyle w:val="tablecopy"/>
              <w:keepNext/>
              <w:jc w:val="center"/>
            </w:pPr>
            <w:r/>
            <w:r>
              <w:rPr>
                <w:sz w:val="15"/>
              </w:rPr>
              <w:t>5.40</w:t>
            </w:r>
          </w:p>
        </w:tc>
        <w:tc>
          <w:tcPr>
            <w:tcW w:type="dxa" w:w="907"/>
          </w:tcPr>
          <w:p>
            <w:pPr>
              <w:pStyle w:val="tablecopy"/>
              <w:keepNext/>
              <w:jc w:val="center"/>
            </w:pPr>
            <w:r/>
            <w:r>
              <w:rPr>
                <w:sz w:val="15"/>
              </w:rPr>
              <w:t>6.48</w:t>
            </w:r>
          </w:p>
        </w:tc>
        <w:tc>
          <w:tcPr>
            <w:tcW w:type="dxa" w:w="850"/>
          </w:tcPr>
          <w:p>
            <w:pPr>
              <w:pStyle w:val="tablecopy"/>
              <w:keepNext/>
              <w:jc w:val="center"/>
            </w:pPr>
            <w:r/>
            <w:r>
              <w:rPr>
                <w:sz w:val="15"/>
              </w:rPr>
              <w:t>0.592</w:t>
            </w:r>
          </w:p>
        </w:tc>
        <w:tc>
          <w:tcPr>
            <w:tcW w:type="dxa" w:w="794"/>
          </w:tcPr>
          <w:p>
            <w:pPr>
              <w:pStyle w:val="tablecopy"/>
              <w:keepNext/>
              <w:jc w:val="center"/>
            </w:pPr>
            <w:r/>
            <w:r>
              <w:rPr>
                <w:sz w:val="15"/>
              </w:rPr>
              <w:t>3</w:t>
            </w:r>
          </w:p>
        </w:tc>
      </w:tr>
      <w:tr>
        <w:trPr>
          <w:cantSplit/>
        </w:trPr>
        <w:tc>
          <w:tcPr>
            <w:tcW w:type="dxa" w:w="1304"/>
          </w:tcPr>
          <w:p>
            <w:pPr>
              <w:pStyle w:val="tablecopy"/>
            </w:pPr>
            <w:r/>
            <w:r>
              <w:rPr>
                <w:sz w:val="15"/>
              </w:rPr>
              <w:t>CUSUM k = 0.5, h = 2</w:t>
            </w:r>
          </w:p>
        </w:tc>
        <w:tc>
          <w:tcPr>
            <w:tcW w:type="dxa" w:w="850"/>
          </w:tcPr>
          <w:p>
            <w:pPr>
              <w:pStyle w:val="tablecopy"/>
              <w:jc w:val="center"/>
            </w:pPr>
            <w:r/>
            <w:r>
              <w:rPr>
                <w:sz w:val="15"/>
              </w:rPr>
              <w:t>5.40</w:t>
            </w:r>
          </w:p>
        </w:tc>
        <w:tc>
          <w:tcPr>
            <w:tcW w:type="dxa" w:w="907"/>
          </w:tcPr>
          <w:p>
            <w:pPr>
              <w:pStyle w:val="tablecopy"/>
              <w:jc w:val="center"/>
            </w:pPr>
            <w:r/>
            <w:r>
              <w:rPr>
                <w:sz w:val="15"/>
              </w:rPr>
              <w:t>11.16</w:t>
            </w:r>
          </w:p>
        </w:tc>
        <w:tc>
          <w:tcPr>
            <w:tcW w:type="dxa" w:w="850"/>
          </w:tcPr>
          <w:p>
            <w:pPr>
              <w:pStyle w:val="tablecopy"/>
              <w:jc w:val="center"/>
            </w:pPr>
            <w:r/>
            <w:r>
              <w:rPr>
                <w:sz w:val="15"/>
              </w:rPr>
              <w:t>0.721</w:t>
            </w:r>
          </w:p>
        </w:tc>
        <w:tc>
          <w:tcPr>
            <w:tcW w:type="dxa" w:w="794"/>
          </w:tcPr>
          <w:p>
            <w:pPr>
              <w:pStyle w:val="tablecopy"/>
              <w:jc w:val="center"/>
            </w:pPr>
            <w:r/>
            <w:r>
              <w:rPr>
                <w:sz w:val="15"/>
              </w:rPr>
              <w:t>1</w:t>
            </w:r>
          </w:p>
        </w:tc>
      </w:tr>
    </w:tbl>
    <w:p>
      <w:pPr>
        <w:pStyle w:val="tablefootnote"/>
        <w:spacing w:before="40" w:after="120"/>
        <w:jc w:val="left"/>
      </w:pPr>
      <w:r>
        <w:rPr>
          <w:i/>
          <w:sz w:val="14"/>
        </w:rPr>
        <w:t>The selected rule is set in bold. Short disturbances are synthetic score bumps and probe the rule, not acoustic detectability.</w:t>
      </w:r>
    </w:p>
    <w:p>
      <w:pPr>
        <w:pStyle w:val="a3"/>
      </w:pPr>
      <w:r>
        <w:t>In this earlier offline comparison, hysteresis with release at 0.7 times entry reduced foreign-machine alarm episodes while retaining three-window latency. No candidate passed every specified criterion. Table II uses synthetic score perturbations and does not measure speech rejection or physical detection accuracy. The final firmware retains consecutive-window hysteresis but uses separately derived absolute entry and release thresholds.</w:t>
      </w:r>
    </w:p>
    <w:p>
      <w:pPr>
        <w:pStyle w:val="2"/>
      </w:pPr>
      <w:r>
        <w:t>Autonomous operation on the device</w:t>
      </w:r>
    </w:p>
    <w:p>
      <w:pPr>
        <w:pStyle w:val="a3"/>
      </w:pPr>
      <w:r>
        <w:t>Before a fan was available the device calibrated itself and monitored with no host in the decision path, a PC only replaying recordings through a loudspeaker. The clean run covers 107 detection windows over 17.6 min with OK quality verdicts throughout, six windows above the threshold and no alarm episode, because the longest run above the threshold was two windows and the rule requires three. The per-window dropped-sample delta was zero in all 177 measured windows; the cumulative counter is large only because the ring buffer is not drained while the device idles waiting for the button, and we make no claim from it.</w:t>
      </w:r>
    </w:p>
    <w:p>
      <w:pPr>
        <w:pStyle w:val="2"/>
      </w:pPr>
      <w:r>
        <w:t>Trials on a physical fan</w:t>
      </w:r>
    </w:p>
    <w:p>
      <w:pPr>
        <w:pStyle w:val="a3"/>
      </w:pPr>
      <w:r>
        <w:t>Two final trials use the same firmware image and one fan, with the microphone 40 cm from the shaft. One applies a hand-held paper strip three times, then speech and a door disturbance. The other uses a reproduced 1 kHz tone. Table III uses only protocol-valid, confirmed, non-transition DET windows: 43/65 and 99/115 respectively. Held windows remain included. Telemetry validity and experiment acceptance are reported separately. Neither stimulus is a confirmed fault.</w:t>
      </w:r>
    </w:p>
    <w:p>
      <w:pPr>
        <w:pStyle w:val="tablehead"/>
        <w:keepNext/>
      </w:pPr>
      <w:r>
        <w:t>Physical Fan Trials, Same Firmware Image</w:t>
      </w:r>
    </w:p>
    <w:tbl>
      <w:tblPr>
        <w:tblW w:type="auto" w:w="0"/>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Pr>
      <w:tblGrid>
        <w:gridCol w:w="3373"/>
        <w:gridCol w:w="3373"/>
        <w:gridCol w:w="3373"/>
      </w:tblGrid>
      <w:tr>
        <w:trPr>
          <w:cantSplit/>
        </w:trPr>
        <w:tc>
          <w:tcPr>
            <w:tcW w:type="dxa" w:w="1814"/>
          </w:tcPr>
          <w:p>
            <w:pPr>
              <w:pStyle w:val="tablecolhead"/>
              <w:keepNext/>
              <w:jc w:val="center"/>
            </w:pPr>
            <w:r/>
            <w:r>
              <w:rPr>
                <w:b/>
                <w:sz w:val="15"/>
              </w:rPr>
              <w:t>Measurement</w:t>
            </w:r>
          </w:p>
        </w:tc>
        <w:tc>
          <w:tcPr>
            <w:tcW w:type="dxa" w:w="1417"/>
          </w:tcPr>
          <w:p>
            <w:pPr>
              <w:pStyle w:val="tablecolhead"/>
              <w:keepNext/>
              <w:jc w:val="center"/>
            </w:pPr>
            <w:r/>
            <w:r>
              <w:rPr>
                <w:b/>
                <w:sz w:val="15"/>
              </w:rPr>
              <w:t>Paper strip</w:t>
            </w:r>
          </w:p>
        </w:tc>
        <w:tc>
          <w:tcPr>
            <w:tcW w:type="dxa" w:w="1474"/>
          </w:tcPr>
          <w:p>
            <w:pPr>
              <w:pStyle w:val="tablecolhead"/>
              <w:keepNext/>
              <w:jc w:val="center"/>
            </w:pPr>
            <w:r/>
            <w:r>
              <w:rPr>
                <w:b/>
                <w:sz w:val="15"/>
              </w:rPr>
              <w:t>Constant tone</w:t>
            </w:r>
          </w:p>
        </w:tc>
      </w:tr>
      <w:tr>
        <w:trPr>
          <w:cantSplit/>
        </w:trPr>
        <w:tc>
          <w:tcPr>
            <w:tcW w:type="dxa" w:w="1814"/>
          </w:tcPr>
          <w:p>
            <w:pPr>
              <w:pStyle w:val="tablecopy"/>
              <w:keepNext/>
            </w:pPr>
            <w:r/>
            <w:r>
              <w:rPr>
                <w:sz w:val="15"/>
              </w:rPr>
              <w:t>Calibration accepted</w:t>
            </w:r>
          </w:p>
        </w:tc>
        <w:tc>
          <w:tcPr>
            <w:tcW w:type="dxa" w:w="1417"/>
          </w:tcPr>
          <w:p>
            <w:pPr>
              <w:pStyle w:val="tablecopy"/>
              <w:keepNext/>
              <w:jc w:val="center"/>
            </w:pPr>
            <w:r/>
            <w:r>
              <w:rPr>
                <w:sz w:val="15"/>
              </w:rPr>
              <w:t>yes, 2 clips trimmed</w:t>
            </w:r>
          </w:p>
        </w:tc>
        <w:tc>
          <w:tcPr>
            <w:tcW w:type="dxa" w:w="1474"/>
          </w:tcPr>
          <w:p>
            <w:pPr>
              <w:pStyle w:val="tablecopy"/>
              <w:keepNext/>
              <w:jc w:val="center"/>
            </w:pPr>
            <w:r/>
            <w:r>
              <w:rPr>
                <w:sz w:val="15"/>
              </w:rPr>
              <w:t>yes, no trim</w:t>
            </w:r>
          </w:p>
        </w:tc>
      </w:tr>
      <w:tr>
        <w:trPr>
          <w:cantSplit/>
        </w:trPr>
        <w:tc>
          <w:tcPr>
            <w:tcW w:type="dxa" w:w="1814"/>
          </w:tcPr>
          <w:p>
            <w:pPr>
              <w:pStyle w:val="tablecopy"/>
              <w:keepNext/>
            </w:pPr>
            <w:r/>
            <w:r>
              <w:rPr>
                <w:sz w:val="15"/>
              </w:rPr>
              <w:t>Leave-one-out CV</w:t>
            </w:r>
          </w:p>
        </w:tc>
        <w:tc>
          <w:tcPr>
            <w:tcW w:type="dxa" w:w="1417"/>
          </w:tcPr>
          <w:p>
            <w:pPr>
              <w:pStyle w:val="tablecopy"/>
              <w:keepNext/>
              <w:jc w:val="center"/>
            </w:pPr>
            <w:r/>
            <w:r>
              <w:rPr>
                <w:sz w:val="15"/>
              </w:rPr>
              <w:t>0.84 -&gt; 0.43</w:t>
            </w:r>
          </w:p>
        </w:tc>
        <w:tc>
          <w:tcPr>
            <w:tcW w:type="dxa" w:w="1474"/>
          </w:tcPr>
          <w:p>
            <w:pPr>
              <w:pStyle w:val="tablecopy"/>
              <w:keepNext/>
              <w:jc w:val="center"/>
            </w:pPr>
            <w:r/>
            <w:r>
              <w:rPr>
                <w:sz w:val="15"/>
              </w:rPr>
              <w:t>0.43</w:t>
            </w:r>
          </w:p>
        </w:tc>
      </w:tr>
      <w:tr>
        <w:trPr>
          <w:cantSplit/>
        </w:trPr>
        <w:tc>
          <w:tcPr>
            <w:tcW w:type="dxa" w:w="1814"/>
          </w:tcPr>
          <w:p>
            <w:pPr>
              <w:pStyle w:val="tablecopy"/>
              <w:keepNext/>
            </w:pPr>
            <w:r/>
            <w:r>
              <w:rPr>
                <w:sz w:val="15"/>
              </w:rPr>
              <w:t>Entry / release threshold</w:t>
            </w:r>
          </w:p>
        </w:tc>
        <w:tc>
          <w:tcPr>
            <w:tcW w:type="dxa" w:w="1417"/>
          </w:tcPr>
          <w:p>
            <w:pPr>
              <w:pStyle w:val="tablecopy"/>
              <w:keepNext/>
              <w:jc w:val="center"/>
            </w:pPr>
            <w:r/>
            <w:r>
              <w:rPr>
                <w:sz w:val="15"/>
              </w:rPr>
              <w:t>8084 / 3707</w:t>
            </w:r>
          </w:p>
        </w:tc>
        <w:tc>
          <w:tcPr>
            <w:tcW w:type="dxa" w:w="1474"/>
          </w:tcPr>
          <w:p>
            <w:pPr>
              <w:pStyle w:val="tablecopy"/>
              <w:keepNext/>
              <w:jc w:val="center"/>
            </w:pPr>
            <w:r/>
            <w:r>
              <w:rPr>
                <w:sz w:val="15"/>
              </w:rPr>
              <w:t>21 810 / 10 905</w:t>
            </w:r>
          </w:p>
        </w:tc>
      </w:tr>
      <w:tr>
        <w:trPr>
          <w:cantSplit/>
        </w:trPr>
        <w:tc>
          <w:tcPr>
            <w:tcW w:type="dxa" w:w="1814"/>
          </w:tcPr>
          <w:p>
            <w:pPr>
              <w:pStyle w:val="tablecopy"/>
              <w:keepNext/>
            </w:pPr>
            <w:r/>
            <w:r>
              <w:rPr>
                <w:sz w:val="15"/>
              </w:rPr>
              <w:t>Normal baseline, median score</w:t>
            </w:r>
          </w:p>
        </w:tc>
        <w:tc>
          <w:tcPr>
            <w:tcW w:type="dxa" w:w="1417"/>
          </w:tcPr>
          <w:p>
            <w:pPr>
              <w:pStyle w:val="tablecopy"/>
              <w:keepNext/>
              <w:jc w:val="center"/>
            </w:pPr>
            <w:r/>
            <w:r>
              <w:rPr>
                <w:sz w:val="15"/>
              </w:rPr>
              <w:t>1 146</w:t>
            </w:r>
          </w:p>
        </w:tc>
        <w:tc>
          <w:tcPr>
            <w:tcW w:type="dxa" w:w="1474"/>
          </w:tcPr>
          <w:p>
            <w:pPr>
              <w:pStyle w:val="tablecopy"/>
              <w:keepNext/>
              <w:jc w:val="center"/>
            </w:pPr>
            <w:r/>
            <w:r>
              <w:rPr>
                <w:sz w:val="15"/>
              </w:rPr>
              <w:t>7 085</w:t>
            </w:r>
          </w:p>
        </w:tc>
      </w:tr>
      <w:tr>
        <w:trPr>
          <w:cantSplit/>
        </w:trPr>
        <w:tc>
          <w:tcPr>
            <w:tcW w:type="dxa" w:w="1814"/>
          </w:tcPr>
          <w:p>
            <w:pPr>
              <w:pStyle w:val="tablecopy"/>
              <w:keepNext/>
            </w:pPr>
            <w:r/>
            <w:r>
              <w:rPr>
                <w:sz w:val="15"/>
              </w:rPr>
              <w:t>Induced change, median score</w:t>
            </w:r>
          </w:p>
        </w:tc>
        <w:tc>
          <w:tcPr>
            <w:tcW w:type="dxa" w:w="1417"/>
          </w:tcPr>
          <w:p>
            <w:pPr>
              <w:pStyle w:val="tablecopy"/>
              <w:keepNext/>
              <w:jc w:val="center"/>
            </w:pPr>
            <w:r/>
            <w:r>
              <w:rPr>
                <w:sz w:val="15"/>
              </w:rPr>
              <w:t>19 844–62 344</w:t>
            </w:r>
          </w:p>
        </w:tc>
        <w:tc>
          <w:tcPr>
            <w:tcW w:type="dxa" w:w="1474"/>
          </w:tcPr>
          <w:p>
            <w:pPr>
              <w:pStyle w:val="tablecopy"/>
              <w:keepNext/>
              <w:jc w:val="center"/>
            </w:pPr>
            <w:r/>
            <w:r>
              <w:rPr>
                <w:sz w:val="15"/>
              </w:rPr>
              <w:t>23 574</w:t>
            </w:r>
          </w:p>
        </w:tc>
      </w:tr>
      <w:tr>
        <w:trPr>
          <w:cantSplit/>
        </w:trPr>
        <w:tc>
          <w:tcPr>
            <w:tcW w:type="dxa" w:w="1814"/>
          </w:tcPr>
          <w:p>
            <w:pPr>
              <w:pStyle w:val="tablecopy"/>
              <w:keepNext/>
            </w:pPr>
            <w:r/>
            <w:r>
              <w:rPr>
                <w:sz w:val="15"/>
              </w:rPr>
              <w:t>DET total / eligible</w:t>
            </w:r>
          </w:p>
        </w:tc>
        <w:tc>
          <w:tcPr>
            <w:tcW w:type="dxa" w:w="1417"/>
          </w:tcPr>
          <w:p>
            <w:pPr>
              <w:pStyle w:val="tablecopy"/>
              <w:keepNext/>
              <w:jc w:val="center"/>
            </w:pPr>
            <w:r/>
            <w:r>
              <w:rPr>
                <w:sz w:val="15"/>
              </w:rPr>
              <w:t>65 / 43</w:t>
            </w:r>
          </w:p>
        </w:tc>
        <w:tc>
          <w:tcPr>
            <w:tcW w:type="dxa" w:w="1474"/>
          </w:tcPr>
          <w:p>
            <w:pPr>
              <w:pStyle w:val="tablecopy"/>
              <w:keepNext/>
              <w:jc w:val="center"/>
            </w:pPr>
            <w:r/>
            <w:r>
              <w:rPr>
                <w:sz w:val="15"/>
              </w:rPr>
              <w:t>115 / 99</w:t>
            </w:r>
          </w:p>
        </w:tc>
      </w:tr>
      <w:tr>
        <w:trPr>
          <w:cantSplit/>
        </w:trPr>
        <w:tc>
          <w:tcPr>
            <w:tcW w:type="dxa" w:w="1814"/>
          </w:tcPr>
          <w:p>
            <w:pPr>
              <w:pStyle w:val="tablecopy"/>
              <w:keepNext/>
            </w:pPr>
            <w:r/>
            <w:r>
              <w:rPr>
                <w:sz w:val="15"/>
              </w:rPr>
              <w:t>Alarm windows / episodes</w:t>
            </w:r>
          </w:p>
        </w:tc>
        <w:tc>
          <w:tcPr>
            <w:tcW w:type="dxa" w:w="1417"/>
          </w:tcPr>
          <w:p>
            <w:pPr>
              <w:pStyle w:val="tablecopy"/>
              <w:keepNext/>
              <w:jc w:val="center"/>
            </w:pPr>
            <w:r/>
            <w:r>
              <w:rPr>
                <w:sz w:val="15"/>
              </w:rPr>
              <w:t>3 / 2</w:t>
            </w:r>
          </w:p>
        </w:tc>
        <w:tc>
          <w:tcPr>
            <w:tcW w:type="dxa" w:w="1474"/>
          </w:tcPr>
          <w:p>
            <w:pPr>
              <w:pStyle w:val="tablecopy"/>
              <w:keepNext/>
              <w:jc w:val="center"/>
            </w:pPr>
            <w:r/>
            <w:r>
              <w:rPr>
                <w:sz w:val="15"/>
              </w:rPr>
              <w:t>64 / 2</w:t>
            </w:r>
          </w:p>
        </w:tc>
      </w:tr>
      <w:tr>
        <w:trPr>
          <w:cantSplit/>
        </w:trPr>
        <w:tc>
          <w:tcPr>
            <w:tcW w:type="dxa" w:w="1814"/>
          </w:tcPr>
          <w:p>
            <w:pPr>
              <w:pStyle w:val="tablecopy"/>
              <w:keepNext/>
            </w:pPr>
            <w:r/>
            <w:r>
              <w:rPr>
                <w:sz w:val="15"/>
              </w:rPr>
              <w:t>Entry rule</w:t>
            </w:r>
          </w:p>
        </w:tc>
        <w:tc>
          <w:tcPr>
            <w:tcW w:type="dxa" w:w="1417"/>
          </w:tcPr>
          <w:p>
            <w:pPr>
              <w:pStyle w:val="tablecopy"/>
              <w:keepNext/>
              <w:jc w:val="center"/>
            </w:pPr>
            <w:r/>
            <w:r>
              <w:rPr>
                <w:sz w:val="15"/>
              </w:rPr>
              <w:t>3 reliable high windows</w:t>
            </w:r>
          </w:p>
        </w:tc>
        <w:tc>
          <w:tcPr>
            <w:tcW w:type="dxa" w:w="1474"/>
          </w:tcPr>
          <w:p>
            <w:pPr>
              <w:pStyle w:val="tablecopy"/>
              <w:keepNext/>
              <w:jc w:val="center"/>
            </w:pPr>
            <w:r/>
            <w:r>
              <w:rPr>
                <w:sz w:val="15"/>
              </w:rPr>
              <w:t>3 reliable high windows</w:t>
            </w:r>
          </w:p>
        </w:tc>
      </w:tr>
      <w:tr>
        <w:trPr>
          <w:cantSplit/>
        </w:trPr>
        <w:tc>
          <w:tcPr>
            <w:tcW w:type="dxa" w:w="1814"/>
          </w:tcPr>
          <w:p>
            <w:pPr>
              <w:pStyle w:val="tablecopy"/>
              <w:keepNext/>
            </w:pPr>
            <w:r/>
            <w:r>
              <w:rPr>
                <w:sz w:val="15"/>
              </w:rPr>
              <w:t>Median release latency</w:t>
            </w:r>
          </w:p>
        </w:tc>
        <w:tc>
          <w:tcPr>
            <w:tcW w:type="dxa" w:w="1417"/>
          </w:tcPr>
          <w:p>
            <w:pPr>
              <w:pStyle w:val="tablecopy"/>
              <w:keepNext/>
              <w:jc w:val="center"/>
            </w:pPr>
            <w:r/>
            <w:r>
              <w:rPr>
                <w:sz w:val="15"/>
              </w:rPr>
              <w:t>10.1 s</w:t>
            </w:r>
          </w:p>
        </w:tc>
        <w:tc>
          <w:tcPr>
            <w:tcW w:type="dxa" w:w="1474"/>
          </w:tcPr>
          <w:p>
            <w:pPr>
              <w:pStyle w:val="tablecopy"/>
              <w:keepNext/>
              <w:jc w:val="center"/>
            </w:pPr>
            <w:r/>
            <w:r>
              <w:rPr>
                <w:sz w:val="15"/>
              </w:rPr>
              <w:t>not measured</w:t>
            </w:r>
          </w:p>
        </w:tc>
      </w:tr>
      <w:tr>
        <w:trPr>
          <w:cantSplit/>
        </w:trPr>
        <w:tc>
          <w:tcPr>
            <w:tcW w:type="dxa" w:w="1814"/>
          </w:tcPr>
          <w:p>
            <w:pPr>
              <w:pStyle w:val="tablecopy"/>
              <w:keepNext/>
            </w:pPr>
            <w:r/>
            <w:r>
              <w:rPr>
                <w:sz w:val="15"/>
              </w:rPr>
              <w:t>Speech / door response</w:t>
            </w:r>
          </w:p>
        </w:tc>
        <w:tc>
          <w:tcPr>
            <w:tcW w:type="dxa" w:w="1417"/>
          </w:tcPr>
          <w:p>
            <w:pPr>
              <w:pStyle w:val="tablecopy"/>
              <w:keepNext/>
              <w:jc w:val="center"/>
            </w:pPr>
            <w:r/>
            <w:r>
              <w:rPr>
                <w:sz w:val="15"/>
              </w:rPr>
              <w:t>no alarm, windows held</w:t>
            </w:r>
          </w:p>
        </w:tc>
        <w:tc>
          <w:tcPr>
            <w:tcW w:type="dxa" w:w="1474"/>
          </w:tcPr>
          <w:p>
            <w:pPr>
              <w:pStyle w:val="tablecopy"/>
              <w:keepNext/>
              <w:jc w:val="center"/>
            </w:pPr>
            <w:r/>
            <w:r>
              <w:rPr>
                <w:sz w:val="15"/>
              </w:rPr>
              <w:t>not applied</w:t>
            </w:r>
          </w:p>
        </w:tc>
      </w:tr>
      <w:tr>
        <w:trPr>
          <w:cantSplit/>
        </w:trPr>
        <w:tc>
          <w:tcPr>
            <w:tcW w:type="dxa" w:w="1814"/>
          </w:tcPr>
          <w:p>
            <w:pPr>
              <w:pStyle w:val="tablecopy"/>
              <w:keepNext/>
            </w:pPr>
            <w:r/>
            <w:r>
              <w:rPr>
                <w:sz w:val="15"/>
              </w:rPr>
              <w:t>Sustained-deviation event</w:t>
            </w:r>
          </w:p>
        </w:tc>
        <w:tc>
          <w:tcPr>
            <w:tcW w:type="dxa" w:w="1417"/>
          </w:tcPr>
          <w:p>
            <w:pPr>
              <w:pStyle w:val="tablecopy"/>
              <w:keepNext/>
              <w:jc w:val="center"/>
            </w:pPr>
            <w:r/>
            <w:r>
              <w:rPr>
                <w:sz w:val="15"/>
              </w:rPr>
              <w:t>no</w:t>
            </w:r>
          </w:p>
        </w:tc>
        <w:tc>
          <w:tcPr>
            <w:tcW w:type="dxa" w:w="1474"/>
          </w:tcPr>
          <w:p>
            <w:pPr>
              <w:pStyle w:val="tablecopy"/>
              <w:keepNext/>
              <w:jc w:val="center"/>
            </w:pPr>
            <w:r/>
            <w:r>
              <w:rPr>
                <w:sz w:val="15"/>
              </w:rPr>
              <w:t>yes, at 12th alarm window</w:t>
            </w:r>
          </w:p>
        </w:tc>
      </w:tr>
      <w:tr>
        <w:trPr>
          <w:cantSplit/>
        </w:trPr>
        <w:tc>
          <w:tcPr>
            <w:tcW w:type="dxa" w:w="1814"/>
          </w:tcPr>
          <w:p>
            <w:pPr>
              <w:pStyle w:val="tablecopy"/>
            </w:pPr>
            <w:r/>
            <w:r>
              <w:rPr>
                <w:sz w:val="15"/>
              </w:rPr>
              <w:t>Per-window dropped samples</w:t>
            </w:r>
          </w:p>
        </w:tc>
        <w:tc>
          <w:tcPr>
            <w:tcW w:type="dxa" w:w="1417"/>
          </w:tcPr>
          <w:p>
            <w:pPr>
              <w:pStyle w:val="tablecopy"/>
              <w:jc w:val="center"/>
            </w:pPr>
            <w:r/>
            <w:r>
              <w:rPr>
                <w:sz w:val="15"/>
              </w:rPr>
              <w:t>0</w:t>
            </w:r>
          </w:p>
        </w:tc>
        <w:tc>
          <w:tcPr>
            <w:tcW w:type="dxa" w:w="1474"/>
          </w:tcPr>
          <w:p>
            <w:pPr>
              <w:pStyle w:val="tablecopy"/>
              <w:jc w:val="center"/>
            </w:pPr>
            <w:r/>
            <w:r>
              <w:rPr>
                <w:sz w:val="15"/>
              </w:rPr>
              <w:t>0</w:t>
            </w:r>
          </w:p>
        </w:tc>
      </w:tr>
    </w:tbl>
    <w:p>
      <w:pPr>
        <w:pStyle w:val="tablefootnote"/>
        <w:spacing w:before="40" w:after="120"/>
        <w:jc w:val="left"/>
      </w:pPr>
      <w:r>
        <w:rPr>
          <w:i/>
          <w:sz w:val="14"/>
        </w:rPr>
        <w:t>Counts use eligible windows, including HOLD. Paper trial: GUIDED25 FAIL (1/3 blocks; carried alarm). Tone onset latency and final release latency are unmeasured.</w:t>
      </w:r>
    </w:p>
    <w:p>
      <w:pPr>
        <w:pStyle w:val="a3"/>
      </w:pPr>
      <w:r>
        <w:t>Paper-block median scores are 30 255, 62 344 and 19 844 versus baseline 1146, but an alarm appears only in block three. In each of the first two blocks, three of four eligible windows are held. The GUIDED25 verdict is FAIL: one of three blocks detected, with a carried alarm in recovery. Speech and door medians are 38 307 and 49 549, with no alarms in four and two eligible windows. These short observations do not establish general noise rejection.</w:t>
      </w:r>
    </w:p>
    <w:p>
      <w:pPr>
        <w:pStyle w:val="a3"/>
      </w:pPr>
      <w:r>
        <w:t>The tone trial produces two alarm episodes and a sustained-deviation event. Alarm entry follows three reliable high windows; this is not a measured 30 s delay from initial tone onset. Early tone-labelled windows remain below threshold. Notes describe a later volume increase, but its exact time is not recorded. Recovery-labelled scores remain high for much of the trial and only later fall below entry, without reaching release. Release latency is therefore unmeasured. Fig. 2 retains all DET windows for continuity.</w:t>
      </w:r>
    </w:p>
    <w:p>
      <w:pPr>
        <w:keepNext/>
        <w:spacing w:before="80" w:after="20"/>
        <w:jc w:val="center"/>
      </w:pPr>
      <w:r>
        <w:drawing>
          <wp:inline xmlns:a="http://schemas.openxmlformats.org/drawingml/2006/main" xmlns:pic="http://schemas.openxmlformats.org/drawingml/2006/picture">
            <wp:extent cx="2988000" cy="1794153"/>
            <wp:docPr id="2" name="Picture 2"/>
            <wp:cNvGraphicFramePr>
              <a:graphicFrameLocks noChangeAspect="1"/>
            </wp:cNvGraphicFramePr>
            <a:graphic>
              <a:graphicData uri="http://schemas.openxmlformats.org/drawingml/2006/picture">
                <pic:pic>
                  <pic:nvPicPr>
                    <pic:cNvPr id="0" name="fig5_fan_tone.png"/>
                    <pic:cNvPicPr/>
                  </pic:nvPicPr>
                  <pic:blipFill>
                    <a:blip r:embed="rId12"/>
                    <a:stretch>
                      <a:fillRect/>
                    </a:stretch>
                  </pic:blipFill>
                  <pic:spPr>
                    <a:xfrm>
                      <a:off x="0" y="0"/>
                      <a:ext cx="2988000" cy="1794153"/>
                    </a:xfrm>
                    <a:prstGeom prst="rect"/>
                  </pic:spPr>
                </pic:pic>
              </a:graphicData>
            </a:graphic>
          </wp:inline>
        </w:drawing>
      </w:r>
    </w:p>
    <w:p>
      <w:pPr>
        <w:pStyle w:val="figurecaption"/>
      </w:pPr>
      <w:r>
        <w:t>Score over the tone trial, one point per 10 s window. The alarm is raised after three consecutive reliable windows; held windows are excluded from alarm build-up. Note the logarithmic scale.</w:t>
      </w:r>
    </w:p>
    <w:p>
      <w:pPr>
        <w:pStyle w:val="a3"/>
      </w:pPr>
    </w:p>
    <w:p>
      <w:pPr>
        <w:pStyle w:val="1"/>
      </w:pPr>
      <w:r>
        <w:t>Threshold Instability and Revised Commissioning</w:t>
      </w:r>
    </w:p>
    <w:p>
      <w:pPr>
        <w:pStyle w:val="a3"/>
      </w:pPr>
      <w:r>
        <w:t>Earlier repeated calibration trials expose threshold sensitivity, with the same board, microphone, audio source and room produced three calibrations with thresholds of 5687, 347 and 1088. Scoring the windows of run 1 with the threshold of run 2 puts 92 % of them above it; the reverse leaves 8 % above. Across the three runs the threshold spans a factor of 16 while the median score spans a factor of 4.7. The scores were comparatively stable; the threshold was not.</w:t>
      </w:r>
    </w:p>
    <w:p>
      <w:pPr>
        <w:pStyle w:val="a3"/>
      </w:pPr>
      <w:r>
        <w:t>The earlier estimator used max(Q_0.90, mean + 3 sd) of ten leave-one-out scores. One outlying window inflated the threshold; a cleaner calibration underestimated later normal variation. These observations implicate short calibration and changing acoustics, but do not isolate a single physical cause.</w:t>
      </w:r>
    </w:p>
    <w:p>
      <w:pPr>
        <w:pStyle w:val="a3"/>
      </w:pPr>
      <w:r>
        <w:t>The revised sequence uses 44 normal derivation windows and 22 later verification windows. Both final trials pass commissioning, with different thresholds for their respective sessions. Two accepted sessions cannot establish calibration repeatability or a low long-term false-alarm rate. The paper trial still fails its prescribed detection and recovery criteria.</w:t>
      </w:r>
    </w:p>
    <w:p>
      <w:pPr>
        <w:pStyle w:val="a3"/>
      </w:pPr>
      <w:r>
        <w:t>A robust candidate used the smaller of empirical p99 and median + 3 × 1.4826 × MAD, together with a trimmed centre. Its threshold was 791; later normal verification scores reached 2083–7766 and commissioning was rejected. This is evidence that the candidate underestimated variation in that session. Changing both centre and threshold also prevents attributing the failure to either component alone. The candidate remains outside the live firmware path.</w:t>
      </w:r>
    </w:p>
    <w:p>
      <w:pPr>
        <w:pStyle w:val="a3"/>
      </w:pPr>
      <w:r>
        <w:t>The consistency check remains sensitive to narrow-band changes under the source-domain covariance. Trimming up to two calibration windows improves acceptance in one final trial, but does not establish robustness across installations. Eight empty spectral bands and source-to-device covariance mismatch are candidates for future investigation; changing them would require retraining and new validation.</w:t>
      </w:r>
    </w:p>
    <w:p>
      <w:pPr>
        <w:pStyle w:val="1"/>
      </w:pPr>
      <w:r>
        <w:t>Conclusion</w:t>
      </w:r>
    </w:p>
    <w:p>
      <w:pPr>
        <w:pStyle w:val="a3"/>
      </w:pPr>
      <w:r>
        <w:t>A statistical detector executes on the ESP32-S3 with 716 ms of measured feature-and-score computation per 10 s window and a 355 kB image. It learns a local centre and derives and verifies alarm thresholds from normal audio. Its recorded decisions can be checked against retained telemetry.</w:t>
      </w:r>
    </w:p>
    <w:p>
      <w:pPr>
        <w:pStyle w:val="a3"/>
      </w:pPr>
      <w:r>
        <w:t>The tone experiment demonstrates sustained-change signalling. The paper-strip experiment detects one of three blocks and fails its acceptance criteria; speech and door blocks produce no alarms in this short record. Threshold repeatability, recovery after a strong stimulus, independent machines and full-pipeline power remain open. Controlled perturbations are not confirmed mechanical faults.</w:t>
      </w:r>
    </w:p>
    <w:p>
      <w:pPr>
        <w:pStyle w:val="1"/>
        <w:numPr>
          <w:ilvl w:val="0"/>
          <w:numId w:val="0"/>
        </w:numPr>
      </w:pPr>
      <w:r>
        <w:t>Acknowledgment</w:t>
      </w:r>
    </w:p>
    <w:p>
      <w:pPr>
        <w:pStyle w:val="a3"/>
      </w:pPr>
      <w:r>
        <w:t>OpenAI Codex assisted with drafting and revising Sections I–VII and checking tables against recorded project data. Experimental values come from the retained measurement artifacts.</w:t>
      </w:r>
    </w:p>
    <w:p>
      <w:pPr>
        <w:pStyle w:val="1"/>
        <w:numPr>
          <w:ilvl w:val="0"/>
          <w:numId w:val="0"/>
        </w:numPr>
      </w:pPr>
      <w:r>
        <w:t>References</w:t>
      </w:r>
    </w:p>
    <w:p>
      <w:pPr>
        <w:pStyle w:val="references"/>
      </w:pPr>
      <w:r>
        <w:t>N. Harada, D. Niizumi, Y. Ohishi, D. Takeuchi, and M. Yasuda, “First-shot anomaly sound detection for machine condition monitoring: A domain generalization baseline,” in Proc. 31st European Signal Processing Conf. (EUSIPCO), 2023, pp. 191-195, doi: 10.23919/EUSIPCO58844.2023.10289721.</w:t>
      </w:r>
    </w:p>
    <w:p>
      <w:pPr>
        <w:pStyle w:val="references"/>
      </w:pPr>
      <w:r>
        <w:t>N. Harada et al., “ToyADMOS2: Another dataset of miniature-machine operating sounds for anomalous sound detection under domain shift conditions,” in Proc. DCASE Workshop, Barcelona, Spain, Nov. 2021, pp. 1-5, doi: 10.5281/zenodo.5770113.</w:t>
      </w:r>
    </w:p>
    <w:p>
      <w:pPr>
        <w:pStyle w:val="references"/>
      </w:pPr>
      <w:r>
        <w:t>K. Dohi et al., “MIMII DG: Sound dataset for malfunctioning industrial machine investigation and inspection for domain generalization task,” in Proc. DCASE Workshop, Nancy, France, Nov. 2022, pp. 1-5.</w:t>
      </w:r>
    </w:p>
    <w:p>
      <w:pPr>
        <w:pStyle w:val="references"/>
      </w:pPr>
      <w:r>
        <w:t>P. D. Welch, “The use of the fast Fourier transform for the estimation of power spectra: A method based on time averaging over short, modified periodograms,” IEEE Trans. Audio Electroacoust., vol. 15, no. 2, pp. 70-73, Jun. 1967, doi: 10.1109/TAU.1967.1161901.</w:t>
      </w:r>
    </w:p>
    <w:p>
      <w:pPr>
        <w:pStyle w:val="references"/>
      </w:pPr>
      <w:r>
        <w:t>O. Ledoit and M. Wolf, “A well-conditioned estimator for large-dimensional covariance matrices,” J. Multivariate Anal., vol. 88, no. 2, pp. 365-411, Feb. 2004, doi: 10.1016/S0047-259X(03)00096-4.</w:t>
      </w:r>
    </w:p>
    <w:p>
      <w:pPr>
        <w:pStyle w:val="references"/>
      </w:pPr>
      <w:r>
        <w:t>T. Nishida et al., “Description and discussion on DCASE 2026 Challenge Task 2: Noise-aware unsupervised anomalous sound detection for machine condition monitoring,” arXiv:2606.01578, 2026.</w:t>
      </w:r>
    </w:p>
    <w:p>
      <w:pPr>
        <w:sectPr>
          <w:type w:val="continuous"/>
          <w:pgSz w:w="11906" w:h="16838" w:code="9"/>
          <w:pgMar w:top="1080" w:right="907" w:bottom="1440" w:left="907" w:header="720" w:footer="720" w:gutter="0"/>
          <w:cols w:num="2" w:space="360"/>
          <w:titlePg/>
          <w:docGrid w:linePitch="360"/>
        </w:sectPr>
      </w:pPr>
    </w:p>
    <w:sectPr w:rsidR="00836367" w:rsidRPr="00F96569" w:rsidSect="003B4E04">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02279" w:rsidRDefault="00302279" w:rsidP="001A3B3D">
      <w:r>
        <w:separator/>
      </w:r>
    </w:p>
  </w:endnote>
  <w:endnote w:type="continuationSeparator" w:id="0">
    <w:p w:rsidR="00302279" w:rsidRDefault="0030227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A00002BF" w:usb1="68C7FCFB" w:usb2="00000010" w:usb3="00000000" w:csb0="000200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A3B3D" w:rsidRPr="006F6D3D" w:rsidRDefault="001A3B3D" w:rsidP="0056610F">
    <w:pPr>
      <w:pStyle w:val="a7"/>
      <w:jc w:val="left"/>
      <w:rPr>
        <w:sz w:val="16"/>
        <w:szCs w:val="16"/>
      </w:rPr>
    </w:pPr>
    <w:r/>
    <w:r>
      <w:rPr>
        <w:sz w:val="16"/>
      </w:rPr>
      <w:t>[TODO] IEEE copyright notice - the exact number is issued by the TELFOR registration system (registration.telfor.rs) and must be inserted here before submission.</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02279" w:rsidRDefault="00302279" w:rsidP="001A3B3D">
      <w:r>
        <w:separator/>
      </w:r>
    </w:p>
  </w:footnote>
  <w:footnote w:type="continuationSeparator" w:id="0">
    <w:p w:rsidR="00302279" w:rsidRDefault="0030227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70EAD"/>
    <w:rsid w:val="0008758A"/>
    <w:rsid w:val="000A67F4"/>
    <w:rsid w:val="000C1E68"/>
    <w:rsid w:val="000D0C35"/>
    <w:rsid w:val="001A2EFD"/>
    <w:rsid w:val="001A3B3D"/>
    <w:rsid w:val="001B67DC"/>
    <w:rsid w:val="002254A9"/>
    <w:rsid w:val="00233D97"/>
    <w:rsid w:val="002347A2"/>
    <w:rsid w:val="002850E3"/>
    <w:rsid w:val="00302279"/>
    <w:rsid w:val="00354FCF"/>
    <w:rsid w:val="003A19E2"/>
    <w:rsid w:val="003B2B40"/>
    <w:rsid w:val="003B4E04"/>
    <w:rsid w:val="003F5A08"/>
    <w:rsid w:val="00420716"/>
    <w:rsid w:val="004325FB"/>
    <w:rsid w:val="004432BA"/>
    <w:rsid w:val="0044407E"/>
    <w:rsid w:val="00447BB9"/>
    <w:rsid w:val="0046031D"/>
    <w:rsid w:val="00473AC9"/>
    <w:rsid w:val="004D5692"/>
    <w:rsid w:val="004D72B5"/>
    <w:rsid w:val="00551B7F"/>
    <w:rsid w:val="0056610F"/>
    <w:rsid w:val="00575BCA"/>
    <w:rsid w:val="005B0344"/>
    <w:rsid w:val="005B520E"/>
    <w:rsid w:val="005E2800"/>
    <w:rsid w:val="00605825"/>
    <w:rsid w:val="00645D22"/>
    <w:rsid w:val="00651A08"/>
    <w:rsid w:val="00654204"/>
    <w:rsid w:val="00670434"/>
    <w:rsid w:val="006B6B66"/>
    <w:rsid w:val="006C00CE"/>
    <w:rsid w:val="006F4310"/>
    <w:rsid w:val="006F6D3D"/>
    <w:rsid w:val="00715BEA"/>
    <w:rsid w:val="00740EEA"/>
    <w:rsid w:val="00794804"/>
    <w:rsid w:val="007B33F1"/>
    <w:rsid w:val="007B6DDA"/>
    <w:rsid w:val="007C0308"/>
    <w:rsid w:val="007C2FF2"/>
    <w:rsid w:val="007D6232"/>
    <w:rsid w:val="007F1F99"/>
    <w:rsid w:val="007F768F"/>
    <w:rsid w:val="00806674"/>
    <w:rsid w:val="0080791D"/>
    <w:rsid w:val="00836367"/>
    <w:rsid w:val="00873603"/>
    <w:rsid w:val="008A2C7D"/>
    <w:rsid w:val="008B6524"/>
    <w:rsid w:val="008C4B23"/>
    <w:rsid w:val="008F6E2C"/>
    <w:rsid w:val="009303D9"/>
    <w:rsid w:val="00933C64"/>
    <w:rsid w:val="00972203"/>
    <w:rsid w:val="009A5EF2"/>
    <w:rsid w:val="009E4CA8"/>
    <w:rsid w:val="009F1D79"/>
    <w:rsid w:val="00A059B3"/>
    <w:rsid w:val="00AE3409"/>
    <w:rsid w:val="00B01240"/>
    <w:rsid w:val="00B11A60"/>
    <w:rsid w:val="00B22613"/>
    <w:rsid w:val="00B44A76"/>
    <w:rsid w:val="00B768D1"/>
    <w:rsid w:val="00BA1025"/>
    <w:rsid w:val="00BC3420"/>
    <w:rsid w:val="00BD670B"/>
    <w:rsid w:val="00BE7D3C"/>
    <w:rsid w:val="00BF5FF6"/>
    <w:rsid w:val="00C0207F"/>
    <w:rsid w:val="00C16117"/>
    <w:rsid w:val="00C17E0B"/>
    <w:rsid w:val="00C3075A"/>
    <w:rsid w:val="00C919A4"/>
    <w:rsid w:val="00CA4392"/>
    <w:rsid w:val="00CC393F"/>
    <w:rsid w:val="00D2176E"/>
    <w:rsid w:val="00D632BE"/>
    <w:rsid w:val="00D72D06"/>
    <w:rsid w:val="00D7522C"/>
    <w:rsid w:val="00D7536F"/>
    <w:rsid w:val="00D76668"/>
    <w:rsid w:val="00DF490D"/>
    <w:rsid w:val="00E07383"/>
    <w:rsid w:val="00E165BC"/>
    <w:rsid w:val="00E61E12"/>
    <w:rsid w:val="00E7596C"/>
    <w:rsid w:val="00E878F2"/>
    <w:rsid w:val="00ED0149"/>
    <w:rsid w:val="00EF7DE3"/>
    <w:rsid w:val="00F03103"/>
    <w:rsid w:val="00F271DE"/>
    <w:rsid w:val="00F627DA"/>
    <w:rsid w:val="00F7288F"/>
    <w:rsid w:val="00F75512"/>
    <w:rsid w:val="00F847A6"/>
    <w:rsid w:val="00F9441B"/>
    <w:rsid w:val="00FA4C32"/>
    <w:rsid w:val="00FA77CF"/>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C00CE"/>
    <w:pPr>
      <w:jc w:val="center"/>
    </w:p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rsid w:val="000A67F4"/>
    <w:pPr>
      <w:spacing w:before="120" w:after="40"/>
      <w:jc w:val="center"/>
    </w:pPr>
    <w:rPr>
      <w:noProof/>
      <w:sz w:val="18"/>
      <w:szCs w:val="18"/>
    </w:rPr>
  </w:style>
  <w:style w:type="paragraph" w:styleId="a3">
    <w:name w:val="Body Text"/>
    <w:basedOn w:val="a"/>
    <w:link w:val="a4"/>
    <w:rsid w:val="00E7596C"/>
    <w:pPr>
      <w:tabs>
        <w:tab w:val="left" w:pos="288"/>
      </w:tabs>
      <w:spacing w:after="100" w:line="228" w:lineRule="auto"/>
      <w:ind w:firstLine="288"/>
      <w:jc w:val="both"/>
    </w:pPr>
    <w:rPr>
      <w:spacing w:val="-1"/>
      <w:lang w:val="x-none" w:eastAsia="x-none"/>
    </w:rPr>
  </w:style>
  <w:style w:type="character" w:customStyle="1" w:styleId="a4">
    <w:name w:val="Основной текст Знак"/>
    <w:link w:val="a3"/>
    <w:rsid w:val="00E7596C"/>
    <w:rPr>
      <w:spacing w:val="-1"/>
      <w:lang w:val="x-none" w:eastAsia="x-none"/>
    </w:rPr>
  </w:style>
  <w:style w:type="paragraph" w:customStyle="1" w:styleId="bulletlist">
    <w:name w:val="bullet list"/>
    <w:basedOn w:val="a3"/>
    <w:rsid w:val="001B67DC"/>
    <w:pPr>
      <w:numPr>
        <w:numId w:val="1"/>
      </w:numPr>
      <w:tabs>
        <w:tab w:val="clear" w:pos="648"/>
      </w:tabs>
      <w:ind w:left="576" w:hanging="288"/>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16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2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5919FB-CF57-46EE-9A11-FAAF7D2B0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2151</Words>
  <Characters>12263</Characters>
  <Application>Microsoft Office Word</Application>
  <DocSecurity>0</DocSecurity>
  <Lines>102</Lines>
  <Paragraphs>28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Anomalous Sound Detection on an ESP32-S3: Normal-Only Design and Measured Failure Modes</dc:title>
  <dc:subject/>
  <dc:creator>Mihajlo Živković and Ivan Mezei</dc:creator>
  <cp:keywords>Anomalous sound detection, condition monitoring, embedded systems, ESP32, Mahalanobis distance, unsupervised learning.</cp:keywords>
  <cp:lastModifiedBy>Mihajlo Živković and Ivan Mezei</cp:lastModifiedBy>
  <cp:revision>1</cp:revision>
  <dcterms:created xsi:type="dcterms:W3CDTF">2026-09-06T19:58:33Z</dcterms:created>
  <dcterms:modified xsi:type="dcterms:W3CDTF">2026-09-06T19:58:33Z</dcterms:modified>
  <dc:description/>
  <cp:category/>
</cp:coreProperties>
</file>