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exact"/>
      </w:pPr>
    </w:p>
    <w:p>
      <w:pPr>
        <w:spacing w:after="0" w:line="240" w:lineRule="exact"/>
      </w:pPr>
    </w:p>
    <w:p>
      <w:pPr>
        <w:spacing w:after="0" w:line="240" w:lineRule="exact"/>
      </w:pPr>
    </w:p>
    <w:p>
      <w:pPr>
        <w:spacing w:after="80"/>
        <w:ind w:firstLine="0"/>
        <w:jc w:val="center"/>
      </w:pPr>
      <w:r>
        <w:rPr>
          <w:rFonts w:ascii="Times New Roman" w:hAnsi="Times New Roman"/>
          <w:b/>
          <w:sz w:val="28"/>
        </w:rPr>
        <w:t>Универзитет у Новом Саду</w:t>
      </w:r>
    </w:p>
    <w:p>
      <w:pPr>
        <w:spacing w:after="80"/>
        <w:ind w:firstLine="0"/>
        <w:jc w:val="center"/>
      </w:pPr>
      <w:r>
        <w:rPr>
          <w:rFonts w:ascii="Times New Roman" w:hAnsi="Times New Roman"/>
          <w:b/>
          <w:sz w:val="28"/>
        </w:rPr>
        <w:t>Факултет техничких наука у Новом Саду</w:t>
      </w:r>
    </w:p>
    <w:p>
      <w:pPr>
        <w:spacing w:after="80"/>
        <w:ind w:firstLine="0"/>
        <w:jc w:val="center"/>
      </w:pPr>
    </w:p>
    <w:p>
      <w:pPr>
        <w:spacing w:after="80"/>
        <w:ind w:firstLine="0"/>
        <w:jc w:val="center"/>
      </w:pPr>
      <w:r>
        <w:rPr>
          <w:rFonts w:ascii="Times New Roman" w:hAnsi="Times New Roman"/>
          <w:b w:val="0"/>
          <w:sz w:val="24"/>
        </w:rPr>
        <w:t>Одсек за енергетику, електронику и телекомуникације</w:t>
      </w:r>
    </w:p>
    <w:p>
      <w:pPr>
        <w:spacing w:after="80"/>
        <w:ind w:firstLine="0"/>
        <w:jc w:val="center"/>
      </w:pPr>
      <w:r>
        <w:rPr>
          <w:rFonts w:ascii="Times New Roman" w:hAnsi="Times New Roman"/>
          <w:b w:val="0"/>
          <w:sz w:val="22"/>
        </w:rPr>
        <w:t>Студијски програм: Енергетика, електроника и телекомуникације</w:t>
      </w:r>
    </w:p>
    <w:p>
      <w:pPr>
        <w:spacing w:after="80"/>
        <w:ind w:firstLine="0"/>
        <w:jc w:val="center"/>
      </w:pPr>
      <w:r>
        <w:rPr>
          <w:rFonts w:ascii="Times New Roman" w:hAnsi="Times New Roman"/>
          <w:b w:val="0"/>
          <w:sz w:val="22"/>
        </w:rPr>
        <w:t>Модул: Embedded системи и алгоритми</w:t>
      </w:r>
    </w:p>
    <w:p>
      <w:pPr>
        <w:spacing w:after="0" w:line="240" w:lineRule="exact"/>
      </w:pPr>
    </w:p>
    <w:p>
      <w:pPr>
        <w:spacing w:after="0" w:line="240" w:lineRule="exact"/>
      </w:pPr>
    </w:p>
    <w:p>
      <w:pPr>
        <w:spacing w:after="0" w:line="240" w:lineRule="exact"/>
      </w:pPr>
    </w:p>
    <w:p>
      <w:pPr>
        <w:spacing w:after="0" w:line="240" w:lineRule="exact"/>
      </w:pPr>
    </w:p>
    <w:p>
      <w:pPr>
        <w:spacing w:after="0" w:line="240" w:lineRule="exact"/>
      </w:pPr>
    </w:p>
    <w:p>
      <w:pPr>
        <w:spacing w:after="80"/>
        <w:ind w:firstLine="0"/>
        <w:jc w:val="center"/>
      </w:pPr>
      <w:r>
        <w:rPr>
          <w:rFonts w:ascii="Times New Roman" w:hAnsi="Times New Roman"/>
          <w:b w:val="0"/>
          <w:sz w:val="28"/>
        </w:rPr>
        <w:t>Михајло Живковић</w:t>
      </w:r>
    </w:p>
    <w:p>
      <w:pPr>
        <w:spacing w:after="0" w:line="240" w:lineRule="exact"/>
      </w:pPr>
    </w:p>
    <w:p>
      <w:pPr>
        <w:spacing w:after="0" w:line="240" w:lineRule="exact"/>
      </w:pPr>
    </w:p>
    <w:p>
      <w:pPr>
        <w:spacing w:after="0" w:line="240" w:lineRule="exact"/>
      </w:pPr>
    </w:p>
    <w:p>
      <w:pPr>
        <w:spacing w:after="80"/>
        <w:ind w:firstLine="0"/>
        <w:jc w:val="center"/>
      </w:pPr>
      <w:r>
        <w:rPr>
          <w:rFonts w:ascii="Times New Roman" w:hAnsi="Times New Roman"/>
          <w:b/>
          <w:sz w:val="32"/>
        </w:rPr>
        <w:t>НЕНАДГЛЕДАНА ДЕТЕКЦИЈА АНОМАЛИЈА ЗВУКА МАШИНА НА МИКРОКОНТРОЛЕРУ ESP32-S3 СА САМОКАЛИБРАЦИЈОМ НА ЛИЦУ МЈЕСТА</w:t>
      </w:r>
    </w:p>
    <w:p>
      <w:pPr>
        <w:spacing w:after="0" w:line="240" w:lineRule="exact"/>
      </w:pPr>
    </w:p>
    <w:p>
      <w:pPr>
        <w:spacing w:after="0" w:line="240" w:lineRule="exact"/>
      </w:pPr>
    </w:p>
    <w:p>
      <w:pPr>
        <w:spacing w:after="80"/>
        <w:ind w:firstLine="0"/>
        <w:jc w:val="center"/>
      </w:pPr>
      <w:r>
        <w:rPr>
          <w:rFonts w:ascii="Times New Roman" w:hAnsi="Times New Roman"/>
          <w:b/>
          <w:sz w:val="28"/>
        </w:rPr>
        <w:t>МАСТЕР РАД</w:t>
      </w:r>
    </w:p>
    <w:p>
      <w:pPr>
        <w:spacing w:after="0" w:line="240" w:lineRule="exact"/>
      </w:pPr>
    </w:p>
    <w:p>
      <w:pPr>
        <w:spacing w:after="0" w:line="240" w:lineRule="exact"/>
      </w:pPr>
    </w:p>
    <w:p>
      <w:pPr>
        <w:spacing w:after="0" w:line="240" w:lineRule="exact"/>
      </w:pPr>
    </w:p>
    <w:p>
      <w:pPr>
        <w:spacing w:after="0" w:line="240" w:lineRule="exact"/>
      </w:pPr>
    </w:p>
    <w:p>
      <w:pPr>
        <w:spacing w:after="0" w:line="240" w:lineRule="exact"/>
      </w:pPr>
    </w:p>
    <w:p>
      <w:pPr>
        <w:spacing w:after="0" w:line="240" w:lineRule="exact"/>
      </w:pPr>
    </w:p>
    <w:p>
      <w:pPr>
        <w:spacing w:after="0" w:line="240" w:lineRule="exact"/>
      </w:pPr>
    </w:p>
    <w:p>
      <w:pPr>
        <w:spacing w:after="0" w:line="240" w:lineRule="exact"/>
      </w:pPr>
    </w:p>
    <w:p>
      <w:pPr>
        <w:spacing w:after="80"/>
        <w:ind w:firstLine="0"/>
        <w:jc w:val="center"/>
      </w:pPr>
      <w:r>
        <w:rPr>
          <w:rFonts w:ascii="Times New Roman" w:hAnsi="Times New Roman"/>
          <w:b w:val="0"/>
          <w:sz w:val="24"/>
        </w:rPr>
        <w:t>Нови Сад, 2026.</w:t>
      </w:r>
    </w:p>
    <w:p>
      <w:pPr>
        <w:spacing w:before="0" w:after="0" w:line="20" w:lineRule="exact"/>
      </w:pPr>
      <w:r>
        <w:rPr>
          <w:sz w:val="2"/>
        </w:rPr>
        <w:br w:type="page"/>
      </w:r>
    </w:p>
    <w:p>
      <w:pPr>
        <w:spacing w:after="0" w:line="240" w:lineRule="exact"/>
      </w:pPr>
    </w:p>
    <w:p>
      <w:pPr>
        <w:spacing w:after="0" w:line="240" w:lineRule="exact"/>
      </w:pPr>
    </w:p>
    <w:p>
      <w:pPr>
        <w:spacing w:after="80"/>
        <w:ind w:firstLine="0"/>
        <w:jc w:val="center"/>
      </w:pPr>
      <w:r>
        <w:rPr>
          <w:rFonts w:ascii="Times New Roman" w:hAnsi="Times New Roman"/>
          <w:b/>
          <w:sz w:val="26"/>
        </w:rPr>
        <w:t>Универзитет у Новом Саду</w:t>
      </w:r>
    </w:p>
    <w:p>
      <w:pPr>
        <w:spacing w:after="80"/>
        <w:ind w:firstLine="0"/>
        <w:jc w:val="center"/>
      </w:pPr>
      <w:r>
        <w:rPr>
          <w:rFonts w:ascii="Times New Roman" w:hAnsi="Times New Roman"/>
          <w:b/>
          <w:sz w:val="26"/>
        </w:rPr>
        <w:t>Факултет техничких наука</w:t>
      </w:r>
    </w:p>
    <w:p>
      <w:pPr>
        <w:spacing w:after="80"/>
        <w:ind w:firstLine="0"/>
        <w:jc w:val="center"/>
      </w:pPr>
      <w:r>
        <w:rPr>
          <w:rFonts w:ascii="Times New Roman" w:hAnsi="Times New Roman"/>
          <w:b/>
          <w:sz w:val="26"/>
        </w:rPr>
        <w:t>Нови Сад</w:t>
      </w:r>
    </w:p>
    <w:p>
      <w:pPr>
        <w:spacing w:after="80"/>
        <w:ind w:firstLine="0"/>
        <w:jc w:val="center"/>
      </w:pPr>
    </w:p>
    <w:p>
      <w:pPr>
        <w:spacing w:after="80"/>
        <w:ind w:firstLine="0"/>
        <w:jc w:val="center"/>
      </w:pPr>
      <w:r>
        <w:rPr>
          <w:rFonts w:ascii="Times New Roman" w:hAnsi="Times New Roman"/>
          <w:b w:val="0"/>
          <w:sz w:val="22"/>
        </w:rPr>
        <w:t>Одсек/смјер/усмјерење: Енергетика, електроника и телекомуникације / Embedded системи и алгоритми</w:t>
      </w:r>
    </w:p>
    <w:p>
      <w:pPr>
        <w:spacing w:after="0" w:line="240" w:lineRule="exact"/>
      </w:pPr>
    </w:p>
    <w:p>
      <w:pPr>
        <w:spacing w:after="0" w:line="240" w:lineRule="exact"/>
      </w:pPr>
    </w:p>
    <w:p>
      <w:pPr>
        <w:spacing w:after="0" w:line="240" w:lineRule="exact"/>
      </w:pPr>
    </w:p>
    <w:p>
      <w:pPr>
        <w:spacing w:after="0" w:line="240" w:lineRule="exact"/>
      </w:pPr>
    </w:p>
    <w:p>
      <w:pPr>
        <w:spacing w:after="80"/>
        <w:ind w:firstLine="0"/>
        <w:jc w:val="center"/>
      </w:pPr>
      <w:r>
        <w:rPr>
          <w:rFonts w:ascii="Times New Roman" w:hAnsi="Times New Roman"/>
          <w:b/>
          <w:sz w:val="32"/>
        </w:rPr>
        <w:t>МАСТЕР РАД</w:t>
      </w:r>
    </w:p>
    <w:p>
      <w:pPr>
        <w:spacing w:after="0" w:line="240" w:lineRule="exact"/>
      </w:pPr>
    </w:p>
    <w:p>
      <w:pPr>
        <w:spacing w:after="0" w:line="240" w:lineRule="exact"/>
      </w:pPr>
    </w:p>
    <w:p>
      <w:pPr>
        <w:spacing w:after="0" w:line="240" w:lineRule="exact"/>
      </w:pPr>
    </w:p>
    <w:p>
      <w:pPr>
        <w:spacing w:after="80"/>
        <w:ind w:firstLine="0"/>
        <w:jc w:val="center"/>
      </w:pPr>
      <w:r>
        <w:rPr>
          <w:rFonts w:ascii="Times New Roman" w:hAnsi="Times New Roman"/>
          <w:b w:val="0"/>
          <w:sz w:val="24"/>
        </w:rPr>
        <w:t>Кандидат: Михајло Живковић</w:t>
      </w:r>
    </w:p>
    <w:p>
      <w:pPr>
        <w:spacing w:after="80"/>
        <w:ind w:firstLine="0"/>
        <w:jc w:val="center"/>
      </w:pPr>
      <w:r>
        <w:rPr>
          <w:rFonts w:ascii="Times New Roman" w:hAnsi="Times New Roman"/>
          <w:b w:val="0"/>
          <w:sz w:val="24"/>
        </w:rPr>
        <w:t>Број индекса: E1 80/2024</w:t>
      </w:r>
    </w:p>
    <w:p>
      <w:pPr>
        <w:spacing w:after="80"/>
        <w:ind w:firstLine="0"/>
        <w:jc w:val="center"/>
      </w:pPr>
    </w:p>
    <w:p>
      <w:pPr>
        <w:spacing w:after="80"/>
        <w:ind w:firstLine="0"/>
        <w:jc w:val="center"/>
      </w:pPr>
      <w:r>
        <w:rPr>
          <w:rFonts w:ascii="Times New Roman" w:hAnsi="Times New Roman"/>
          <w:b w:val="0"/>
          <w:sz w:val="24"/>
        </w:rPr>
        <w:t>Тема рада: Ненадгледана детекција аномалија звука машина на микроконтролеру ESP32-S3 са самокалибрацијом на лицу мјеста</w:t>
      </w:r>
    </w:p>
    <w:p>
      <w:pPr>
        <w:spacing w:after="80"/>
        <w:ind w:firstLine="0"/>
        <w:jc w:val="center"/>
      </w:pPr>
    </w:p>
    <w:p>
      <w:pPr>
        <w:spacing w:after="80"/>
        <w:ind w:firstLine="0"/>
        <w:jc w:val="center"/>
      </w:pPr>
      <w:r>
        <w:rPr>
          <w:rFonts w:ascii="Times New Roman" w:hAnsi="Times New Roman"/>
          <w:b w:val="0"/>
          <w:sz w:val="24"/>
        </w:rPr>
        <w:t>Ментор рада: проф. др Иван Мезеи, ред. проф.</w:t>
      </w:r>
    </w:p>
    <w:p>
      <w:pPr>
        <w:spacing w:after="0" w:line="240" w:lineRule="exact"/>
      </w:pPr>
    </w:p>
    <w:p>
      <w:pPr>
        <w:spacing w:after="0" w:line="240" w:lineRule="exact"/>
      </w:pPr>
    </w:p>
    <w:p>
      <w:pPr>
        <w:spacing w:after="0" w:line="240" w:lineRule="exact"/>
      </w:pPr>
    </w:p>
    <w:p>
      <w:pPr>
        <w:spacing w:after="0" w:line="240" w:lineRule="exact"/>
      </w:pPr>
    </w:p>
    <w:p>
      <w:pPr>
        <w:spacing w:after="0" w:line="240" w:lineRule="exact"/>
      </w:pPr>
    </w:p>
    <w:p>
      <w:pPr>
        <w:spacing w:after="0" w:line="240" w:lineRule="exact"/>
      </w:pPr>
    </w:p>
    <w:p>
      <w:pPr>
        <w:spacing w:after="80"/>
        <w:ind w:firstLine="0"/>
        <w:jc w:val="center"/>
      </w:pPr>
      <w:r>
        <w:rPr>
          <w:rFonts w:ascii="Times New Roman" w:hAnsi="Times New Roman"/>
          <w:b w:val="0"/>
          <w:sz w:val="22"/>
        </w:rPr>
        <w:t>Мјесто и датум:</w:t>
      </w:r>
    </w:p>
    <w:p>
      <w:pPr>
        <w:spacing w:after="80"/>
        <w:ind w:firstLine="0"/>
        <w:jc w:val="center"/>
      </w:pPr>
      <w:r>
        <w:rPr>
          <w:rFonts w:ascii="Times New Roman" w:hAnsi="Times New Roman"/>
          <w:b w:val="0"/>
          <w:sz w:val="22"/>
        </w:rPr>
        <w:t>Нови Сад, 2026.</w:t>
      </w:r>
    </w:p>
    <w:p>
      <w:pPr>
        <w:spacing w:before="0" w:after="0" w:line="20" w:lineRule="exact"/>
      </w:pPr>
      <w:r>
        <w:rPr>
          <w:sz w:val="2"/>
        </w:rPr>
        <w:br w:type="page"/>
      </w:r>
    </w:p>
    <w:p>
      <w:pPr>
        <w:spacing w:after="80"/>
        <w:ind w:firstLine="0"/>
        <w:jc w:val="center"/>
      </w:pPr>
      <w:r>
        <w:rPr>
          <w:rFonts w:ascii="Times New Roman" w:hAnsi="Times New Roman"/>
          <w:b/>
          <w:sz w:val="26"/>
        </w:rPr>
        <w:t>КЉУЧНА ДОКУМЕНТАЦИЈСКА ИНФОРМАЦИЈА</w:t>
      </w:r>
    </w:p>
    <w:p>
      <w:pPr>
        <w:spacing w:after="0" w:line="240" w:lineRule="exact"/>
      </w:pPr>
    </w:p>
    <w:tbl>
      <w:tblPr>
        <w:tblStyle w:val="TableGrid"/>
        <w:tblW w:type="auto" w:w="0"/>
        <w:tblLayout w:type="fixed"/>
        <w:tblLook w:firstColumn="1" w:firstRow="1" w:lastColumn="0" w:lastRow="0" w:noHBand="0" w:noVBand="1" w:val="04A0"/>
      </w:tblPr>
      <w:tblGrid>
        <w:gridCol w:w="3402"/>
        <w:gridCol w:w="5386"/>
      </w:tblGrid>
      <w:tr>
        <w:tc>
          <w:tcPr>
            <w:tcW w:type="dxa" w:w="3402"/>
          </w:tcPr>
          <w:p>
            <w:pPr>
              <w:spacing w:after="0" w:line="240" w:lineRule="auto"/>
              <w:ind w:firstLine="0"/>
            </w:pPr>
            <w:r>
              <w:rPr>
                <w:rFonts w:ascii="Times New Roman" w:hAnsi="Times New Roman"/>
                <w:b/>
                <w:sz w:val="20"/>
              </w:rPr>
              <w:t>Редни број, RBR:</w:t>
            </w:r>
          </w:p>
        </w:tc>
        <w:tc>
          <w:tcPr>
            <w:tcW w:type="dxa" w:w="5386"/>
          </w:tcPr>
          <w:p>
            <w:pPr>
              <w:spacing w:after="0" w:line="240" w:lineRule="auto"/>
              <w:ind w:firstLine="0"/>
            </w:pPr>
          </w:p>
        </w:tc>
      </w:tr>
      <w:tr>
        <w:tc>
          <w:tcPr>
            <w:tcW w:type="dxa" w:w="3402"/>
          </w:tcPr>
          <w:p>
            <w:pPr>
              <w:spacing w:after="0" w:line="240" w:lineRule="auto"/>
              <w:ind w:firstLine="0"/>
            </w:pPr>
            <w:r>
              <w:rPr>
                <w:rFonts w:ascii="Times New Roman" w:hAnsi="Times New Roman"/>
                <w:b/>
                <w:sz w:val="20"/>
              </w:rPr>
              <w:t>Идентификациони број, IBR:</w:t>
            </w:r>
          </w:p>
        </w:tc>
        <w:tc>
          <w:tcPr>
            <w:tcW w:type="dxa" w:w="5386"/>
          </w:tcPr>
          <w:p>
            <w:pPr>
              <w:spacing w:after="0" w:line="240" w:lineRule="auto"/>
              <w:ind w:firstLine="0"/>
            </w:pPr>
          </w:p>
        </w:tc>
      </w:tr>
      <w:tr>
        <w:tc>
          <w:tcPr>
            <w:tcW w:type="dxa" w:w="3402"/>
          </w:tcPr>
          <w:p>
            <w:pPr>
              <w:spacing w:after="0" w:line="240" w:lineRule="auto"/>
              <w:ind w:firstLine="0"/>
            </w:pPr>
            <w:r>
              <w:rPr>
                <w:rFonts w:ascii="Times New Roman" w:hAnsi="Times New Roman"/>
                <w:b/>
                <w:sz w:val="20"/>
              </w:rPr>
              <w:t>Тип документације, TD:</w:t>
            </w:r>
          </w:p>
        </w:tc>
        <w:tc>
          <w:tcPr>
            <w:tcW w:type="dxa" w:w="5386"/>
          </w:tcPr>
          <w:p>
            <w:pPr>
              <w:spacing w:after="0" w:line="240" w:lineRule="auto"/>
              <w:ind w:firstLine="0"/>
            </w:pPr>
            <w:r>
              <w:rPr>
                <w:rFonts w:ascii="Times New Roman" w:hAnsi="Times New Roman"/>
                <w:b w:val="0"/>
                <w:sz w:val="20"/>
              </w:rPr>
              <w:t>Монографска документација</w:t>
            </w:r>
          </w:p>
        </w:tc>
      </w:tr>
      <w:tr>
        <w:tc>
          <w:tcPr>
            <w:tcW w:type="dxa" w:w="3402"/>
          </w:tcPr>
          <w:p>
            <w:pPr>
              <w:spacing w:after="0" w:line="240" w:lineRule="auto"/>
              <w:ind w:firstLine="0"/>
            </w:pPr>
            <w:r>
              <w:rPr>
                <w:rFonts w:ascii="Times New Roman" w:hAnsi="Times New Roman"/>
                <w:b/>
                <w:sz w:val="20"/>
              </w:rPr>
              <w:t>Тип записа, TZ:</w:t>
            </w:r>
          </w:p>
        </w:tc>
        <w:tc>
          <w:tcPr>
            <w:tcW w:type="dxa" w:w="5386"/>
          </w:tcPr>
          <w:p>
            <w:pPr>
              <w:spacing w:after="0" w:line="240" w:lineRule="auto"/>
              <w:ind w:firstLine="0"/>
            </w:pPr>
            <w:r>
              <w:rPr>
                <w:rFonts w:ascii="Times New Roman" w:hAnsi="Times New Roman"/>
                <w:b w:val="0"/>
                <w:sz w:val="20"/>
              </w:rPr>
              <w:t>Текстуални штампани материјал</w:t>
            </w:r>
          </w:p>
        </w:tc>
      </w:tr>
      <w:tr>
        <w:tc>
          <w:tcPr>
            <w:tcW w:type="dxa" w:w="3402"/>
          </w:tcPr>
          <w:p>
            <w:pPr>
              <w:spacing w:after="0" w:line="240" w:lineRule="auto"/>
              <w:ind w:firstLine="0"/>
            </w:pPr>
            <w:r>
              <w:rPr>
                <w:rFonts w:ascii="Times New Roman" w:hAnsi="Times New Roman"/>
                <w:b/>
                <w:sz w:val="20"/>
              </w:rPr>
              <w:t>Врста рада, VR:</w:t>
            </w:r>
          </w:p>
        </w:tc>
        <w:tc>
          <w:tcPr>
            <w:tcW w:type="dxa" w:w="5386"/>
          </w:tcPr>
          <w:p>
            <w:pPr>
              <w:spacing w:after="0" w:line="240" w:lineRule="auto"/>
              <w:ind w:firstLine="0"/>
            </w:pPr>
            <w:r>
              <w:rPr>
                <w:rFonts w:ascii="Times New Roman" w:hAnsi="Times New Roman"/>
                <w:b w:val="0"/>
                <w:sz w:val="20"/>
              </w:rPr>
              <w:t>Мастер рад</w:t>
            </w:r>
          </w:p>
        </w:tc>
      </w:tr>
      <w:tr>
        <w:tc>
          <w:tcPr>
            <w:tcW w:type="dxa" w:w="3402"/>
          </w:tcPr>
          <w:p>
            <w:pPr>
              <w:spacing w:after="0" w:line="240" w:lineRule="auto"/>
              <w:ind w:firstLine="0"/>
            </w:pPr>
            <w:r>
              <w:rPr>
                <w:rFonts w:ascii="Times New Roman" w:hAnsi="Times New Roman"/>
                <w:b/>
                <w:sz w:val="20"/>
              </w:rPr>
              <w:t>Аутор, AU:</w:t>
            </w:r>
          </w:p>
        </w:tc>
        <w:tc>
          <w:tcPr>
            <w:tcW w:type="dxa" w:w="5386"/>
          </w:tcPr>
          <w:p>
            <w:pPr>
              <w:spacing w:after="0" w:line="240" w:lineRule="auto"/>
              <w:ind w:firstLine="0"/>
            </w:pPr>
            <w:r>
              <w:rPr>
                <w:rFonts w:ascii="Times New Roman" w:hAnsi="Times New Roman"/>
                <w:b w:val="0"/>
                <w:sz w:val="20"/>
              </w:rPr>
              <w:t>Михајло Живковић</w:t>
            </w:r>
          </w:p>
        </w:tc>
      </w:tr>
      <w:tr>
        <w:tc>
          <w:tcPr>
            <w:tcW w:type="dxa" w:w="3402"/>
          </w:tcPr>
          <w:p>
            <w:pPr>
              <w:spacing w:after="0" w:line="240" w:lineRule="auto"/>
              <w:ind w:firstLine="0"/>
            </w:pPr>
            <w:r>
              <w:rPr>
                <w:rFonts w:ascii="Times New Roman" w:hAnsi="Times New Roman"/>
                <w:b/>
                <w:sz w:val="20"/>
              </w:rPr>
              <w:t>Ментор, MN:</w:t>
            </w:r>
          </w:p>
        </w:tc>
        <w:tc>
          <w:tcPr>
            <w:tcW w:type="dxa" w:w="5386"/>
          </w:tcPr>
          <w:p>
            <w:pPr>
              <w:spacing w:after="0" w:line="240" w:lineRule="auto"/>
              <w:ind w:firstLine="0"/>
            </w:pPr>
            <w:r>
              <w:rPr>
                <w:rFonts w:ascii="Times New Roman" w:hAnsi="Times New Roman"/>
                <w:b w:val="0"/>
                <w:sz w:val="20"/>
              </w:rPr>
              <w:t>проф. др Иван Мезеи, ред. проф.</w:t>
            </w:r>
          </w:p>
        </w:tc>
      </w:tr>
      <w:tr>
        <w:tc>
          <w:tcPr>
            <w:tcW w:type="dxa" w:w="3402"/>
          </w:tcPr>
          <w:p>
            <w:pPr>
              <w:spacing w:after="0" w:line="240" w:lineRule="auto"/>
              <w:ind w:firstLine="0"/>
            </w:pPr>
            <w:r>
              <w:rPr>
                <w:rFonts w:ascii="Times New Roman" w:hAnsi="Times New Roman"/>
                <w:b/>
                <w:sz w:val="20"/>
              </w:rPr>
              <w:t>Наслов рада, NR:</w:t>
            </w:r>
          </w:p>
        </w:tc>
        <w:tc>
          <w:tcPr>
            <w:tcW w:type="dxa" w:w="5386"/>
          </w:tcPr>
          <w:p>
            <w:pPr>
              <w:spacing w:after="0" w:line="240" w:lineRule="auto"/>
              <w:ind w:firstLine="0"/>
            </w:pPr>
            <w:r>
              <w:rPr>
                <w:rFonts w:ascii="Times New Roman" w:hAnsi="Times New Roman"/>
                <w:b w:val="0"/>
                <w:sz w:val="20"/>
              </w:rPr>
              <w:t>Ненадгледана детекција аномалија звука машина на микроконтролеру ESP32-S3 са самокалибрацијом на лицу мјеста</w:t>
            </w:r>
          </w:p>
        </w:tc>
      </w:tr>
      <w:tr>
        <w:tc>
          <w:tcPr>
            <w:tcW w:type="dxa" w:w="3402"/>
          </w:tcPr>
          <w:p>
            <w:pPr>
              <w:spacing w:after="0" w:line="240" w:lineRule="auto"/>
              <w:ind w:firstLine="0"/>
            </w:pPr>
            <w:r>
              <w:rPr>
                <w:rFonts w:ascii="Times New Roman" w:hAnsi="Times New Roman"/>
                <w:b/>
                <w:sz w:val="20"/>
              </w:rPr>
              <w:t>Језик публикације, JP:</w:t>
            </w:r>
          </w:p>
        </w:tc>
        <w:tc>
          <w:tcPr>
            <w:tcW w:type="dxa" w:w="5386"/>
          </w:tcPr>
          <w:p>
            <w:pPr>
              <w:spacing w:after="0" w:line="240" w:lineRule="auto"/>
              <w:ind w:firstLine="0"/>
            </w:pPr>
            <w:r>
              <w:rPr>
                <w:rFonts w:ascii="Times New Roman" w:hAnsi="Times New Roman"/>
                <w:b w:val="0"/>
                <w:sz w:val="20"/>
              </w:rPr>
              <w:t>српски</w:t>
            </w:r>
          </w:p>
        </w:tc>
      </w:tr>
      <w:tr>
        <w:tc>
          <w:tcPr>
            <w:tcW w:type="dxa" w:w="3402"/>
          </w:tcPr>
          <w:p>
            <w:pPr>
              <w:spacing w:after="0" w:line="240" w:lineRule="auto"/>
              <w:ind w:firstLine="0"/>
            </w:pPr>
            <w:r>
              <w:rPr>
                <w:rFonts w:ascii="Times New Roman" w:hAnsi="Times New Roman"/>
                <w:b/>
                <w:sz w:val="20"/>
              </w:rPr>
              <w:t>Језик извода, JI:</w:t>
            </w:r>
          </w:p>
        </w:tc>
        <w:tc>
          <w:tcPr>
            <w:tcW w:type="dxa" w:w="5386"/>
          </w:tcPr>
          <w:p>
            <w:pPr>
              <w:spacing w:after="0" w:line="240" w:lineRule="auto"/>
              <w:ind w:firstLine="0"/>
            </w:pPr>
            <w:r>
              <w:rPr>
                <w:rFonts w:ascii="Times New Roman" w:hAnsi="Times New Roman"/>
                <w:b w:val="0"/>
                <w:sz w:val="20"/>
              </w:rPr>
              <w:t>српски / енглески</w:t>
            </w:r>
          </w:p>
        </w:tc>
      </w:tr>
      <w:tr>
        <w:tc>
          <w:tcPr>
            <w:tcW w:type="dxa" w:w="3402"/>
          </w:tcPr>
          <w:p>
            <w:pPr>
              <w:spacing w:after="0" w:line="240" w:lineRule="auto"/>
              <w:ind w:firstLine="0"/>
            </w:pPr>
            <w:r>
              <w:rPr>
                <w:rFonts w:ascii="Times New Roman" w:hAnsi="Times New Roman"/>
                <w:b/>
                <w:sz w:val="20"/>
              </w:rPr>
              <w:t>Земља публиковања, ZP:</w:t>
            </w:r>
          </w:p>
        </w:tc>
        <w:tc>
          <w:tcPr>
            <w:tcW w:type="dxa" w:w="5386"/>
          </w:tcPr>
          <w:p>
            <w:pPr>
              <w:spacing w:after="0" w:line="240" w:lineRule="auto"/>
              <w:ind w:firstLine="0"/>
            </w:pPr>
            <w:r>
              <w:rPr>
                <w:rFonts w:ascii="Times New Roman" w:hAnsi="Times New Roman"/>
                <w:b w:val="0"/>
                <w:sz w:val="20"/>
              </w:rPr>
              <w:t>Република Србија</w:t>
            </w:r>
          </w:p>
        </w:tc>
      </w:tr>
      <w:tr>
        <w:tc>
          <w:tcPr>
            <w:tcW w:type="dxa" w:w="3402"/>
          </w:tcPr>
          <w:p>
            <w:pPr>
              <w:spacing w:after="0" w:line="240" w:lineRule="auto"/>
              <w:ind w:firstLine="0"/>
            </w:pPr>
            <w:r>
              <w:rPr>
                <w:rFonts w:ascii="Times New Roman" w:hAnsi="Times New Roman"/>
                <w:b/>
                <w:sz w:val="20"/>
              </w:rPr>
              <w:t>Уже географско подручје, UGP:</w:t>
            </w:r>
          </w:p>
        </w:tc>
        <w:tc>
          <w:tcPr>
            <w:tcW w:type="dxa" w:w="5386"/>
          </w:tcPr>
          <w:p>
            <w:pPr>
              <w:spacing w:after="0" w:line="240" w:lineRule="auto"/>
              <w:ind w:firstLine="0"/>
            </w:pPr>
            <w:r>
              <w:rPr>
                <w:rFonts w:ascii="Times New Roman" w:hAnsi="Times New Roman"/>
                <w:b w:val="0"/>
                <w:sz w:val="20"/>
              </w:rPr>
              <w:t>Војводина</w:t>
            </w:r>
          </w:p>
        </w:tc>
      </w:tr>
      <w:tr>
        <w:tc>
          <w:tcPr>
            <w:tcW w:type="dxa" w:w="3402"/>
          </w:tcPr>
          <w:p>
            <w:pPr>
              <w:spacing w:after="0" w:line="240" w:lineRule="auto"/>
              <w:ind w:firstLine="0"/>
            </w:pPr>
            <w:r>
              <w:rPr>
                <w:rFonts w:ascii="Times New Roman" w:hAnsi="Times New Roman"/>
                <w:b/>
                <w:sz w:val="20"/>
              </w:rPr>
              <w:t>Година, GO:</w:t>
            </w:r>
          </w:p>
        </w:tc>
        <w:tc>
          <w:tcPr>
            <w:tcW w:type="dxa" w:w="5386"/>
          </w:tcPr>
          <w:p>
            <w:pPr>
              <w:spacing w:after="0" w:line="240" w:lineRule="auto"/>
              <w:ind w:firstLine="0"/>
            </w:pPr>
            <w:r>
              <w:rPr>
                <w:rFonts w:ascii="Times New Roman" w:hAnsi="Times New Roman"/>
                <w:b w:val="0"/>
                <w:sz w:val="20"/>
              </w:rPr>
              <w:t>2026</w:t>
            </w:r>
          </w:p>
        </w:tc>
      </w:tr>
      <w:tr>
        <w:tc>
          <w:tcPr>
            <w:tcW w:type="dxa" w:w="3402"/>
          </w:tcPr>
          <w:p>
            <w:pPr>
              <w:spacing w:after="0" w:line="240" w:lineRule="auto"/>
              <w:ind w:firstLine="0"/>
            </w:pPr>
            <w:r>
              <w:rPr>
                <w:rFonts w:ascii="Times New Roman" w:hAnsi="Times New Roman"/>
                <w:b/>
                <w:sz w:val="20"/>
              </w:rPr>
              <w:t>Издавач, IZ:</w:t>
            </w:r>
          </w:p>
        </w:tc>
        <w:tc>
          <w:tcPr>
            <w:tcW w:type="dxa" w:w="5386"/>
          </w:tcPr>
          <w:p>
            <w:pPr>
              <w:spacing w:after="0" w:line="240" w:lineRule="auto"/>
              <w:ind w:firstLine="0"/>
            </w:pPr>
            <w:r>
              <w:rPr>
                <w:rFonts w:ascii="Times New Roman" w:hAnsi="Times New Roman"/>
                <w:b w:val="0"/>
                <w:sz w:val="20"/>
              </w:rPr>
              <w:t>Ауторски репринт</w:t>
            </w:r>
          </w:p>
        </w:tc>
      </w:tr>
      <w:tr>
        <w:tc>
          <w:tcPr>
            <w:tcW w:type="dxa" w:w="3402"/>
          </w:tcPr>
          <w:p>
            <w:pPr>
              <w:spacing w:after="0" w:line="240" w:lineRule="auto"/>
              <w:ind w:firstLine="0"/>
            </w:pPr>
            <w:r>
              <w:rPr>
                <w:rFonts w:ascii="Times New Roman" w:hAnsi="Times New Roman"/>
                <w:b/>
                <w:sz w:val="20"/>
              </w:rPr>
              <w:t>Мјесто и адреса, MA:</w:t>
            </w:r>
          </w:p>
        </w:tc>
        <w:tc>
          <w:tcPr>
            <w:tcW w:type="dxa" w:w="5386"/>
          </w:tcPr>
          <w:p>
            <w:pPr>
              <w:spacing w:after="0" w:line="240" w:lineRule="auto"/>
              <w:ind w:firstLine="0"/>
            </w:pPr>
            <w:r>
              <w:rPr>
                <w:rFonts w:ascii="Times New Roman" w:hAnsi="Times New Roman"/>
                <w:b w:val="0"/>
                <w:sz w:val="20"/>
              </w:rPr>
              <w:t>Нови Сад, Факултет техничких наука, Трг Доситеја Обрадовића 6</w:t>
            </w:r>
          </w:p>
        </w:tc>
      </w:tr>
      <w:tr>
        <w:tc>
          <w:tcPr>
            <w:tcW w:type="dxa" w:w="3402"/>
          </w:tcPr>
          <w:p>
            <w:pPr>
              <w:spacing w:after="0" w:line="240" w:lineRule="auto"/>
              <w:ind w:firstLine="0"/>
            </w:pPr>
            <w:r>
              <w:rPr>
                <w:rFonts w:ascii="Times New Roman" w:hAnsi="Times New Roman"/>
                <w:b/>
                <w:sz w:val="20"/>
              </w:rPr>
              <w:t>Физички опис рада, FO:</w:t>
            </w:r>
          </w:p>
        </w:tc>
        <w:tc>
          <w:tcPr>
            <w:tcW w:type="dxa" w:w="5386"/>
          </w:tcPr>
          <w:p>
            <w:pPr>
              <w:spacing w:after="0" w:line="240" w:lineRule="auto"/>
              <w:ind w:firstLine="0"/>
            </w:pPr>
            <w:r>
              <w:rPr>
                <w:rFonts w:ascii="Times New Roman" w:hAnsi="Times New Roman"/>
                <w:b w:val="0"/>
                <w:sz w:val="20"/>
              </w:rPr>
              <w:t xml:space="preserve">9 поглавља / </w:t>
            </w:r>
            <w:r>
              <w:fldChar w:fldCharType="begin"/>
              <w:instrText xml:space="preserve">NUMPAGES</w:instrText>
              <w:fldChar w:fldCharType="separate"/>
              <w:fldChar w:fldCharType="end"/>
            </w:r>
            <w:r>
              <w:rPr>
                <w:rFonts w:ascii="Times New Roman" w:hAnsi="Times New Roman"/>
                <w:b w:val="0"/>
                <w:sz w:val="20"/>
              </w:rPr>
              <w:t xml:space="preserve"> страна / 12 цитата / 20 табела / 6 слика / 0 графика / 3 прилога</w:t>
            </w:r>
          </w:p>
        </w:tc>
      </w:tr>
      <w:tr>
        <w:tc>
          <w:tcPr>
            <w:tcW w:type="dxa" w:w="3402"/>
          </w:tcPr>
          <w:p>
            <w:pPr>
              <w:spacing w:after="0" w:line="240" w:lineRule="auto"/>
              <w:ind w:firstLine="0"/>
            </w:pPr>
            <w:r>
              <w:rPr>
                <w:rFonts w:ascii="Times New Roman" w:hAnsi="Times New Roman"/>
                <w:b/>
                <w:sz w:val="20"/>
              </w:rPr>
              <w:t>Научна област, NO:</w:t>
            </w:r>
          </w:p>
        </w:tc>
        <w:tc>
          <w:tcPr>
            <w:tcW w:type="dxa" w:w="5386"/>
          </w:tcPr>
          <w:p>
            <w:pPr>
              <w:spacing w:after="0" w:line="240" w:lineRule="auto"/>
              <w:ind w:firstLine="0"/>
            </w:pPr>
            <w:r>
              <w:rPr>
                <w:rFonts w:ascii="Times New Roman" w:hAnsi="Times New Roman"/>
                <w:b w:val="0"/>
                <w:sz w:val="20"/>
              </w:rPr>
              <w:t>Електротехника и рачунарство</w:t>
            </w:r>
          </w:p>
        </w:tc>
      </w:tr>
      <w:tr>
        <w:tc>
          <w:tcPr>
            <w:tcW w:type="dxa" w:w="3402"/>
          </w:tcPr>
          <w:p>
            <w:pPr>
              <w:spacing w:after="0" w:line="240" w:lineRule="auto"/>
              <w:ind w:firstLine="0"/>
            </w:pPr>
            <w:r>
              <w:rPr>
                <w:rFonts w:ascii="Times New Roman" w:hAnsi="Times New Roman"/>
                <w:b/>
                <w:sz w:val="20"/>
              </w:rPr>
              <w:t>Научна дисциплина, ND:</w:t>
            </w:r>
          </w:p>
        </w:tc>
        <w:tc>
          <w:tcPr>
            <w:tcW w:type="dxa" w:w="5386"/>
          </w:tcPr>
          <w:p>
            <w:pPr>
              <w:spacing w:after="0" w:line="240" w:lineRule="auto"/>
              <w:ind w:firstLine="0"/>
            </w:pPr>
            <w:r>
              <w:rPr>
                <w:rFonts w:ascii="Times New Roman" w:hAnsi="Times New Roman"/>
                <w:b w:val="0"/>
                <w:sz w:val="20"/>
              </w:rPr>
              <w:t>Електроника и уграђени системи</w:t>
            </w:r>
          </w:p>
        </w:tc>
      </w:tr>
      <w:tr>
        <w:tc>
          <w:tcPr>
            <w:tcW w:type="dxa" w:w="3402"/>
          </w:tcPr>
          <w:p>
            <w:pPr>
              <w:spacing w:after="0" w:line="240" w:lineRule="auto"/>
              <w:ind w:firstLine="0"/>
            </w:pPr>
            <w:r>
              <w:rPr>
                <w:rFonts w:ascii="Times New Roman" w:hAnsi="Times New Roman"/>
                <w:b/>
                <w:sz w:val="20"/>
              </w:rPr>
              <w:t>Предметна одредница / кључне ријечи, PO:</w:t>
            </w:r>
          </w:p>
        </w:tc>
        <w:tc>
          <w:tcPr>
            <w:tcW w:type="dxa" w:w="5386"/>
          </w:tcPr>
          <w:p>
            <w:pPr>
              <w:spacing w:after="0" w:line="240" w:lineRule="auto"/>
              <w:ind w:firstLine="0"/>
            </w:pPr>
            <w:r>
              <w:rPr>
                <w:rFonts w:ascii="Times New Roman" w:hAnsi="Times New Roman"/>
                <w:b w:val="0"/>
                <w:sz w:val="20"/>
              </w:rPr>
              <w:t>детекција аномалија звука; ненадгледано учење; уграђени системи; ESP32-S3; Махаланобисова удаљеност; спектрална густина снаге; предиктивно одржавање</w:t>
            </w:r>
          </w:p>
        </w:tc>
      </w:tr>
      <w:tr>
        <w:tc>
          <w:tcPr>
            <w:tcW w:type="dxa" w:w="3402"/>
          </w:tcPr>
          <w:p>
            <w:pPr>
              <w:spacing w:after="0" w:line="240" w:lineRule="auto"/>
              <w:ind w:firstLine="0"/>
            </w:pPr>
            <w:r>
              <w:rPr>
                <w:rFonts w:ascii="Times New Roman" w:hAnsi="Times New Roman"/>
                <w:b/>
                <w:sz w:val="20"/>
              </w:rPr>
              <w:t>UDK</w:t>
            </w:r>
          </w:p>
        </w:tc>
        <w:tc>
          <w:tcPr>
            <w:tcW w:type="dxa" w:w="5386"/>
          </w:tcPr>
          <w:p>
            <w:pPr>
              <w:spacing w:after="0" w:line="240" w:lineRule="auto"/>
              <w:ind w:firstLine="0"/>
            </w:pPr>
          </w:p>
        </w:tc>
      </w:tr>
      <w:tr>
        <w:tc>
          <w:tcPr>
            <w:tcW w:type="dxa" w:w="3402"/>
          </w:tcPr>
          <w:p>
            <w:pPr>
              <w:spacing w:after="0" w:line="240" w:lineRule="auto"/>
              <w:ind w:firstLine="0"/>
            </w:pPr>
            <w:r>
              <w:rPr>
                <w:rFonts w:ascii="Times New Roman" w:hAnsi="Times New Roman"/>
                <w:b/>
                <w:sz w:val="20"/>
              </w:rPr>
              <w:t>Чува се, ČU:</w:t>
            </w:r>
          </w:p>
        </w:tc>
        <w:tc>
          <w:tcPr>
            <w:tcW w:type="dxa" w:w="5386"/>
          </w:tcPr>
          <w:p>
            <w:pPr>
              <w:spacing w:after="0" w:line="240" w:lineRule="auto"/>
              <w:ind w:firstLine="0"/>
            </w:pPr>
            <w:r>
              <w:rPr>
                <w:rFonts w:ascii="Times New Roman" w:hAnsi="Times New Roman"/>
                <w:b w:val="0"/>
                <w:sz w:val="20"/>
              </w:rPr>
              <w:t>У библиотеци Факултета техничких наука, Нови Сад</w:t>
            </w:r>
          </w:p>
        </w:tc>
      </w:tr>
      <w:tr>
        <w:tc>
          <w:tcPr>
            <w:tcW w:type="dxa" w:w="3402"/>
          </w:tcPr>
          <w:p>
            <w:pPr>
              <w:spacing w:after="0" w:line="240" w:lineRule="auto"/>
              <w:ind w:firstLine="0"/>
            </w:pPr>
            <w:r>
              <w:rPr>
                <w:rFonts w:ascii="Times New Roman" w:hAnsi="Times New Roman"/>
                <w:b/>
                <w:sz w:val="20"/>
              </w:rPr>
              <w:t>Важна напомена, VN:</w:t>
            </w:r>
          </w:p>
        </w:tc>
        <w:tc>
          <w:tcPr>
            <w:tcW w:type="dxa" w:w="5386"/>
          </w:tcPr>
          <w:p>
            <w:pPr>
              <w:spacing w:after="0" w:line="240" w:lineRule="auto"/>
              <w:ind w:firstLine="0"/>
            </w:pPr>
          </w:p>
        </w:tc>
      </w:tr>
      <w:tr>
        <w:tc>
          <w:tcPr>
            <w:tcW w:type="dxa" w:w="3402"/>
          </w:tcPr>
          <w:p>
            <w:pPr>
              <w:spacing w:after="0" w:line="240" w:lineRule="auto"/>
              <w:ind w:firstLine="0"/>
            </w:pPr>
            <w:r>
              <w:rPr>
                <w:rFonts w:ascii="Times New Roman" w:hAnsi="Times New Roman"/>
                <w:b/>
                <w:sz w:val="20"/>
              </w:rPr>
              <w:t>Извод, IZ:</w:t>
            </w:r>
          </w:p>
        </w:tc>
        <w:tc>
          <w:tcPr>
            <w:tcW w:type="dxa" w:w="5386"/>
          </w:tcPr>
          <w:p>
            <w:pPr>
              <w:spacing w:after="0" w:line="240" w:lineRule="auto"/>
              <w:ind w:firstLine="0"/>
            </w:pPr>
            <w:r>
              <w:rPr>
                <w:rFonts w:ascii="Times New Roman" w:hAnsi="Times New Roman"/>
                <w:b w:val="0"/>
                <w:sz w:val="20"/>
              </w:rPr>
              <w:t>У раду је реализован прототип за ненадгледану детекцију аномалија звука вентилатора на микроконтролеру ESP32-S3 са једним MEMS микрофоном. Глобални модел учи се из 990 нормалних снимака DCASE 2026, а центар и прагови из нормалног звука конкретне поставке. Користе се 96 логаритамских спектралних трака и квадрирана Махаланобисова удаљеност. Развојни AUC износи 0,856 за десет калибрационих прозора; одвојена референца са двадесет прозора даје 0,867. У двије завршне физичке пробе прихваћени су калибрација и запис телеметрије. Проба тоном даје аларм и трајно одступање, док проба папирићем детектује један од три блока и не пролази задате критерије. Обрада обиљежја и оцјене траје око 716 ms по прозору од 10 s. Нема пријављених губитака узорака, али дугорочна поузданост и детекција потврђених кварова нису утврђене.</w:t>
            </w:r>
          </w:p>
        </w:tc>
      </w:tr>
      <w:tr>
        <w:tc>
          <w:tcPr>
            <w:tcW w:type="dxa" w:w="3402"/>
          </w:tcPr>
          <w:p>
            <w:pPr>
              <w:spacing w:after="0" w:line="240" w:lineRule="auto"/>
              <w:ind w:firstLine="0"/>
            </w:pPr>
            <w:r>
              <w:rPr>
                <w:rFonts w:ascii="Times New Roman" w:hAnsi="Times New Roman"/>
                <w:b/>
                <w:sz w:val="20"/>
              </w:rPr>
              <w:t>Датум прихватања теме, DP:</w:t>
            </w:r>
          </w:p>
        </w:tc>
        <w:tc>
          <w:tcPr>
            <w:tcW w:type="dxa" w:w="5386"/>
          </w:tcPr>
          <w:p>
            <w:pPr>
              <w:spacing w:after="0" w:line="240" w:lineRule="auto"/>
              <w:ind w:firstLine="0"/>
            </w:pPr>
          </w:p>
        </w:tc>
      </w:tr>
      <w:tr>
        <w:tc>
          <w:tcPr>
            <w:tcW w:type="dxa" w:w="3402"/>
          </w:tcPr>
          <w:p>
            <w:pPr>
              <w:spacing w:after="0" w:line="240" w:lineRule="auto"/>
              <w:ind w:firstLine="0"/>
            </w:pPr>
            <w:r>
              <w:rPr>
                <w:rFonts w:ascii="Times New Roman" w:hAnsi="Times New Roman"/>
                <w:b/>
                <w:sz w:val="20"/>
              </w:rPr>
              <w:t>Датум одбране, DO:</w:t>
            </w:r>
          </w:p>
        </w:tc>
        <w:tc>
          <w:tcPr>
            <w:tcW w:type="dxa" w:w="5386"/>
          </w:tcPr>
          <w:p>
            <w:pPr>
              <w:spacing w:after="0" w:line="240" w:lineRule="auto"/>
              <w:ind w:firstLine="0"/>
            </w:pPr>
          </w:p>
        </w:tc>
      </w:tr>
      <w:tr>
        <w:tc>
          <w:tcPr>
            <w:tcW w:type="dxa" w:w="3402"/>
          </w:tcPr>
          <w:p>
            <w:pPr>
              <w:spacing w:after="0" w:line="240" w:lineRule="auto"/>
              <w:ind w:firstLine="0"/>
            </w:pPr>
            <w:r>
              <w:rPr>
                <w:rFonts w:ascii="Times New Roman" w:hAnsi="Times New Roman"/>
                <w:b/>
                <w:sz w:val="20"/>
              </w:rPr>
              <w:t>Чланови комисије, KO:</w:t>
            </w:r>
          </w:p>
        </w:tc>
        <w:tc>
          <w:tcPr>
            <w:tcW w:type="dxa" w:w="5386"/>
          </w:tcPr>
          <w:p>
            <w:pPr>
              <w:spacing w:after="0" w:line="240" w:lineRule="auto"/>
              <w:ind w:firstLine="0"/>
            </w:pPr>
            <w:r>
              <w:rPr>
                <w:rFonts w:ascii="Times New Roman" w:hAnsi="Times New Roman"/>
                <w:b w:val="0"/>
                <w:sz w:val="20"/>
              </w:rPr>
              <w:t>Предсједник: [TODO]</w:t>
            </w:r>
          </w:p>
        </w:tc>
      </w:tr>
      <w:tr>
        <w:tc>
          <w:tcPr>
            <w:tcW w:type="dxa" w:w="3402"/>
          </w:tcPr>
          <w:p>
            <w:pPr>
              <w:spacing w:after="0" w:line="240" w:lineRule="auto"/>
              <w:ind w:firstLine="0"/>
            </w:pPr>
          </w:p>
        </w:tc>
        <w:tc>
          <w:tcPr>
            <w:tcW w:type="dxa" w:w="5386"/>
          </w:tcPr>
          <w:p>
            <w:pPr>
              <w:spacing w:after="0" w:line="240" w:lineRule="auto"/>
              <w:ind w:firstLine="0"/>
            </w:pPr>
            <w:r>
              <w:rPr>
                <w:rFonts w:ascii="Times New Roman" w:hAnsi="Times New Roman"/>
                <w:b w:val="0"/>
                <w:sz w:val="20"/>
              </w:rPr>
              <w:t>Члан: [TODO]</w:t>
            </w:r>
          </w:p>
        </w:tc>
      </w:tr>
      <w:tr>
        <w:tc>
          <w:tcPr>
            <w:tcW w:type="dxa" w:w="3402"/>
          </w:tcPr>
          <w:p>
            <w:pPr>
              <w:spacing w:after="0" w:line="240" w:lineRule="auto"/>
              <w:ind w:firstLine="0"/>
            </w:pPr>
          </w:p>
        </w:tc>
        <w:tc>
          <w:tcPr>
            <w:tcW w:type="dxa" w:w="5386"/>
          </w:tcPr>
          <w:p>
            <w:pPr>
              <w:spacing w:after="0" w:line="240" w:lineRule="auto"/>
              <w:ind w:firstLine="0"/>
            </w:pPr>
            <w:r>
              <w:rPr>
                <w:rFonts w:ascii="Times New Roman" w:hAnsi="Times New Roman"/>
                <w:b w:val="0"/>
                <w:sz w:val="20"/>
              </w:rPr>
              <w:t>Члан, ментор: проф. др Иван Мезеи, ред. проф.</w:t>
            </w:r>
          </w:p>
        </w:tc>
      </w:tr>
      <w:tr>
        <w:tc>
          <w:tcPr>
            <w:tcW w:type="dxa" w:w="3402"/>
          </w:tcPr>
          <w:p>
            <w:pPr>
              <w:spacing w:after="0" w:line="240" w:lineRule="auto"/>
              <w:ind w:firstLine="0"/>
            </w:pPr>
            <w:r>
              <w:rPr>
                <w:rFonts w:ascii="Times New Roman" w:hAnsi="Times New Roman"/>
                <w:b/>
                <w:sz w:val="20"/>
              </w:rPr>
              <w:t>Потпис ментора</w:t>
            </w:r>
          </w:p>
        </w:tc>
        <w:tc>
          <w:tcPr>
            <w:tcW w:type="dxa" w:w="5386"/>
          </w:tcPr>
          <w:p>
            <w:pPr>
              <w:spacing w:after="0" w:line="240" w:lineRule="auto"/>
              <w:ind w:firstLine="0"/>
            </w:pPr>
          </w:p>
        </w:tc>
      </w:tr>
    </w:tbl>
    <w:p/>
    <w:p>
      <w:pPr>
        <w:spacing w:before="0" w:after="0" w:line="20" w:lineRule="exact"/>
      </w:pPr>
      <w:r>
        <w:rPr>
          <w:sz w:val="2"/>
        </w:rPr>
        <w:br w:type="page"/>
      </w:r>
    </w:p>
    <w:p>
      <w:pPr>
        <w:spacing w:after="80"/>
        <w:ind w:firstLine="0"/>
        <w:jc w:val="center"/>
      </w:pPr>
      <w:r>
        <w:rPr>
          <w:rFonts w:ascii="Times New Roman" w:hAnsi="Times New Roman"/>
          <w:b/>
          <w:sz w:val="26"/>
        </w:rPr>
        <w:t>KEY WORDS DOCUMENTATION</w:t>
      </w:r>
    </w:p>
    <w:p>
      <w:pPr>
        <w:spacing w:after="0" w:line="240" w:lineRule="exact"/>
      </w:pPr>
    </w:p>
    <w:tbl>
      <w:tblPr>
        <w:tblStyle w:val="TableGrid"/>
        <w:tblW w:type="auto" w:w="0"/>
        <w:tblLayout w:type="fixed"/>
        <w:tblLook w:firstColumn="1" w:firstRow="1" w:lastColumn="0" w:lastRow="0" w:noHBand="0" w:noVBand="1" w:val="04A0"/>
      </w:tblPr>
      <w:tblGrid>
        <w:gridCol w:w="3402"/>
        <w:gridCol w:w="5386"/>
      </w:tblGrid>
      <w:tr>
        <w:tc>
          <w:tcPr>
            <w:tcW w:type="dxa" w:w="3402"/>
          </w:tcPr>
          <w:p>
            <w:pPr>
              <w:spacing w:after="0" w:line="240" w:lineRule="auto"/>
              <w:ind w:firstLine="0"/>
            </w:pPr>
            <w:r>
              <w:rPr>
                <w:rFonts w:ascii="Times New Roman" w:hAnsi="Times New Roman"/>
                <w:b/>
                <w:sz w:val="20"/>
              </w:rPr>
              <w:t>Accession number, ANO:</w:t>
            </w:r>
          </w:p>
        </w:tc>
        <w:tc>
          <w:tcPr>
            <w:tcW w:type="dxa" w:w="5386"/>
          </w:tcPr>
          <w:p>
            <w:pPr>
              <w:spacing w:after="0" w:line="240" w:lineRule="auto"/>
              <w:ind w:firstLine="0"/>
            </w:pPr>
          </w:p>
        </w:tc>
      </w:tr>
      <w:tr>
        <w:tc>
          <w:tcPr>
            <w:tcW w:type="dxa" w:w="3402"/>
          </w:tcPr>
          <w:p>
            <w:pPr>
              <w:spacing w:after="0" w:line="240" w:lineRule="auto"/>
              <w:ind w:firstLine="0"/>
            </w:pPr>
            <w:r>
              <w:rPr>
                <w:rFonts w:ascii="Times New Roman" w:hAnsi="Times New Roman"/>
                <w:b/>
                <w:sz w:val="20"/>
              </w:rPr>
              <w:t>Identification number, INO:</w:t>
            </w:r>
          </w:p>
        </w:tc>
        <w:tc>
          <w:tcPr>
            <w:tcW w:type="dxa" w:w="5386"/>
          </w:tcPr>
          <w:p>
            <w:pPr>
              <w:spacing w:after="0" w:line="240" w:lineRule="auto"/>
              <w:ind w:firstLine="0"/>
            </w:pPr>
          </w:p>
        </w:tc>
      </w:tr>
      <w:tr>
        <w:tc>
          <w:tcPr>
            <w:tcW w:type="dxa" w:w="3402"/>
          </w:tcPr>
          <w:p>
            <w:pPr>
              <w:spacing w:after="0" w:line="240" w:lineRule="auto"/>
              <w:ind w:firstLine="0"/>
            </w:pPr>
            <w:r>
              <w:rPr>
                <w:rFonts w:ascii="Times New Roman" w:hAnsi="Times New Roman"/>
                <w:b/>
                <w:sz w:val="20"/>
              </w:rPr>
              <w:t>Document type, DT:</w:t>
            </w:r>
          </w:p>
        </w:tc>
        <w:tc>
          <w:tcPr>
            <w:tcW w:type="dxa" w:w="5386"/>
          </w:tcPr>
          <w:p>
            <w:pPr>
              <w:spacing w:after="0" w:line="240" w:lineRule="auto"/>
              <w:ind w:firstLine="0"/>
            </w:pPr>
            <w:r>
              <w:rPr>
                <w:rFonts w:ascii="Times New Roman" w:hAnsi="Times New Roman"/>
                <w:b w:val="0"/>
                <w:sz w:val="20"/>
              </w:rPr>
              <w:t>Monographic publication</w:t>
            </w:r>
          </w:p>
        </w:tc>
      </w:tr>
      <w:tr>
        <w:tc>
          <w:tcPr>
            <w:tcW w:type="dxa" w:w="3402"/>
          </w:tcPr>
          <w:p>
            <w:pPr>
              <w:spacing w:after="0" w:line="240" w:lineRule="auto"/>
              <w:ind w:firstLine="0"/>
            </w:pPr>
            <w:r>
              <w:rPr>
                <w:rFonts w:ascii="Times New Roman" w:hAnsi="Times New Roman"/>
                <w:b/>
                <w:sz w:val="20"/>
              </w:rPr>
              <w:t>Type of record, TR:</w:t>
            </w:r>
          </w:p>
        </w:tc>
        <w:tc>
          <w:tcPr>
            <w:tcW w:type="dxa" w:w="5386"/>
          </w:tcPr>
          <w:p>
            <w:pPr>
              <w:spacing w:after="0" w:line="240" w:lineRule="auto"/>
              <w:ind w:firstLine="0"/>
            </w:pPr>
            <w:r>
              <w:rPr>
                <w:rFonts w:ascii="Times New Roman" w:hAnsi="Times New Roman"/>
                <w:b w:val="0"/>
                <w:sz w:val="20"/>
              </w:rPr>
              <w:t>Textual printed material</w:t>
            </w:r>
          </w:p>
        </w:tc>
      </w:tr>
      <w:tr>
        <w:tc>
          <w:tcPr>
            <w:tcW w:type="dxa" w:w="3402"/>
          </w:tcPr>
          <w:p>
            <w:pPr>
              <w:spacing w:after="0" w:line="240" w:lineRule="auto"/>
              <w:ind w:firstLine="0"/>
            </w:pPr>
            <w:r>
              <w:rPr>
                <w:rFonts w:ascii="Times New Roman" w:hAnsi="Times New Roman"/>
                <w:b/>
                <w:sz w:val="20"/>
              </w:rPr>
              <w:t>Contents code, CC:</w:t>
            </w:r>
          </w:p>
        </w:tc>
        <w:tc>
          <w:tcPr>
            <w:tcW w:type="dxa" w:w="5386"/>
          </w:tcPr>
          <w:p>
            <w:pPr>
              <w:spacing w:after="0" w:line="240" w:lineRule="auto"/>
              <w:ind w:firstLine="0"/>
            </w:pPr>
            <w:r>
              <w:rPr>
                <w:rFonts w:ascii="Times New Roman" w:hAnsi="Times New Roman"/>
                <w:b w:val="0"/>
                <w:sz w:val="20"/>
              </w:rPr>
              <w:t>Master thesis</w:t>
            </w:r>
          </w:p>
        </w:tc>
      </w:tr>
      <w:tr>
        <w:tc>
          <w:tcPr>
            <w:tcW w:type="dxa" w:w="3402"/>
          </w:tcPr>
          <w:p>
            <w:pPr>
              <w:spacing w:after="0" w:line="240" w:lineRule="auto"/>
              <w:ind w:firstLine="0"/>
            </w:pPr>
            <w:r>
              <w:rPr>
                <w:rFonts w:ascii="Times New Roman" w:hAnsi="Times New Roman"/>
                <w:b/>
                <w:sz w:val="20"/>
              </w:rPr>
              <w:t>Author, AU:</w:t>
            </w:r>
          </w:p>
        </w:tc>
        <w:tc>
          <w:tcPr>
            <w:tcW w:type="dxa" w:w="5386"/>
          </w:tcPr>
          <w:p>
            <w:pPr>
              <w:spacing w:after="0" w:line="240" w:lineRule="auto"/>
              <w:ind w:firstLine="0"/>
            </w:pPr>
            <w:r>
              <w:rPr>
                <w:rFonts w:ascii="Times New Roman" w:hAnsi="Times New Roman"/>
                <w:b w:val="0"/>
                <w:sz w:val="20"/>
              </w:rPr>
              <w:t>Mihajlo Zivkovic</w:t>
            </w:r>
          </w:p>
        </w:tc>
      </w:tr>
      <w:tr>
        <w:tc>
          <w:tcPr>
            <w:tcW w:type="dxa" w:w="3402"/>
          </w:tcPr>
          <w:p>
            <w:pPr>
              <w:spacing w:after="0" w:line="240" w:lineRule="auto"/>
              <w:ind w:firstLine="0"/>
            </w:pPr>
            <w:r>
              <w:rPr>
                <w:rFonts w:ascii="Times New Roman" w:hAnsi="Times New Roman"/>
                <w:b/>
                <w:sz w:val="20"/>
              </w:rPr>
              <w:t>Mentor, MN:</w:t>
            </w:r>
          </w:p>
        </w:tc>
        <w:tc>
          <w:tcPr>
            <w:tcW w:type="dxa" w:w="5386"/>
          </w:tcPr>
          <w:p>
            <w:pPr>
              <w:spacing w:after="0" w:line="240" w:lineRule="auto"/>
              <w:ind w:firstLine="0"/>
            </w:pPr>
            <w:r>
              <w:rPr>
                <w:rFonts w:ascii="Times New Roman" w:hAnsi="Times New Roman"/>
                <w:b w:val="0"/>
                <w:sz w:val="20"/>
              </w:rPr>
              <w:t>Ivan Mezei, PhD, full prof.</w:t>
            </w:r>
          </w:p>
        </w:tc>
      </w:tr>
      <w:tr>
        <w:tc>
          <w:tcPr>
            <w:tcW w:type="dxa" w:w="3402"/>
          </w:tcPr>
          <w:p>
            <w:pPr>
              <w:spacing w:after="0" w:line="240" w:lineRule="auto"/>
              <w:ind w:firstLine="0"/>
            </w:pPr>
            <w:r>
              <w:rPr>
                <w:rFonts w:ascii="Times New Roman" w:hAnsi="Times New Roman"/>
                <w:b/>
                <w:sz w:val="20"/>
              </w:rPr>
              <w:t>Title, TI:</w:t>
            </w:r>
          </w:p>
        </w:tc>
        <w:tc>
          <w:tcPr>
            <w:tcW w:type="dxa" w:w="5386"/>
          </w:tcPr>
          <w:p>
            <w:pPr>
              <w:spacing w:after="0" w:line="240" w:lineRule="auto"/>
              <w:ind w:firstLine="0"/>
            </w:pPr>
            <w:r>
              <w:rPr>
                <w:rFonts w:ascii="Times New Roman" w:hAnsi="Times New Roman"/>
                <w:b w:val="0"/>
                <w:sz w:val="20"/>
              </w:rPr>
              <w:t>Unsupervised Anomalous Sound Detection for Machine Condition Monitoring on an ESP32-S3 Microcontroller with On-Site Self-Calibration</w:t>
            </w:r>
          </w:p>
        </w:tc>
      </w:tr>
      <w:tr>
        <w:tc>
          <w:tcPr>
            <w:tcW w:type="dxa" w:w="3402"/>
          </w:tcPr>
          <w:p>
            <w:pPr>
              <w:spacing w:after="0" w:line="240" w:lineRule="auto"/>
              <w:ind w:firstLine="0"/>
            </w:pPr>
            <w:r>
              <w:rPr>
                <w:rFonts w:ascii="Times New Roman" w:hAnsi="Times New Roman"/>
                <w:b/>
                <w:sz w:val="20"/>
              </w:rPr>
              <w:t>Language of text, LT:</w:t>
            </w:r>
          </w:p>
        </w:tc>
        <w:tc>
          <w:tcPr>
            <w:tcW w:type="dxa" w:w="5386"/>
          </w:tcPr>
          <w:p>
            <w:pPr>
              <w:spacing w:after="0" w:line="240" w:lineRule="auto"/>
              <w:ind w:firstLine="0"/>
            </w:pPr>
            <w:r>
              <w:rPr>
                <w:rFonts w:ascii="Times New Roman" w:hAnsi="Times New Roman"/>
                <w:b w:val="0"/>
                <w:sz w:val="20"/>
              </w:rPr>
              <w:t>Serbian</w:t>
            </w:r>
          </w:p>
        </w:tc>
      </w:tr>
      <w:tr>
        <w:tc>
          <w:tcPr>
            <w:tcW w:type="dxa" w:w="3402"/>
          </w:tcPr>
          <w:p>
            <w:pPr>
              <w:spacing w:after="0" w:line="240" w:lineRule="auto"/>
              <w:ind w:firstLine="0"/>
            </w:pPr>
            <w:r>
              <w:rPr>
                <w:rFonts w:ascii="Times New Roman" w:hAnsi="Times New Roman"/>
                <w:b/>
                <w:sz w:val="20"/>
              </w:rPr>
              <w:t>Language of abstract, LA:</w:t>
            </w:r>
          </w:p>
        </w:tc>
        <w:tc>
          <w:tcPr>
            <w:tcW w:type="dxa" w:w="5386"/>
          </w:tcPr>
          <w:p>
            <w:pPr>
              <w:spacing w:after="0" w:line="240" w:lineRule="auto"/>
              <w:ind w:firstLine="0"/>
            </w:pPr>
            <w:r>
              <w:rPr>
                <w:rFonts w:ascii="Times New Roman" w:hAnsi="Times New Roman"/>
                <w:b w:val="0"/>
                <w:sz w:val="20"/>
              </w:rPr>
              <w:t>Serbian / English</w:t>
            </w:r>
          </w:p>
        </w:tc>
      </w:tr>
      <w:tr>
        <w:tc>
          <w:tcPr>
            <w:tcW w:type="dxa" w:w="3402"/>
          </w:tcPr>
          <w:p>
            <w:pPr>
              <w:spacing w:after="0" w:line="240" w:lineRule="auto"/>
              <w:ind w:firstLine="0"/>
            </w:pPr>
            <w:r>
              <w:rPr>
                <w:rFonts w:ascii="Times New Roman" w:hAnsi="Times New Roman"/>
                <w:b/>
                <w:sz w:val="20"/>
              </w:rPr>
              <w:t>Country of publication, CP:</w:t>
            </w:r>
          </w:p>
        </w:tc>
        <w:tc>
          <w:tcPr>
            <w:tcW w:type="dxa" w:w="5386"/>
          </w:tcPr>
          <w:p>
            <w:pPr>
              <w:spacing w:after="0" w:line="240" w:lineRule="auto"/>
              <w:ind w:firstLine="0"/>
            </w:pPr>
            <w:r>
              <w:rPr>
                <w:rFonts w:ascii="Times New Roman" w:hAnsi="Times New Roman"/>
                <w:b w:val="0"/>
                <w:sz w:val="20"/>
              </w:rPr>
              <w:t>Republic of Serbia</w:t>
            </w:r>
          </w:p>
        </w:tc>
      </w:tr>
      <w:tr>
        <w:tc>
          <w:tcPr>
            <w:tcW w:type="dxa" w:w="3402"/>
          </w:tcPr>
          <w:p>
            <w:pPr>
              <w:spacing w:after="0" w:line="240" w:lineRule="auto"/>
              <w:ind w:firstLine="0"/>
            </w:pPr>
            <w:r>
              <w:rPr>
                <w:rFonts w:ascii="Times New Roman" w:hAnsi="Times New Roman"/>
                <w:b/>
                <w:sz w:val="20"/>
              </w:rPr>
              <w:t>Locality of publication, LP:</w:t>
            </w:r>
          </w:p>
        </w:tc>
        <w:tc>
          <w:tcPr>
            <w:tcW w:type="dxa" w:w="5386"/>
          </w:tcPr>
          <w:p>
            <w:pPr>
              <w:spacing w:after="0" w:line="240" w:lineRule="auto"/>
              <w:ind w:firstLine="0"/>
            </w:pPr>
            <w:r>
              <w:rPr>
                <w:rFonts w:ascii="Times New Roman" w:hAnsi="Times New Roman"/>
                <w:b w:val="0"/>
                <w:sz w:val="20"/>
              </w:rPr>
              <w:t>Vojvodina</w:t>
            </w:r>
          </w:p>
        </w:tc>
      </w:tr>
      <w:tr>
        <w:tc>
          <w:tcPr>
            <w:tcW w:type="dxa" w:w="3402"/>
          </w:tcPr>
          <w:p>
            <w:pPr>
              <w:spacing w:after="0" w:line="240" w:lineRule="auto"/>
              <w:ind w:firstLine="0"/>
            </w:pPr>
            <w:r>
              <w:rPr>
                <w:rFonts w:ascii="Times New Roman" w:hAnsi="Times New Roman"/>
                <w:b/>
                <w:sz w:val="20"/>
              </w:rPr>
              <w:t>Publication year, PY:</w:t>
            </w:r>
          </w:p>
        </w:tc>
        <w:tc>
          <w:tcPr>
            <w:tcW w:type="dxa" w:w="5386"/>
          </w:tcPr>
          <w:p>
            <w:pPr>
              <w:spacing w:after="0" w:line="240" w:lineRule="auto"/>
              <w:ind w:firstLine="0"/>
            </w:pPr>
            <w:r>
              <w:rPr>
                <w:rFonts w:ascii="Times New Roman" w:hAnsi="Times New Roman"/>
                <w:b w:val="0"/>
                <w:sz w:val="20"/>
              </w:rPr>
              <w:t>2026</w:t>
            </w:r>
          </w:p>
        </w:tc>
      </w:tr>
      <w:tr>
        <w:tc>
          <w:tcPr>
            <w:tcW w:type="dxa" w:w="3402"/>
          </w:tcPr>
          <w:p>
            <w:pPr>
              <w:spacing w:after="0" w:line="240" w:lineRule="auto"/>
              <w:ind w:firstLine="0"/>
            </w:pPr>
            <w:r>
              <w:rPr>
                <w:rFonts w:ascii="Times New Roman" w:hAnsi="Times New Roman"/>
                <w:b/>
                <w:sz w:val="20"/>
              </w:rPr>
              <w:t>Publisher, PB:</w:t>
            </w:r>
          </w:p>
        </w:tc>
        <w:tc>
          <w:tcPr>
            <w:tcW w:type="dxa" w:w="5386"/>
          </w:tcPr>
          <w:p>
            <w:pPr>
              <w:spacing w:after="0" w:line="240" w:lineRule="auto"/>
              <w:ind w:firstLine="0"/>
            </w:pPr>
            <w:r>
              <w:rPr>
                <w:rFonts w:ascii="Times New Roman" w:hAnsi="Times New Roman"/>
                <w:b w:val="0"/>
                <w:sz w:val="20"/>
              </w:rPr>
              <w:t>Author's reprint</w:t>
            </w:r>
          </w:p>
        </w:tc>
      </w:tr>
      <w:tr>
        <w:tc>
          <w:tcPr>
            <w:tcW w:type="dxa" w:w="3402"/>
          </w:tcPr>
          <w:p>
            <w:pPr>
              <w:spacing w:after="0" w:line="240" w:lineRule="auto"/>
              <w:ind w:firstLine="0"/>
            </w:pPr>
            <w:r>
              <w:rPr>
                <w:rFonts w:ascii="Times New Roman" w:hAnsi="Times New Roman"/>
                <w:b/>
                <w:sz w:val="20"/>
              </w:rPr>
              <w:t>Publication place, PP:</w:t>
            </w:r>
          </w:p>
        </w:tc>
        <w:tc>
          <w:tcPr>
            <w:tcW w:type="dxa" w:w="5386"/>
          </w:tcPr>
          <w:p>
            <w:pPr>
              <w:spacing w:after="0" w:line="240" w:lineRule="auto"/>
              <w:ind w:firstLine="0"/>
            </w:pPr>
            <w:r>
              <w:rPr>
                <w:rFonts w:ascii="Times New Roman" w:hAnsi="Times New Roman"/>
                <w:b w:val="0"/>
                <w:sz w:val="20"/>
              </w:rPr>
              <w:t>Novi Sad, Faculty of Technical Sciences, Trg Dositeja Obradovica 6</w:t>
            </w:r>
          </w:p>
        </w:tc>
      </w:tr>
      <w:tr>
        <w:tc>
          <w:tcPr>
            <w:tcW w:type="dxa" w:w="3402"/>
          </w:tcPr>
          <w:p>
            <w:pPr>
              <w:spacing w:after="0" w:line="240" w:lineRule="auto"/>
              <w:ind w:firstLine="0"/>
            </w:pPr>
            <w:r>
              <w:rPr>
                <w:rFonts w:ascii="Times New Roman" w:hAnsi="Times New Roman"/>
                <w:b/>
                <w:sz w:val="20"/>
              </w:rPr>
              <w:t>Physical description, PD:</w:t>
            </w:r>
          </w:p>
        </w:tc>
        <w:tc>
          <w:tcPr>
            <w:tcW w:type="dxa" w:w="5386"/>
          </w:tcPr>
          <w:p>
            <w:pPr>
              <w:spacing w:after="0" w:line="240" w:lineRule="auto"/>
              <w:ind w:firstLine="0"/>
            </w:pPr>
            <w:r>
              <w:rPr>
                <w:rFonts w:ascii="Times New Roman" w:hAnsi="Times New Roman"/>
                <w:b w:val="0"/>
                <w:sz w:val="20"/>
              </w:rPr>
              <w:t xml:space="preserve">9 chapters / </w:t>
            </w:r>
            <w:r>
              <w:fldChar w:fldCharType="begin"/>
              <w:instrText xml:space="preserve">NUMPAGES</w:instrText>
              <w:fldChar w:fldCharType="separate"/>
              <w:fldChar w:fldCharType="end"/>
            </w:r>
            <w:r>
              <w:rPr>
                <w:rFonts w:ascii="Times New Roman" w:hAnsi="Times New Roman"/>
                <w:b w:val="0"/>
                <w:sz w:val="20"/>
              </w:rPr>
              <w:t xml:space="preserve"> pages / 12 references / 20 tables / 6 figures / 0 graphs / 3 appendices</w:t>
            </w:r>
          </w:p>
        </w:tc>
      </w:tr>
      <w:tr>
        <w:tc>
          <w:tcPr>
            <w:tcW w:type="dxa" w:w="3402"/>
          </w:tcPr>
          <w:p>
            <w:pPr>
              <w:spacing w:after="0" w:line="240" w:lineRule="auto"/>
              <w:ind w:firstLine="0"/>
            </w:pPr>
            <w:r>
              <w:rPr>
                <w:rFonts w:ascii="Times New Roman" w:hAnsi="Times New Roman"/>
                <w:b/>
                <w:sz w:val="20"/>
              </w:rPr>
              <w:t>Scientific field, SF:</w:t>
            </w:r>
          </w:p>
        </w:tc>
        <w:tc>
          <w:tcPr>
            <w:tcW w:type="dxa" w:w="5386"/>
          </w:tcPr>
          <w:p>
            <w:pPr>
              <w:spacing w:after="0" w:line="240" w:lineRule="auto"/>
              <w:ind w:firstLine="0"/>
            </w:pPr>
            <w:r>
              <w:rPr>
                <w:rFonts w:ascii="Times New Roman" w:hAnsi="Times New Roman"/>
                <w:b w:val="0"/>
                <w:sz w:val="20"/>
              </w:rPr>
              <w:t>Electrical and computer engineering</w:t>
            </w:r>
          </w:p>
        </w:tc>
      </w:tr>
      <w:tr>
        <w:tc>
          <w:tcPr>
            <w:tcW w:type="dxa" w:w="3402"/>
          </w:tcPr>
          <w:p>
            <w:pPr>
              <w:spacing w:after="0" w:line="240" w:lineRule="auto"/>
              <w:ind w:firstLine="0"/>
            </w:pPr>
            <w:r>
              <w:rPr>
                <w:rFonts w:ascii="Times New Roman" w:hAnsi="Times New Roman"/>
                <w:b/>
                <w:sz w:val="20"/>
              </w:rPr>
              <w:t>Scientific discipline, SD:</w:t>
            </w:r>
          </w:p>
        </w:tc>
        <w:tc>
          <w:tcPr>
            <w:tcW w:type="dxa" w:w="5386"/>
          </w:tcPr>
          <w:p>
            <w:pPr>
              <w:spacing w:after="0" w:line="240" w:lineRule="auto"/>
              <w:ind w:firstLine="0"/>
            </w:pPr>
            <w:r>
              <w:rPr>
                <w:rFonts w:ascii="Times New Roman" w:hAnsi="Times New Roman"/>
                <w:b w:val="0"/>
                <w:sz w:val="20"/>
              </w:rPr>
              <w:t>Electronics and embedded systems</w:t>
            </w:r>
          </w:p>
        </w:tc>
      </w:tr>
      <w:tr>
        <w:tc>
          <w:tcPr>
            <w:tcW w:type="dxa" w:w="3402"/>
          </w:tcPr>
          <w:p>
            <w:pPr>
              <w:spacing w:after="0" w:line="240" w:lineRule="auto"/>
              <w:ind w:firstLine="0"/>
            </w:pPr>
            <w:r>
              <w:rPr>
                <w:rFonts w:ascii="Times New Roman" w:hAnsi="Times New Roman"/>
                <w:b/>
                <w:sz w:val="20"/>
              </w:rPr>
              <w:t>Subject / Keywords, S/KW:</w:t>
            </w:r>
          </w:p>
        </w:tc>
        <w:tc>
          <w:tcPr>
            <w:tcW w:type="dxa" w:w="5386"/>
          </w:tcPr>
          <w:p>
            <w:pPr>
              <w:spacing w:after="0" w:line="240" w:lineRule="auto"/>
              <w:ind w:firstLine="0"/>
            </w:pPr>
            <w:r>
              <w:rPr>
                <w:rFonts w:ascii="Times New Roman" w:hAnsi="Times New Roman"/>
                <w:b w:val="0"/>
                <w:sz w:val="20"/>
              </w:rPr>
              <w:t>anomalous sound detection; unsupervised learning; embedded systems; ESP32-S3; Mahalanobis distance; power spectral density; predictive maintenance</w:t>
            </w:r>
          </w:p>
        </w:tc>
      </w:tr>
      <w:tr>
        <w:tc>
          <w:tcPr>
            <w:tcW w:type="dxa" w:w="3402"/>
          </w:tcPr>
          <w:p>
            <w:pPr>
              <w:spacing w:after="0" w:line="240" w:lineRule="auto"/>
              <w:ind w:firstLine="0"/>
            </w:pPr>
            <w:r>
              <w:rPr>
                <w:rFonts w:ascii="Times New Roman" w:hAnsi="Times New Roman"/>
                <w:b/>
                <w:sz w:val="20"/>
              </w:rPr>
              <w:t>UDC</w:t>
            </w:r>
          </w:p>
        </w:tc>
        <w:tc>
          <w:tcPr>
            <w:tcW w:type="dxa" w:w="5386"/>
          </w:tcPr>
          <w:p>
            <w:pPr>
              <w:spacing w:after="0" w:line="240" w:lineRule="auto"/>
              <w:ind w:firstLine="0"/>
            </w:pPr>
          </w:p>
        </w:tc>
      </w:tr>
      <w:tr>
        <w:tc>
          <w:tcPr>
            <w:tcW w:type="dxa" w:w="3402"/>
          </w:tcPr>
          <w:p>
            <w:pPr>
              <w:spacing w:after="0" w:line="240" w:lineRule="auto"/>
              <w:ind w:firstLine="0"/>
            </w:pPr>
            <w:r>
              <w:rPr>
                <w:rFonts w:ascii="Times New Roman" w:hAnsi="Times New Roman"/>
                <w:b/>
                <w:sz w:val="20"/>
              </w:rPr>
              <w:t>Holding data, HD:</w:t>
            </w:r>
          </w:p>
        </w:tc>
        <w:tc>
          <w:tcPr>
            <w:tcW w:type="dxa" w:w="5386"/>
          </w:tcPr>
          <w:p>
            <w:pPr>
              <w:spacing w:after="0" w:line="240" w:lineRule="auto"/>
              <w:ind w:firstLine="0"/>
            </w:pPr>
            <w:r>
              <w:rPr>
                <w:rFonts w:ascii="Times New Roman" w:hAnsi="Times New Roman"/>
                <w:b w:val="0"/>
                <w:sz w:val="20"/>
              </w:rPr>
              <w:t>Library of the Faculty of Technical Sciences, Novi Sad</w:t>
            </w:r>
          </w:p>
        </w:tc>
      </w:tr>
      <w:tr>
        <w:tc>
          <w:tcPr>
            <w:tcW w:type="dxa" w:w="3402"/>
          </w:tcPr>
          <w:p>
            <w:pPr>
              <w:spacing w:after="0" w:line="240" w:lineRule="auto"/>
              <w:ind w:firstLine="0"/>
            </w:pPr>
            <w:r>
              <w:rPr>
                <w:rFonts w:ascii="Times New Roman" w:hAnsi="Times New Roman"/>
                <w:b/>
                <w:sz w:val="20"/>
              </w:rPr>
              <w:t>Note, N:</w:t>
            </w:r>
          </w:p>
        </w:tc>
        <w:tc>
          <w:tcPr>
            <w:tcW w:type="dxa" w:w="5386"/>
          </w:tcPr>
          <w:p>
            <w:pPr>
              <w:spacing w:after="0" w:line="240" w:lineRule="auto"/>
              <w:ind w:firstLine="0"/>
            </w:pPr>
          </w:p>
        </w:tc>
      </w:tr>
      <w:tr>
        <w:tc>
          <w:tcPr>
            <w:tcW w:type="dxa" w:w="3402"/>
          </w:tcPr>
          <w:p>
            <w:pPr>
              <w:spacing w:after="0" w:line="240" w:lineRule="auto"/>
              <w:ind w:firstLine="0"/>
            </w:pPr>
            <w:r>
              <w:rPr>
                <w:rFonts w:ascii="Times New Roman" w:hAnsi="Times New Roman"/>
                <w:b/>
                <w:sz w:val="20"/>
              </w:rPr>
              <w:t>Abstract, AB:</w:t>
            </w:r>
          </w:p>
        </w:tc>
        <w:tc>
          <w:tcPr>
            <w:tcW w:type="dxa" w:w="5386"/>
          </w:tcPr>
          <w:p>
            <w:pPr>
              <w:spacing w:after="0" w:line="240" w:lineRule="auto"/>
              <w:ind w:firstLine="0"/>
            </w:pPr>
            <w:r>
              <w:rPr>
                <w:rFonts w:ascii="Times New Roman" w:hAnsi="Times New Roman"/>
                <w:b w:val="0"/>
                <w:sz w:val="20"/>
              </w:rPr>
              <w:t>This thesis presents an unsupervised fan sound anomaly-detection prototype using an ESP32-S3 and one MEMS microphone. A global model is fitted on 990 normal DCASE 2026 recordings; a local centre and thresholds are learned from normal audio at the installation. The detector uses 96 logarithmic spectral bands and squared Mahalanobis distance. Developmental AUC is 0.856 with ten calibration windows; a separate twenty-window reference reaches 0.867. Two final physical trials pass commissioning and telemetry checks. The added-tone trial produces alarm and sustained-deviation events, while the paper-strip trial detects one of three change blocks and fails its acceptance criteria. Feature and score computation takes about 716 ms per 10 s window. No dropped samples are reported, but long-term reliability and detection of confirmed faults remain unestablished.</w:t>
            </w:r>
          </w:p>
        </w:tc>
      </w:tr>
      <w:tr>
        <w:tc>
          <w:tcPr>
            <w:tcW w:type="dxa" w:w="3402"/>
          </w:tcPr>
          <w:p>
            <w:pPr>
              <w:spacing w:after="0" w:line="240" w:lineRule="auto"/>
              <w:ind w:firstLine="0"/>
            </w:pPr>
            <w:r>
              <w:rPr>
                <w:rFonts w:ascii="Times New Roman" w:hAnsi="Times New Roman"/>
                <w:b/>
                <w:sz w:val="20"/>
              </w:rPr>
              <w:t>Accepted by sci. board on, ASB:</w:t>
            </w:r>
          </w:p>
        </w:tc>
        <w:tc>
          <w:tcPr>
            <w:tcW w:type="dxa" w:w="5386"/>
          </w:tcPr>
          <w:p>
            <w:pPr>
              <w:spacing w:after="0" w:line="240" w:lineRule="auto"/>
              <w:ind w:firstLine="0"/>
            </w:pPr>
          </w:p>
        </w:tc>
      </w:tr>
      <w:tr>
        <w:tc>
          <w:tcPr>
            <w:tcW w:type="dxa" w:w="3402"/>
          </w:tcPr>
          <w:p>
            <w:pPr>
              <w:spacing w:after="0" w:line="240" w:lineRule="auto"/>
              <w:ind w:firstLine="0"/>
            </w:pPr>
            <w:r>
              <w:rPr>
                <w:rFonts w:ascii="Times New Roman" w:hAnsi="Times New Roman"/>
                <w:b/>
                <w:sz w:val="20"/>
              </w:rPr>
              <w:t>Defended on, DE:</w:t>
            </w:r>
          </w:p>
        </w:tc>
        <w:tc>
          <w:tcPr>
            <w:tcW w:type="dxa" w:w="5386"/>
          </w:tcPr>
          <w:p>
            <w:pPr>
              <w:spacing w:after="0" w:line="240" w:lineRule="auto"/>
              <w:ind w:firstLine="0"/>
            </w:pPr>
          </w:p>
        </w:tc>
      </w:tr>
      <w:tr>
        <w:tc>
          <w:tcPr>
            <w:tcW w:type="dxa" w:w="3402"/>
          </w:tcPr>
          <w:p>
            <w:pPr>
              <w:spacing w:after="0" w:line="240" w:lineRule="auto"/>
              <w:ind w:firstLine="0"/>
            </w:pPr>
            <w:r>
              <w:rPr>
                <w:rFonts w:ascii="Times New Roman" w:hAnsi="Times New Roman"/>
                <w:b/>
                <w:sz w:val="20"/>
              </w:rPr>
              <w:t>Defense board, DB:</w:t>
            </w:r>
          </w:p>
        </w:tc>
        <w:tc>
          <w:tcPr>
            <w:tcW w:type="dxa" w:w="5386"/>
          </w:tcPr>
          <w:p>
            <w:pPr>
              <w:spacing w:after="0" w:line="240" w:lineRule="auto"/>
              <w:ind w:firstLine="0"/>
            </w:pPr>
            <w:r>
              <w:rPr>
                <w:rFonts w:ascii="Times New Roman" w:hAnsi="Times New Roman"/>
                <w:b w:val="0"/>
                <w:sz w:val="20"/>
              </w:rPr>
              <w:t>President: [TODO]</w:t>
            </w:r>
          </w:p>
        </w:tc>
      </w:tr>
      <w:tr>
        <w:tc>
          <w:tcPr>
            <w:tcW w:type="dxa" w:w="3402"/>
          </w:tcPr>
          <w:p>
            <w:pPr>
              <w:spacing w:after="0" w:line="240" w:lineRule="auto"/>
              <w:ind w:firstLine="0"/>
            </w:pPr>
          </w:p>
        </w:tc>
        <w:tc>
          <w:tcPr>
            <w:tcW w:type="dxa" w:w="5386"/>
          </w:tcPr>
          <w:p>
            <w:pPr>
              <w:spacing w:after="0" w:line="240" w:lineRule="auto"/>
              <w:ind w:firstLine="0"/>
            </w:pPr>
            <w:r>
              <w:rPr>
                <w:rFonts w:ascii="Times New Roman" w:hAnsi="Times New Roman"/>
                <w:b w:val="0"/>
                <w:sz w:val="20"/>
              </w:rPr>
              <w:t>Member: [TODO]</w:t>
            </w:r>
          </w:p>
        </w:tc>
      </w:tr>
      <w:tr>
        <w:tc>
          <w:tcPr>
            <w:tcW w:type="dxa" w:w="3402"/>
          </w:tcPr>
          <w:p>
            <w:pPr>
              <w:spacing w:after="0" w:line="240" w:lineRule="auto"/>
              <w:ind w:firstLine="0"/>
            </w:pPr>
          </w:p>
        </w:tc>
        <w:tc>
          <w:tcPr>
            <w:tcW w:type="dxa" w:w="5386"/>
          </w:tcPr>
          <w:p>
            <w:pPr>
              <w:spacing w:after="0" w:line="240" w:lineRule="auto"/>
              <w:ind w:firstLine="0"/>
            </w:pPr>
            <w:r>
              <w:rPr>
                <w:rFonts w:ascii="Times New Roman" w:hAnsi="Times New Roman"/>
                <w:b w:val="0"/>
                <w:sz w:val="20"/>
              </w:rPr>
              <w:t>Member, mentor: Ivan Mezei, PhD, full prof.</w:t>
            </w:r>
          </w:p>
        </w:tc>
      </w:tr>
      <w:tr>
        <w:tc>
          <w:tcPr>
            <w:tcW w:type="dxa" w:w="3402"/>
          </w:tcPr>
          <w:p>
            <w:pPr>
              <w:spacing w:after="0" w:line="240" w:lineRule="auto"/>
              <w:ind w:firstLine="0"/>
            </w:pPr>
            <w:r>
              <w:rPr>
                <w:rFonts w:ascii="Times New Roman" w:hAnsi="Times New Roman"/>
                <w:b/>
                <w:sz w:val="20"/>
              </w:rPr>
              <w:t>Mentor's signature</w:t>
            </w:r>
          </w:p>
        </w:tc>
        <w:tc>
          <w:tcPr>
            <w:tcW w:type="dxa" w:w="5386"/>
          </w:tcPr>
          <w:p>
            <w:pPr>
              <w:spacing w:after="0" w:line="240" w:lineRule="auto"/>
              <w:ind w:firstLine="0"/>
            </w:pPr>
          </w:p>
        </w:tc>
      </w:tr>
    </w:tbl>
    <w:p/>
    <w:p>
      <w:pPr>
        <w:spacing w:before="0" w:after="0" w:line="20" w:lineRule="exact"/>
      </w:pPr>
      <w:r>
        <w:rPr>
          <w:sz w:val="2"/>
        </w:rPr>
        <w:br w:type="page"/>
      </w:r>
    </w:p>
    <w:p>
      <w:pPr>
        <w:spacing w:after="80"/>
        <w:ind w:firstLine="0"/>
        <w:jc w:val="center"/>
      </w:pPr>
      <w:r>
        <w:rPr>
          <w:rFonts w:ascii="Times New Roman" w:hAnsi="Times New Roman"/>
          <w:b/>
          <w:sz w:val="28"/>
        </w:rPr>
        <w:t>ЗАДАТАК МАСТЕР РАДА</w:t>
      </w:r>
    </w:p>
    <w:p>
      <w:pPr>
        <w:spacing w:after="0" w:line="240" w:lineRule="exact"/>
      </w:pPr>
    </w:p>
    <w:p>
      <w:pPr>
        <w:spacing w:after="0" w:line="240" w:lineRule="exact"/>
      </w:pPr>
    </w:p>
    <w:p>
      <w:pPr>
        <w:pStyle w:val="BodyText"/>
        <w:ind w:firstLine="0"/>
      </w:pPr>
      <w:r>
        <w:rPr>
          <w:rFonts w:ascii="Times New Roman" w:hAnsi="Times New Roman"/>
          <w:b w:val="0"/>
          <w:sz w:val="22"/>
        </w:rPr>
        <w:t>Проучити постојеће приступе ненадгледаној детекцији аномалија звука машина и њихова ограничења при преносу на ресурсно ограничене платформе. Пројектовати и реализовати самосталан уређај заснован на микроконтролеру ESP32-S3 и једном MEMS микрофону, који општи модел нормалног рада преузима са рачунара, а при постављању се сам калибрише на конкретној машини и сам изводи праг одлуке из периода у којем су присутна само нормална стања.</w:t>
      </w:r>
    </w:p>
    <w:p>
      <w:pPr>
        <w:pStyle w:val="BodyText"/>
        <w:ind w:firstLine="0"/>
      </w:pPr>
      <w:r>
        <w:rPr>
          <w:rFonts w:ascii="Times New Roman" w:hAnsi="Times New Roman"/>
          <w:b w:val="0"/>
          <w:sz w:val="22"/>
        </w:rPr>
        <w:t>Реализовати комплетан ток обраде на уређају: прихват звука преко сабирнице I2S, израчунавање спектралног обиљежја, оцјену одступања и временско правило одлучивања, уз провјере исправности сигнала које у случају недостатка доказа заустављају ток умјесто да наставе. Спровести мјерења на референтном скупу података и на стварном вентилатору, по унапријед закључаном протоколу, и пријавити измјерене вриједности заједно са границама тврдњи које оне подржавају.</w:t>
      </w:r>
    </w:p>
    <w:p>
      <w:pPr>
        <w:spacing w:after="0" w:line="240" w:lineRule="exact"/>
      </w:pPr>
    </w:p>
    <w:p>
      <w:pPr>
        <w:spacing w:after="0" w:line="240" w:lineRule="exact"/>
      </w:pPr>
    </w:p>
    <w:p>
      <w:pPr>
        <w:spacing w:after="0" w:line="240" w:lineRule="exact"/>
      </w:pPr>
    </w:p>
    <w:p>
      <w:pPr>
        <w:spacing w:after="0" w:line="240" w:lineRule="exact"/>
      </w:pPr>
    </w:p>
    <w:p>
      <w:pPr>
        <w:spacing w:after="0" w:line="240" w:lineRule="exact"/>
      </w:pPr>
    </w:p>
    <w:p>
      <w:pPr>
        <w:spacing w:after="0" w:line="240" w:lineRule="exact"/>
      </w:pPr>
    </w:p>
    <w:p>
      <w:pPr>
        <w:spacing w:after="80"/>
        <w:ind w:firstLine="0"/>
      </w:pPr>
      <w:r>
        <w:rPr>
          <w:rFonts w:ascii="Times New Roman" w:hAnsi="Times New Roman"/>
          <w:b w:val="0"/>
          <w:sz w:val="22"/>
        </w:rPr>
        <w:t>Ментор:</w:t>
      </w:r>
    </w:p>
    <w:p>
      <w:pPr>
        <w:spacing w:after="80"/>
        <w:ind w:firstLine="0"/>
      </w:pPr>
    </w:p>
    <w:p>
      <w:pPr>
        <w:spacing w:after="80"/>
        <w:ind w:firstLine="0"/>
      </w:pPr>
      <w:r>
        <w:rPr>
          <w:rFonts w:ascii="Times New Roman" w:hAnsi="Times New Roman"/>
          <w:b w:val="0"/>
          <w:sz w:val="22"/>
        </w:rPr>
        <w:t>_______________________________</w:t>
      </w:r>
    </w:p>
    <w:p>
      <w:pPr>
        <w:spacing w:after="80"/>
        <w:ind w:firstLine="0"/>
      </w:pPr>
      <w:r>
        <w:rPr>
          <w:rFonts w:ascii="Times New Roman" w:hAnsi="Times New Roman"/>
          <w:b w:val="0"/>
          <w:sz w:val="22"/>
        </w:rPr>
        <w:t>проф. др Иван Мезеи, ред. проф.</w:t>
      </w:r>
    </w:p>
    <w:p>
      <w:pPr>
        <w:spacing w:before="0" w:after="0" w:line="20" w:lineRule="exact"/>
      </w:pPr>
      <w:r>
        <w:rPr>
          <w:sz w:val="2"/>
        </w:rPr>
        <w:br w:type="page"/>
      </w:r>
    </w:p>
    <w:p>
      <w:pPr>
        <w:spacing w:after="80"/>
        <w:ind w:firstLine="0"/>
        <w:jc w:val="center"/>
      </w:pPr>
      <w:r>
        <w:rPr>
          <w:rFonts w:ascii="Times New Roman" w:hAnsi="Times New Roman"/>
          <w:b/>
          <w:sz w:val="28"/>
        </w:rPr>
        <w:t>Изјава о академској честитости</w:t>
      </w:r>
    </w:p>
    <w:p>
      <w:pPr>
        <w:spacing w:after="0" w:line="240" w:lineRule="exact"/>
      </w:pPr>
    </w:p>
    <w:p>
      <w:pPr>
        <w:spacing w:after="0" w:line="240" w:lineRule="exact"/>
      </w:pPr>
    </w:p>
    <w:p>
      <w:pPr>
        <w:pStyle w:val="BodyText"/>
        <w:ind w:firstLine="0"/>
      </w:pPr>
      <w:r>
        <w:rPr>
          <w:rFonts w:ascii="Times New Roman" w:hAnsi="Times New Roman"/>
          <w:b w:val="0"/>
          <w:sz w:val="22"/>
        </w:rPr>
        <w:t>[TODO] Овдје се умеће званична изјава о академској честитости усаглашена са ментором прије предаје рада.</w:t>
      </w:r>
    </w:p>
    <w:p>
      <w:pPr>
        <w:spacing w:before="0" w:after="0" w:line="20" w:lineRule="exact"/>
      </w:pPr>
      <w:r>
        <w:rPr>
          <w:sz w:val="2"/>
        </w:rPr>
        <w:br w:type="page"/>
      </w:r>
    </w:p>
    <w:p>
      <w:pPr>
        <w:spacing w:after="80"/>
        <w:ind w:firstLine="0"/>
        <w:jc w:val="center"/>
      </w:pPr>
      <w:r>
        <w:rPr>
          <w:rFonts w:ascii="Times New Roman" w:hAnsi="Times New Roman"/>
          <w:b/>
          <w:sz w:val="28"/>
        </w:rPr>
        <w:t>САДРЖАЈ</w:t>
      </w:r>
    </w:p>
    <w:p>
      <w:pPr>
        <w:spacing w:after="0" w:line="240" w:lineRule="exact"/>
      </w:pPr>
    </w:p>
    <w:p>
      <w:r>
        <w:fldChar w:fldCharType="begin"/>
        <w:instrText xml:space="preserve">TOC \o "1-3" \h \z \u</w:instrText>
        <w:fldChar w:fldCharType="separate"/>
        <w:fldChar w:fldCharType="end"/>
      </w:r>
    </w:p>
    <w:p>
      <w:pPr>
        <w:spacing w:before="0" w:after="0" w:line="20" w:lineRule="exact"/>
      </w:pPr>
      <w:r>
        <w:rPr>
          <w:sz w:val="2"/>
        </w:rPr>
        <w:br w:type="page"/>
      </w:r>
    </w:p>
    <w:p>
      <w:pPr>
        <w:spacing w:after="80"/>
        <w:ind w:firstLine="0"/>
        <w:jc w:val="center"/>
      </w:pPr>
      <w:r>
        <w:rPr>
          <w:rFonts w:ascii="Times New Roman" w:hAnsi="Times New Roman"/>
          <w:b/>
          <w:sz w:val="28"/>
        </w:rPr>
        <w:t>ЛИСТА СКРАЋЕНИЦА</w:t>
      </w:r>
    </w:p>
    <w:p>
      <w:pPr>
        <w:spacing w:after="0" w:line="240" w:lineRule="exact"/>
      </w:pPr>
    </w:p>
    <w:tbl>
      <w:tblPr>
        <w:tblStyle w:val="TableGrid"/>
        <w:tblW w:type="auto" w:w="0"/>
        <w:tblLayout w:type="fixed"/>
        <w:tblLook w:firstColumn="1" w:firstRow="1" w:lastColumn="0" w:lastRow="0" w:noHBand="0" w:noVBand="1" w:val="04A0"/>
      </w:tblPr>
      <w:tblGrid>
        <w:gridCol w:w="3402"/>
        <w:gridCol w:w="5386"/>
      </w:tblGrid>
      <w:tr>
        <w:tc>
          <w:tcPr>
            <w:tcW w:type="dxa" w:w="3402"/>
          </w:tcPr>
          <w:p>
            <w:pPr>
              <w:spacing w:after="0" w:line="240" w:lineRule="auto"/>
              <w:ind w:firstLine="0"/>
            </w:pPr>
            <w:r>
              <w:rPr>
                <w:rFonts w:ascii="Times New Roman" w:hAnsi="Times New Roman"/>
                <w:b/>
                <w:sz w:val="20"/>
              </w:rPr>
              <w:t>ASD</w:t>
            </w:r>
          </w:p>
        </w:tc>
        <w:tc>
          <w:tcPr>
            <w:tcW w:type="dxa" w:w="5386"/>
          </w:tcPr>
          <w:p>
            <w:pPr>
              <w:spacing w:after="0" w:line="240" w:lineRule="auto"/>
              <w:ind w:firstLine="0"/>
            </w:pPr>
            <w:r>
              <w:rPr>
                <w:rFonts w:ascii="Times New Roman" w:hAnsi="Times New Roman"/>
                <w:i/>
                <w:sz w:val="20"/>
              </w:rPr>
              <w:t>Anomalous Sound Detection</w:t>
            </w:r>
            <w:r>
              <w:rPr>
                <w:rFonts w:ascii="Times New Roman" w:hAnsi="Times New Roman"/>
                <w:b w:val="0"/>
                <w:sz w:val="20"/>
              </w:rPr>
              <w:t>, детекција аномалија звука</w:t>
            </w:r>
          </w:p>
        </w:tc>
      </w:tr>
      <w:tr>
        <w:tc>
          <w:tcPr>
            <w:tcW w:type="dxa" w:w="3402"/>
          </w:tcPr>
          <w:p>
            <w:pPr>
              <w:spacing w:after="0" w:line="240" w:lineRule="auto"/>
              <w:ind w:firstLine="0"/>
            </w:pPr>
            <w:r>
              <w:rPr>
                <w:rFonts w:ascii="Times New Roman" w:hAnsi="Times New Roman"/>
                <w:b/>
                <w:sz w:val="20"/>
              </w:rPr>
              <w:t>AUC</w:t>
            </w:r>
          </w:p>
        </w:tc>
        <w:tc>
          <w:tcPr>
            <w:tcW w:type="dxa" w:w="5386"/>
          </w:tcPr>
          <w:p>
            <w:pPr>
              <w:spacing w:after="0" w:line="240" w:lineRule="auto"/>
              <w:ind w:firstLine="0"/>
            </w:pPr>
            <w:r>
              <w:rPr>
                <w:rFonts w:ascii="Times New Roman" w:hAnsi="Times New Roman"/>
                <w:i/>
                <w:sz w:val="20"/>
              </w:rPr>
              <w:t>Area Under the ROC Curve</w:t>
            </w:r>
            <w:r>
              <w:rPr>
                <w:rFonts w:ascii="Times New Roman" w:hAnsi="Times New Roman"/>
                <w:b w:val="0"/>
                <w:sz w:val="20"/>
              </w:rPr>
              <w:t>, површина испод ROC криве</w:t>
            </w:r>
          </w:p>
        </w:tc>
      </w:tr>
      <w:tr>
        <w:tc>
          <w:tcPr>
            <w:tcW w:type="dxa" w:w="3402"/>
          </w:tcPr>
          <w:p>
            <w:pPr>
              <w:spacing w:after="0" w:line="240" w:lineRule="auto"/>
              <w:ind w:firstLine="0"/>
            </w:pPr>
            <w:r>
              <w:rPr>
                <w:rFonts w:ascii="Times New Roman" w:hAnsi="Times New Roman"/>
                <w:b/>
                <w:sz w:val="20"/>
              </w:rPr>
              <w:t>pAUC</w:t>
            </w:r>
          </w:p>
        </w:tc>
        <w:tc>
          <w:tcPr>
            <w:tcW w:type="dxa" w:w="5386"/>
          </w:tcPr>
          <w:p>
            <w:pPr>
              <w:spacing w:after="0" w:line="240" w:lineRule="auto"/>
              <w:ind w:firstLine="0"/>
            </w:pPr>
            <w:r>
              <w:rPr>
                <w:rFonts w:ascii="Times New Roman" w:hAnsi="Times New Roman"/>
                <w:i/>
                <w:sz w:val="20"/>
              </w:rPr>
              <w:t>partial AUC</w:t>
            </w:r>
            <w:r>
              <w:rPr>
                <w:rFonts w:ascii="Times New Roman" w:hAnsi="Times New Roman"/>
                <w:b w:val="0"/>
                <w:sz w:val="20"/>
              </w:rPr>
              <w:t>, парцијална површина испод ROC криве</w:t>
            </w:r>
          </w:p>
        </w:tc>
      </w:tr>
      <w:tr>
        <w:tc>
          <w:tcPr>
            <w:tcW w:type="dxa" w:w="3402"/>
          </w:tcPr>
          <w:p>
            <w:pPr>
              <w:spacing w:after="0" w:line="240" w:lineRule="auto"/>
              <w:ind w:firstLine="0"/>
            </w:pPr>
            <w:r>
              <w:rPr>
                <w:rFonts w:ascii="Times New Roman" w:hAnsi="Times New Roman"/>
                <w:b/>
                <w:sz w:val="20"/>
              </w:rPr>
              <w:t>CAL</w:t>
            </w:r>
          </w:p>
        </w:tc>
        <w:tc>
          <w:tcPr>
            <w:tcW w:type="dxa" w:w="5386"/>
          </w:tcPr>
          <w:p>
            <w:pPr>
              <w:spacing w:after="0" w:line="240" w:lineRule="auto"/>
              <w:ind w:firstLine="0"/>
            </w:pPr>
            <w:r>
              <w:rPr>
                <w:rFonts w:ascii="Times New Roman" w:hAnsi="Times New Roman"/>
                <w:b w:val="0"/>
                <w:sz w:val="20"/>
              </w:rPr>
              <w:t>фаза калибрације у току рада уређаја</w:t>
            </w:r>
          </w:p>
        </w:tc>
      </w:tr>
      <w:tr>
        <w:tc>
          <w:tcPr>
            <w:tcW w:type="dxa" w:w="3402"/>
          </w:tcPr>
          <w:p>
            <w:pPr>
              <w:spacing w:after="0" w:line="240" w:lineRule="auto"/>
              <w:ind w:firstLine="0"/>
            </w:pPr>
            <w:r>
              <w:rPr>
                <w:rFonts w:ascii="Times New Roman" w:hAnsi="Times New Roman"/>
                <w:b/>
                <w:sz w:val="20"/>
              </w:rPr>
              <w:t>DCASE</w:t>
            </w:r>
          </w:p>
        </w:tc>
        <w:tc>
          <w:tcPr>
            <w:tcW w:type="dxa" w:w="5386"/>
          </w:tcPr>
          <w:p>
            <w:pPr>
              <w:spacing w:after="0" w:line="240" w:lineRule="auto"/>
              <w:ind w:firstLine="0"/>
            </w:pPr>
            <w:r>
              <w:rPr>
                <w:rFonts w:ascii="Times New Roman" w:hAnsi="Times New Roman"/>
                <w:i/>
                <w:sz w:val="20"/>
              </w:rPr>
              <w:t>Detection and Classification of Acoustic Scenes and Events</w:t>
            </w:r>
          </w:p>
        </w:tc>
      </w:tr>
      <w:tr>
        <w:tc>
          <w:tcPr>
            <w:tcW w:type="dxa" w:w="3402"/>
          </w:tcPr>
          <w:p>
            <w:pPr>
              <w:spacing w:after="0" w:line="240" w:lineRule="auto"/>
              <w:ind w:firstLine="0"/>
            </w:pPr>
            <w:r>
              <w:rPr>
                <w:rFonts w:ascii="Times New Roman" w:hAnsi="Times New Roman"/>
                <w:b/>
                <w:sz w:val="20"/>
              </w:rPr>
              <w:t>DET</w:t>
            </w:r>
          </w:p>
        </w:tc>
        <w:tc>
          <w:tcPr>
            <w:tcW w:type="dxa" w:w="5386"/>
          </w:tcPr>
          <w:p>
            <w:pPr>
              <w:spacing w:after="0" w:line="240" w:lineRule="auto"/>
              <w:ind w:firstLine="0"/>
            </w:pPr>
            <w:r>
              <w:rPr>
                <w:rFonts w:ascii="Times New Roman" w:hAnsi="Times New Roman"/>
                <w:b w:val="0"/>
                <w:sz w:val="20"/>
              </w:rPr>
              <w:t>фаза детекције у току рада уређаја</w:t>
            </w:r>
          </w:p>
        </w:tc>
      </w:tr>
      <w:tr>
        <w:tc>
          <w:tcPr>
            <w:tcW w:type="dxa" w:w="3402"/>
          </w:tcPr>
          <w:p>
            <w:pPr>
              <w:spacing w:after="0" w:line="240" w:lineRule="auto"/>
              <w:ind w:firstLine="0"/>
            </w:pPr>
            <w:r>
              <w:rPr>
                <w:rFonts w:ascii="Times New Roman" w:hAnsi="Times New Roman"/>
                <w:b/>
                <w:sz w:val="20"/>
              </w:rPr>
              <w:t>DMA</w:t>
            </w:r>
          </w:p>
        </w:tc>
        <w:tc>
          <w:tcPr>
            <w:tcW w:type="dxa" w:w="5386"/>
          </w:tcPr>
          <w:p>
            <w:pPr>
              <w:spacing w:after="0" w:line="240" w:lineRule="auto"/>
              <w:ind w:firstLine="0"/>
            </w:pPr>
            <w:r>
              <w:rPr>
                <w:rFonts w:ascii="Times New Roman" w:hAnsi="Times New Roman"/>
                <w:i/>
                <w:sz w:val="20"/>
              </w:rPr>
              <w:t>Direct Memory Access</w:t>
            </w:r>
          </w:p>
        </w:tc>
      </w:tr>
      <w:tr>
        <w:tc>
          <w:tcPr>
            <w:tcW w:type="dxa" w:w="3402"/>
          </w:tcPr>
          <w:p>
            <w:pPr>
              <w:spacing w:after="0" w:line="240" w:lineRule="auto"/>
              <w:ind w:firstLine="0"/>
            </w:pPr>
            <w:r>
              <w:rPr>
                <w:rFonts w:ascii="Times New Roman" w:hAnsi="Times New Roman"/>
                <w:b/>
                <w:sz w:val="20"/>
              </w:rPr>
              <w:t>FFT</w:t>
            </w:r>
          </w:p>
        </w:tc>
        <w:tc>
          <w:tcPr>
            <w:tcW w:type="dxa" w:w="5386"/>
          </w:tcPr>
          <w:p>
            <w:pPr>
              <w:spacing w:after="0" w:line="240" w:lineRule="auto"/>
              <w:ind w:firstLine="0"/>
            </w:pPr>
            <w:r>
              <w:rPr>
                <w:rFonts w:ascii="Times New Roman" w:hAnsi="Times New Roman"/>
                <w:i/>
                <w:sz w:val="20"/>
              </w:rPr>
              <w:t>Fast Fourier Transform</w:t>
            </w:r>
            <w:r>
              <w:rPr>
                <w:rFonts w:ascii="Times New Roman" w:hAnsi="Times New Roman"/>
                <w:b w:val="0"/>
                <w:sz w:val="20"/>
              </w:rPr>
              <w:t>, брза Фуријеова трансформација</w:t>
            </w:r>
          </w:p>
        </w:tc>
      </w:tr>
      <w:tr>
        <w:tc>
          <w:tcPr>
            <w:tcW w:type="dxa" w:w="3402"/>
          </w:tcPr>
          <w:p>
            <w:pPr>
              <w:spacing w:after="0" w:line="240" w:lineRule="auto"/>
              <w:ind w:firstLine="0"/>
            </w:pPr>
            <w:r>
              <w:rPr>
                <w:rFonts w:ascii="Times New Roman" w:hAnsi="Times New Roman"/>
                <w:b/>
                <w:sz w:val="20"/>
              </w:rPr>
              <w:t>I2S</w:t>
            </w:r>
          </w:p>
        </w:tc>
        <w:tc>
          <w:tcPr>
            <w:tcW w:type="dxa" w:w="5386"/>
          </w:tcPr>
          <w:p>
            <w:pPr>
              <w:spacing w:after="0" w:line="240" w:lineRule="auto"/>
              <w:ind w:firstLine="0"/>
            </w:pPr>
            <w:r>
              <w:rPr>
                <w:rFonts w:ascii="Times New Roman" w:hAnsi="Times New Roman"/>
                <w:i/>
                <w:sz w:val="20"/>
              </w:rPr>
              <w:t>Inter-IC Sound</w:t>
            </w:r>
            <w:r>
              <w:rPr>
                <w:rFonts w:ascii="Times New Roman" w:hAnsi="Times New Roman"/>
                <w:b w:val="0"/>
                <w:sz w:val="20"/>
              </w:rPr>
              <w:t>, серијска сабирница за дигитални звук</w:t>
            </w:r>
          </w:p>
        </w:tc>
      </w:tr>
      <w:tr>
        <w:tc>
          <w:tcPr>
            <w:tcW w:type="dxa" w:w="3402"/>
          </w:tcPr>
          <w:p>
            <w:pPr>
              <w:spacing w:after="0" w:line="240" w:lineRule="auto"/>
              <w:ind w:firstLine="0"/>
            </w:pPr>
            <w:r>
              <w:rPr>
                <w:rFonts w:ascii="Times New Roman" w:hAnsi="Times New Roman"/>
                <w:b/>
                <w:sz w:val="20"/>
              </w:rPr>
              <w:t>I2C</w:t>
            </w:r>
          </w:p>
        </w:tc>
        <w:tc>
          <w:tcPr>
            <w:tcW w:type="dxa" w:w="5386"/>
          </w:tcPr>
          <w:p>
            <w:pPr>
              <w:spacing w:after="0" w:line="240" w:lineRule="auto"/>
              <w:ind w:firstLine="0"/>
            </w:pPr>
            <w:r>
              <w:rPr>
                <w:rFonts w:ascii="Times New Roman" w:hAnsi="Times New Roman"/>
                <w:i/>
                <w:sz w:val="20"/>
              </w:rPr>
              <w:t>Inter-Integrated Circuit</w:t>
            </w:r>
            <w:r>
              <w:rPr>
                <w:rFonts w:ascii="Times New Roman" w:hAnsi="Times New Roman"/>
                <w:b w:val="0"/>
                <w:sz w:val="20"/>
              </w:rPr>
              <w:t>, серијска сабирница</w:t>
            </w:r>
          </w:p>
        </w:tc>
      </w:tr>
      <w:tr>
        <w:tc>
          <w:tcPr>
            <w:tcW w:type="dxa" w:w="3402"/>
          </w:tcPr>
          <w:p>
            <w:pPr>
              <w:spacing w:after="0" w:line="240" w:lineRule="auto"/>
              <w:ind w:firstLine="0"/>
            </w:pPr>
            <w:r>
              <w:rPr>
                <w:rFonts w:ascii="Times New Roman" w:hAnsi="Times New Roman"/>
                <w:b/>
                <w:sz w:val="20"/>
              </w:rPr>
              <w:t>LOO</w:t>
            </w:r>
          </w:p>
        </w:tc>
        <w:tc>
          <w:tcPr>
            <w:tcW w:type="dxa" w:w="5386"/>
          </w:tcPr>
          <w:p>
            <w:pPr>
              <w:spacing w:after="0" w:line="240" w:lineRule="auto"/>
              <w:ind w:firstLine="0"/>
            </w:pPr>
            <w:r>
              <w:rPr>
                <w:rFonts w:ascii="Times New Roman" w:hAnsi="Times New Roman"/>
                <w:i/>
                <w:sz w:val="20"/>
              </w:rPr>
              <w:t>leave-one-out</w:t>
            </w:r>
            <w:r>
              <w:rPr>
                <w:rFonts w:ascii="Times New Roman" w:hAnsi="Times New Roman"/>
                <w:b w:val="0"/>
                <w:sz w:val="20"/>
              </w:rPr>
              <w:t>, изостављање по једног узорка</w:t>
            </w:r>
          </w:p>
        </w:tc>
      </w:tr>
      <w:tr>
        <w:tc>
          <w:tcPr>
            <w:tcW w:type="dxa" w:w="3402"/>
          </w:tcPr>
          <w:p>
            <w:pPr>
              <w:spacing w:after="0" w:line="240" w:lineRule="auto"/>
              <w:ind w:firstLine="0"/>
            </w:pPr>
            <w:r>
              <w:rPr>
                <w:rFonts w:ascii="Times New Roman" w:hAnsi="Times New Roman"/>
                <w:b/>
                <w:sz w:val="20"/>
              </w:rPr>
              <w:t>MAD</w:t>
            </w:r>
          </w:p>
        </w:tc>
        <w:tc>
          <w:tcPr>
            <w:tcW w:type="dxa" w:w="5386"/>
          </w:tcPr>
          <w:p>
            <w:pPr>
              <w:spacing w:after="0" w:line="240" w:lineRule="auto"/>
              <w:ind w:firstLine="0"/>
            </w:pPr>
            <w:r>
              <w:rPr>
                <w:rFonts w:ascii="Times New Roman" w:hAnsi="Times New Roman"/>
                <w:i/>
                <w:sz w:val="20"/>
              </w:rPr>
              <w:t>Median Absolute Deviation</w:t>
            </w:r>
            <w:r>
              <w:rPr>
                <w:rFonts w:ascii="Times New Roman" w:hAnsi="Times New Roman"/>
                <w:b w:val="0"/>
                <w:sz w:val="20"/>
              </w:rPr>
              <w:t>, медијана апсолутног одступања</w:t>
            </w:r>
          </w:p>
        </w:tc>
      </w:tr>
      <w:tr>
        <w:tc>
          <w:tcPr>
            <w:tcW w:type="dxa" w:w="3402"/>
          </w:tcPr>
          <w:p>
            <w:pPr>
              <w:spacing w:after="0" w:line="240" w:lineRule="auto"/>
              <w:ind w:firstLine="0"/>
            </w:pPr>
            <w:r>
              <w:rPr>
                <w:rFonts w:ascii="Times New Roman" w:hAnsi="Times New Roman"/>
                <w:b/>
                <w:sz w:val="20"/>
              </w:rPr>
              <w:t>MEMS</w:t>
            </w:r>
          </w:p>
        </w:tc>
        <w:tc>
          <w:tcPr>
            <w:tcW w:type="dxa" w:w="5386"/>
          </w:tcPr>
          <w:p>
            <w:pPr>
              <w:spacing w:after="0" w:line="240" w:lineRule="auto"/>
              <w:ind w:firstLine="0"/>
            </w:pPr>
            <w:r>
              <w:rPr>
                <w:rFonts w:ascii="Times New Roman" w:hAnsi="Times New Roman"/>
                <w:i/>
                <w:sz w:val="20"/>
              </w:rPr>
              <w:t>Micro-Electro-Mechanical Systems</w:t>
            </w:r>
          </w:p>
        </w:tc>
      </w:tr>
      <w:tr>
        <w:tc>
          <w:tcPr>
            <w:tcW w:type="dxa" w:w="3402"/>
          </w:tcPr>
          <w:p>
            <w:pPr>
              <w:spacing w:after="0" w:line="240" w:lineRule="auto"/>
              <w:ind w:firstLine="0"/>
            </w:pPr>
            <w:r>
              <w:rPr>
                <w:rFonts w:ascii="Times New Roman" w:hAnsi="Times New Roman"/>
                <w:b/>
                <w:sz w:val="20"/>
              </w:rPr>
              <w:t>NVS</w:t>
            </w:r>
          </w:p>
        </w:tc>
        <w:tc>
          <w:tcPr>
            <w:tcW w:type="dxa" w:w="5386"/>
          </w:tcPr>
          <w:p>
            <w:pPr>
              <w:spacing w:after="0" w:line="240" w:lineRule="auto"/>
              <w:ind w:firstLine="0"/>
            </w:pPr>
            <w:r>
              <w:rPr>
                <w:rFonts w:ascii="Times New Roman" w:hAnsi="Times New Roman"/>
                <w:i/>
                <w:sz w:val="20"/>
              </w:rPr>
              <w:t>Non-Volatile Storage</w:t>
            </w:r>
            <w:r>
              <w:rPr>
                <w:rFonts w:ascii="Times New Roman" w:hAnsi="Times New Roman"/>
                <w:b w:val="0"/>
                <w:sz w:val="20"/>
              </w:rPr>
              <w:t>, трајна меморија у ESP-IDF окружењу</w:t>
            </w:r>
          </w:p>
        </w:tc>
      </w:tr>
      <w:tr>
        <w:tc>
          <w:tcPr>
            <w:tcW w:type="dxa" w:w="3402"/>
          </w:tcPr>
          <w:p>
            <w:pPr>
              <w:spacing w:after="0" w:line="240" w:lineRule="auto"/>
              <w:ind w:firstLine="0"/>
            </w:pPr>
            <w:r>
              <w:rPr>
                <w:rFonts w:ascii="Times New Roman" w:hAnsi="Times New Roman"/>
                <w:b/>
                <w:sz w:val="20"/>
              </w:rPr>
              <w:t>PSD</w:t>
            </w:r>
          </w:p>
        </w:tc>
        <w:tc>
          <w:tcPr>
            <w:tcW w:type="dxa" w:w="5386"/>
          </w:tcPr>
          <w:p>
            <w:pPr>
              <w:spacing w:after="0" w:line="240" w:lineRule="auto"/>
              <w:ind w:firstLine="0"/>
            </w:pPr>
            <w:r>
              <w:rPr>
                <w:rFonts w:ascii="Times New Roman" w:hAnsi="Times New Roman"/>
                <w:i/>
                <w:sz w:val="20"/>
              </w:rPr>
              <w:t>Power Spectral Density</w:t>
            </w:r>
            <w:r>
              <w:rPr>
                <w:rFonts w:ascii="Times New Roman" w:hAnsi="Times New Roman"/>
                <w:b w:val="0"/>
                <w:sz w:val="20"/>
              </w:rPr>
              <w:t>, спектрална густина снаге</w:t>
            </w:r>
          </w:p>
        </w:tc>
      </w:tr>
      <w:tr>
        <w:tc>
          <w:tcPr>
            <w:tcW w:type="dxa" w:w="3402"/>
          </w:tcPr>
          <w:p>
            <w:pPr>
              <w:spacing w:after="0" w:line="240" w:lineRule="auto"/>
              <w:ind w:firstLine="0"/>
            </w:pPr>
            <w:r>
              <w:rPr>
                <w:rFonts w:ascii="Times New Roman" w:hAnsi="Times New Roman"/>
                <w:b/>
                <w:sz w:val="20"/>
              </w:rPr>
              <w:t>PSRAM</w:t>
            </w:r>
          </w:p>
        </w:tc>
        <w:tc>
          <w:tcPr>
            <w:tcW w:type="dxa" w:w="5386"/>
          </w:tcPr>
          <w:p>
            <w:pPr>
              <w:spacing w:after="0" w:line="240" w:lineRule="auto"/>
              <w:ind w:firstLine="0"/>
            </w:pPr>
            <w:r>
              <w:rPr>
                <w:rFonts w:ascii="Times New Roman" w:hAnsi="Times New Roman"/>
                <w:i/>
                <w:sz w:val="20"/>
              </w:rPr>
              <w:t>Pseudo-Static RAM</w:t>
            </w:r>
          </w:p>
        </w:tc>
      </w:tr>
      <w:tr>
        <w:tc>
          <w:tcPr>
            <w:tcW w:type="dxa" w:w="3402"/>
          </w:tcPr>
          <w:p>
            <w:pPr>
              <w:spacing w:after="0" w:line="240" w:lineRule="auto"/>
              <w:ind w:firstLine="0"/>
            </w:pPr>
            <w:r>
              <w:rPr>
                <w:rFonts w:ascii="Times New Roman" w:hAnsi="Times New Roman"/>
                <w:b/>
                <w:sz w:val="20"/>
              </w:rPr>
              <w:t>RMS</w:t>
            </w:r>
          </w:p>
        </w:tc>
        <w:tc>
          <w:tcPr>
            <w:tcW w:type="dxa" w:w="5386"/>
          </w:tcPr>
          <w:p>
            <w:pPr>
              <w:spacing w:after="0" w:line="240" w:lineRule="auto"/>
              <w:ind w:firstLine="0"/>
            </w:pPr>
            <w:r>
              <w:rPr>
                <w:rFonts w:ascii="Times New Roman" w:hAnsi="Times New Roman"/>
                <w:i/>
                <w:sz w:val="20"/>
              </w:rPr>
              <w:t>Root Mean Square</w:t>
            </w:r>
            <w:r>
              <w:rPr>
                <w:rFonts w:ascii="Times New Roman" w:hAnsi="Times New Roman"/>
                <w:b w:val="0"/>
                <w:sz w:val="20"/>
              </w:rPr>
              <w:t>, ефективна вриједност</w:t>
            </w:r>
          </w:p>
        </w:tc>
      </w:tr>
      <w:tr>
        <w:tc>
          <w:tcPr>
            <w:tcW w:type="dxa" w:w="3402"/>
          </w:tcPr>
          <w:p>
            <w:pPr>
              <w:spacing w:after="0" w:line="240" w:lineRule="auto"/>
              <w:ind w:firstLine="0"/>
            </w:pPr>
            <w:r>
              <w:rPr>
                <w:rFonts w:ascii="Times New Roman" w:hAnsi="Times New Roman"/>
                <w:b/>
                <w:sz w:val="20"/>
              </w:rPr>
              <w:t>SRAM</w:t>
            </w:r>
          </w:p>
        </w:tc>
        <w:tc>
          <w:tcPr>
            <w:tcW w:type="dxa" w:w="5386"/>
          </w:tcPr>
          <w:p>
            <w:pPr>
              <w:spacing w:after="0" w:line="240" w:lineRule="auto"/>
              <w:ind w:firstLine="0"/>
            </w:pPr>
            <w:r>
              <w:rPr>
                <w:rFonts w:ascii="Times New Roman" w:hAnsi="Times New Roman"/>
                <w:i/>
                <w:sz w:val="20"/>
              </w:rPr>
              <w:t>Static RAM</w:t>
            </w:r>
          </w:p>
        </w:tc>
      </w:tr>
      <w:tr>
        <w:tc>
          <w:tcPr>
            <w:tcW w:type="dxa" w:w="3402"/>
          </w:tcPr>
          <w:p>
            <w:pPr>
              <w:spacing w:after="0" w:line="240" w:lineRule="auto"/>
              <w:ind w:firstLine="0"/>
            </w:pPr>
            <w:r>
              <w:rPr>
                <w:rFonts w:ascii="Times New Roman" w:hAnsi="Times New Roman"/>
                <w:b/>
                <w:sz w:val="20"/>
              </w:rPr>
              <w:t>UART</w:t>
            </w:r>
          </w:p>
        </w:tc>
        <w:tc>
          <w:tcPr>
            <w:tcW w:type="dxa" w:w="5386"/>
          </w:tcPr>
          <w:p>
            <w:pPr>
              <w:spacing w:after="0" w:line="240" w:lineRule="auto"/>
              <w:ind w:firstLine="0"/>
            </w:pPr>
            <w:r>
              <w:rPr>
                <w:rFonts w:ascii="Times New Roman" w:hAnsi="Times New Roman"/>
                <w:i/>
                <w:sz w:val="20"/>
              </w:rPr>
              <w:t>Universal Asynchronous Receiver-Transmitter</w:t>
            </w:r>
          </w:p>
        </w:tc>
      </w:tr>
      <w:tr>
        <w:tc>
          <w:tcPr>
            <w:tcW w:type="dxa" w:w="3402"/>
          </w:tcPr>
          <w:p>
            <w:pPr>
              <w:spacing w:after="0" w:line="240" w:lineRule="auto"/>
              <w:ind w:firstLine="0"/>
            </w:pPr>
            <w:r>
              <w:rPr>
                <w:rFonts w:ascii="Times New Roman" w:hAnsi="Times New Roman"/>
                <w:b/>
                <w:sz w:val="20"/>
              </w:rPr>
              <w:t>dBFS</w:t>
            </w:r>
          </w:p>
        </w:tc>
        <w:tc>
          <w:tcPr>
            <w:tcW w:type="dxa" w:w="5386"/>
          </w:tcPr>
          <w:p>
            <w:pPr>
              <w:spacing w:after="0" w:line="240" w:lineRule="auto"/>
              <w:ind w:firstLine="0"/>
            </w:pPr>
            <w:r>
              <w:rPr>
                <w:rFonts w:ascii="Times New Roman" w:hAnsi="Times New Roman"/>
                <w:i/>
                <w:sz w:val="20"/>
              </w:rPr>
              <w:t>decibels relative to full scale</w:t>
            </w:r>
            <w:r>
              <w:rPr>
                <w:rFonts w:ascii="Times New Roman" w:hAnsi="Times New Roman"/>
                <w:b w:val="0"/>
                <w:sz w:val="20"/>
              </w:rPr>
              <w:t>, децибели у односу на пуну скалу</w:t>
            </w:r>
          </w:p>
        </w:tc>
      </w:tr>
    </w:tbl>
    <w:p/>
    <w:p>
      <w:pPr>
        <w:spacing w:before="0" w:after="0" w:line="20" w:lineRule="exact"/>
      </w:pPr>
      <w:r>
        <w:rPr>
          <w:sz w:val="2"/>
        </w:rPr>
        <w:br w:type="page"/>
      </w:r>
    </w:p>
    <w:p>
      <w:pPr>
        <w:spacing w:after="80"/>
        <w:ind w:firstLine="0"/>
        <w:jc w:val="center"/>
      </w:pPr>
      <w:r>
        <w:rPr>
          <w:rFonts w:ascii="Times New Roman" w:hAnsi="Times New Roman"/>
          <w:b/>
          <w:sz w:val="28"/>
        </w:rPr>
        <w:t>ЛИСТА СЛИКА</w:t>
      </w:r>
    </w:p>
    <w:p>
      <w:pPr>
        <w:spacing w:after="0" w:line="240" w:lineRule="exact"/>
      </w:pPr>
    </w:p>
    <w:p>
      <w:r>
        <w:fldChar w:fldCharType="begin"/>
        <w:instrText xml:space="preserve">TOC \h \z \t "Potpis slike,1"</w:instrText>
        <w:fldChar w:fldCharType="separate"/>
        <w:fldChar w:fldCharType="end"/>
      </w:r>
    </w:p>
    <w:p>
      <w:pPr>
        <w:spacing w:before="0" w:after="0" w:line="20" w:lineRule="exact"/>
      </w:pPr>
      <w:r>
        <w:rPr>
          <w:sz w:val="2"/>
        </w:rPr>
        <w:br w:type="page"/>
      </w:r>
    </w:p>
    <w:p>
      <w:pPr>
        <w:spacing w:after="80"/>
        <w:ind w:firstLine="0"/>
        <w:jc w:val="center"/>
      </w:pPr>
      <w:r>
        <w:rPr>
          <w:rFonts w:ascii="Times New Roman" w:hAnsi="Times New Roman"/>
          <w:b/>
          <w:sz w:val="28"/>
        </w:rPr>
        <w:t>ЛИСТА ТАБЕЛА</w:t>
      </w:r>
    </w:p>
    <w:p>
      <w:pPr>
        <w:spacing w:after="0" w:line="240" w:lineRule="exact"/>
      </w:pPr>
    </w:p>
    <w:p>
      <w:r>
        <w:fldChar w:fldCharType="begin"/>
        <w:instrText xml:space="preserve">TOC \h \z \t "Potpis tabele,1"</w:instrText>
        <w:fldChar w:fldCharType="separate"/>
        <w:fldChar w:fldCharType="end"/>
      </w:r>
    </w:p>
    <w:p>
      <w:pPr>
        <w:sectPr>
          <w:footerReference w:type="default" r:id="rId9"/>
          <w:pgSz w:w="11906" w:h="16838"/>
          <w:pgMar w:top="1417" w:right="1417" w:bottom="1417" w:left="1701" w:header="720" w:footer="720" w:gutter="0"/>
          <w:pgNumType w:fmt="upperRoman" w:start="1"/>
          <w:cols w:space="720"/>
          <w:titlePg/>
          <w:docGrid w:linePitch="360"/>
        </w:sectPr>
      </w:pPr>
    </w:p>
    <w:p>
      <w:pPr>
        <w:pStyle w:val="Heading1"/>
      </w:pPr>
      <w:r>
        <w:rPr>
          <w:rFonts w:ascii="Arial" w:hAnsi="Arial"/>
          <w:b/>
          <w:sz w:val="32"/>
        </w:rPr>
        <w:t>1. УВОД</w:t>
      </w:r>
    </w:p>
    <w:p>
      <w:pPr>
        <w:pStyle w:val="BodyText"/>
      </w:pPr>
      <w:r>
        <w:rPr>
          <w:rFonts w:ascii="Times New Roman" w:hAnsi="Times New Roman"/>
          <w:b w:val="0"/>
          <w:sz w:val="22"/>
        </w:rPr>
        <w:t>Промјене у раду ротационих машина могу се одразити на њихов звучни спектар. Акустичка детекција аномалија користи та одступања као разлог за додатну провјеру машине [2], [3]. Микрофон омогућава бесконтактно мјерење, али истовремено прима звук околине. Због тога промјена звука сама по себи не потврђује квар нити одређује његов узрок.</w:t>
      </w:r>
    </w:p>
    <w:p>
      <w:pPr>
        <w:pStyle w:val="BodyText"/>
      </w:pPr>
      <w:r>
        <w:rPr>
          <w:rFonts w:ascii="Times New Roman" w:hAnsi="Times New Roman"/>
          <w:b w:val="0"/>
          <w:sz w:val="22"/>
        </w:rPr>
        <w:t>Истраживачка заједница овај проблем обрађује под називом детекција аномалија звука машина, а од 2020. године постоји и стандардизован задатак у оквиру такмичења DCASE [1]. Поставка је намјерно тешка и реалистична: за обуку су доступни само снимци исправног рада, аномалије се не виде унапријед, а оцјена се ради на другом физичком примјерку исте врсте машине. Тај помак домена чини да рјешења која добро раде на једној машини често подбаце на другој.</w:t>
      </w:r>
    </w:p>
    <w:p>
      <w:pPr>
        <w:pStyle w:val="BodyText"/>
      </w:pPr>
      <w:r>
        <w:rPr>
          <w:rFonts w:ascii="Times New Roman" w:hAnsi="Times New Roman"/>
          <w:b w:val="0"/>
          <w:sz w:val="22"/>
        </w:rPr>
        <w:t>Референтни поступци DCASE првенствено пореде моделе на означеним скуповима снимака [1], [2]. Пренос на микроконтролер захтијева и провјеру времена обраде, меморије и поступка одлучивања. Уређај мора да постави праг, препозна непоуздано мјерење и задржи научени профил током надзора. У овом раду те функције разматрају се заједно са квалитетом рангирања.</w:t>
      </w:r>
    </w:p>
    <w:p>
      <w:pPr>
        <w:pStyle w:val="Heading2"/>
      </w:pPr>
      <w:r>
        <w:rPr>
          <w:rFonts w:ascii="Arial" w:hAnsi="Arial"/>
          <w:b/>
          <w:sz w:val="28"/>
        </w:rPr>
        <w:t>1.1. Предмет рада</w:t>
      </w:r>
    </w:p>
    <w:p>
      <w:pPr>
        <w:pStyle w:val="BodyText"/>
      </w:pPr>
      <w:r>
        <w:rPr>
          <w:rFonts w:ascii="Times New Roman" w:hAnsi="Times New Roman"/>
          <w:b w:val="0"/>
          <w:sz w:val="22"/>
        </w:rPr>
        <w:t>Предмет овог рада је пројектовање, реализација и вредновање самосталног уређаја за ненадгледану детекцију аномалија звука ротационих машина, заснованог на микроконтролеру ESP32-S3 и једном MEMS микрофону. Подјела посла је сљедећа. Општи облик варијације нормалног рада учи се унапријед на рачунару, из великог корпуса снимака исправних машина; тај научени опис се уграђује у фирмвер као непромјењива табела. Све што је специфично за конкретну машину, њен центар, њен праг и њена граница поузданости, уређај мјери сам, на лицу мјеста, у првим минутима рада поред те машине.</w:t>
      </w:r>
    </w:p>
    <w:p>
      <w:pPr>
        <w:pStyle w:val="BodyText"/>
      </w:pPr>
      <w:r>
        <w:rPr>
          <w:rFonts w:ascii="Times New Roman" w:hAnsi="Times New Roman"/>
          <w:b w:val="0"/>
          <w:sz w:val="22"/>
        </w:rPr>
        <w:t>За обуку општег модела не користе се аномални снимци. За извођење прага не користе се циљне аномалије. То није стилска одлука него услов без којег би измјерене вриједности биле оптимистичне на начин који се у стварној примјени не може поновити.</w:t>
      </w:r>
    </w:p>
    <w:p>
      <w:pPr>
        <w:pStyle w:val="Heading2"/>
      </w:pPr>
      <w:r>
        <w:rPr>
          <w:rFonts w:ascii="Arial" w:hAnsi="Arial"/>
          <w:b/>
          <w:sz w:val="28"/>
        </w:rPr>
        <w:t>1.2. Мотивација за избор теме</w:t>
      </w:r>
    </w:p>
    <w:p>
      <w:pPr>
        <w:pStyle w:val="BodyText"/>
      </w:pPr>
      <w:r>
        <w:rPr>
          <w:rFonts w:ascii="Times New Roman" w:hAnsi="Times New Roman"/>
          <w:b w:val="0"/>
          <w:sz w:val="22"/>
        </w:rPr>
        <w:t>Тема је изабрана због интересовања за обраду сигнала и реализацију статистичких модела на уграђеним системима. Циљ је био да се провјери како ограничења меморије, времена обраде и услова снимања утичу на практичну употребу детектора.</w:t>
      </w:r>
    </w:p>
    <w:p>
      <w:pPr>
        <w:pStyle w:val="BodyText"/>
      </w:pPr>
      <w:r>
        <w:rPr>
          <w:rFonts w:ascii="Times New Roman" w:hAnsi="Times New Roman"/>
          <w:b w:val="0"/>
          <w:sz w:val="22"/>
        </w:rPr>
        <w:t>Током развоја показало се да квалитет рангирања није довољан за употребљив аларм. Зато је дио рада посвећен извођењу прага, провјери калибрације и понашању при непоузданим мјерењима.</w:t>
      </w:r>
    </w:p>
    <w:p>
      <w:pPr>
        <w:pStyle w:val="Heading2"/>
      </w:pPr>
      <w:r>
        <w:rPr>
          <w:rFonts w:ascii="Arial" w:hAnsi="Arial"/>
          <w:b/>
          <w:sz w:val="28"/>
        </w:rPr>
        <w:t>1.3. Циљ и доприноси рада</w:t>
      </w:r>
    </w:p>
    <w:p>
      <w:pPr>
        <w:pStyle w:val="BodyText"/>
      </w:pPr>
      <w:r>
        <w:rPr>
          <w:rFonts w:ascii="Times New Roman" w:hAnsi="Times New Roman"/>
          <w:b w:val="0"/>
          <w:sz w:val="22"/>
        </w:rPr>
        <w:t>Постављени истраживачки циљ био је AUC од најмање 0,80 на вентилатору који није коришћен за обуку, уз протокол мјерења без цурења података. Поред тога, рад даје сљедеће доприносе:</w:t>
      </w:r>
    </w:p>
    <w:p>
      <w:pPr>
        <w:pStyle w:val="ListBullet"/>
        <w:spacing w:after="60"/>
      </w:pPr>
      <w:r>
        <w:rPr>
          <w:rFonts w:ascii="Times New Roman" w:hAnsi="Times New Roman"/>
          <w:b/>
          <w:sz w:val="22"/>
        </w:rPr>
        <w:t>Комплетан ланац на микроконтролеру.</w:t>
      </w:r>
      <w:r>
        <w:rPr>
          <w:rFonts w:ascii="Times New Roman" w:hAnsi="Times New Roman"/>
          <w:b w:val="0"/>
          <w:sz w:val="22"/>
        </w:rPr>
        <w:t xml:space="preserve"> Обиљежје, оцјена одступања, калибрација, извођење прага и временско правило одлучивања извршавају се на уређају, без рачунара у путањи одлуке.</w:t>
      </w:r>
    </w:p>
    <w:p>
      <w:pPr>
        <w:pStyle w:val="ListBullet"/>
        <w:spacing w:after="60"/>
      </w:pPr>
      <w:r>
        <w:rPr>
          <w:rFonts w:ascii="Times New Roman" w:hAnsi="Times New Roman"/>
          <w:b/>
          <w:sz w:val="22"/>
        </w:rPr>
        <w:t>Провјера прихватљивости калибрације.</w:t>
      </w:r>
      <w:r>
        <w:rPr>
          <w:rFonts w:ascii="Times New Roman" w:hAnsi="Times New Roman"/>
          <w:b w:val="0"/>
          <w:sz w:val="22"/>
        </w:rPr>
        <w:t xml:space="preserve"> Учење се прекида када подаци не задовоље задате услове. Праг се изводи из одвојеног нормалног периода и провјерава на каснијем периоду прије преласка у надзор.</w:t>
      </w:r>
    </w:p>
    <w:p>
      <w:pPr>
        <w:pStyle w:val="ListBullet"/>
        <w:spacing w:after="60"/>
      </w:pPr>
      <w:r>
        <w:rPr>
          <w:rFonts w:ascii="Times New Roman" w:hAnsi="Times New Roman"/>
          <w:b/>
          <w:sz w:val="22"/>
        </w:rPr>
        <w:t>Капија поузданости.</w:t>
      </w:r>
      <w:r>
        <w:rPr>
          <w:rFonts w:ascii="Times New Roman" w:hAnsi="Times New Roman"/>
          <w:b w:val="0"/>
          <w:sz w:val="22"/>
        </w:rPr>
        <w:t xml:space="preserve"> Интерно нестабилан прозор изнад улазног прага одбија се као непоуздан умјесто да буде протумачен. Један микрофон не може тврдити шта је извор сметње, па уређај то и не тврди.</w:t>
      </w:r>
    </w:p>
    <w:p>
      <w:pPr>
        <w:pStyle w:val="ListBullet"/>
        <w:spacing w:after="60"/>
      </w:pPr>
      <w:r>
        <w:rPr>
          <w:rFonts w:ascii="Times New Roman" w:hAnsi="Times New Roman"/>
          <w:b/>
          <w:sz w:val="22"/>
        </w:rPr>
        <w:t>Поређење алтернативних поступака.</w:t>
      </w:r>
      <w:r>
        <w:rPr>
          <w:rFonts w:ascii="Times New Roman" w:hAnsi="Times New Roman"/>
          <w:b w:val="0"/>
          <w:sz w:val="22"/>
        </w:rPr>
        <w:t xml:space="preserve"> Приказано је седам кандидата уз основно обиљежје, више временских правила и робусно правило прага које је одбијено током провјере на плочици.</w:t>
      </w:r>
    </w:p>
    <w:p>
      <w:pPr>
        <w:pStyle w:val="ListBullet"/>
        <w:spacing w:after="60"/>
      </w:pPr>
      <w:r>
        <w:rPr>
          <w:rFonts w:ascii="Times New Roman" w:hAnsi="Times New Roman"/>
          <w:b/>
          <w:sz w:val="22"/>
        </w:rPr>
        <w:t>Дигитални прилог.</w:t>
      </w:r>
      <w:r>
        <w:rPr>
          <w:rFonts w:ascii="Times New Roman" w:hAnsi="Times New Roman"/>
          <w:b w:val="0"/>
          <w:sz w:val="22"/>
        </w:rPr>
        <w:t xml:space="preserve"> Изворни код, конфигурације, табеле и записи физичких мјерења чувају се у верзионисаном спремишту, уз контролне суме извора и фирмвера.</w:t>
      </w:r>
    </w:p>
    <w:p>
      <w:pPr>
        <w:pStyle w:val="Heading2"/>
      </w:pPr>
      <w:r>
        <w:rPr>
          <w:rFonts w:ascii="Arial" w:hAnsi="Arial"/>
          <w:b/>
          <w:sz w:val="28"/>
        </w:rPr>
        <w:t>1.4. Преглед рада по поглављима</w:t>
      </w:r>
    </w:p>
    <w:p>
      <w:pPr>
        <w:pStyle w:val="BodyText"/>
        <w:ind w:firstLine="0"/>
      </w:pPr>
      <w:r>
        <w:rPr>
          <w:rFonts w:ascii="Times New Roman" w:hAnsi="Times New Roman"/>
          <w:b w:val="0"/>
          <w:sz w:val="22"/>
        </w:rPr>
        <w:t>У другом поглављу дате су теоријске основе: поставка задатка DCASE, спектрална обиљежја, Махаланобисова удаљеност, регуларизација коваријансе и метрике вредновања, као и основне карактеристике коришћене хардверске платформе. Треће поглавље описује концепт рјешења, подјелу посла између рачунара и уређаја и архитектуру система.</w:t>
      </w:r>
    </w:p>
    <w:p>
      <w:pPr>
        <w:pStyle w:val="BodyText"/>
      </w:pPr>
      <w:r>
        <w:rPr>
          <w:rFonts w:ascii="Times New Roman" w:hAnsi="Times New Roman"/>
          <w:b w:val="0"/>
          <w:sz w:val="22"/>
        </w:rPr>
        <w:t>Четврто поглавље је хронолошки приказ развоја модела, са свим измјереним покушајима, од аутоенкодера до коначног спектралног обиљежја, укључујући и оне који нису успјели, јер они објашњавају зашто коначно рјешење ради. Пето поглавље описује реализацију на платформи ESP32-S3: прихват звука, израчунавање обиљежја, организацију меморије и структуру фирмвера.</w:t>
      </w:r>
    </w:p>
    <w:p>
      <w:pPr>
        <w:pStyle w:val="BodyText"/>
      </w:pPr>
      <w:r>
        <w:rPr>
          <w:rFonts w:ascii="Times New Roman" w:hAnsi="Times New Roman"/>
          <w:b w:val="0"/>
          <w:sz w:val="22"/>
        </w:rPr>
        <w:t>Шесто поглавље уводи протокол мјерења и политике одлучивања: капију квалитета калибрације, извођење и провјеру прага, капију поузданости и временско правило аларма. Седмо поглавље доноси резултате на референтном скупу, на уређају и на стварном вентилатору. Осмо поглавље расправља о резултатима и наводи ограничења, а девето поглавље даје закључак и правце даљег рада.</w:t>
      </w:r>
    </w:p>
    <w:p>
      <w:pPr>
        <w:spacing w:before="0" w:after="0" w:line="20" w:lineRule="exact"/>
      </w:pPr>
      <w:r>
        <w:rPr>
          <w:sz w:val="2"/>
        </w:rPr>
        <w:br w:type="page"/>
      </w:r>
    </w:p>
    <w:p>
      <w:pPr>
        <w:pStyle w:val="Heading1"/>
      </w:pPr>
      <w:r>
        <w:rPr>
          <w:rFonts w:ascii="Arial" w:hAnsi="Arial"/>
          <w:b/>
          <w:sz w:val="32"/>
        </w:rPr>
        <w:t>2. ТЕОРИЈСКЕ ОСНОВЕ</w:t>
      </w:r>
    </w:p>
    <w:p>
      <w:pPr>
        <w:pStyle w:val="BodyText"/>
      </w:pPr>
      <w:r>
        <w:rPr>
          <w:rFonts w:ascii="Times New Roman" w:hAnsi="Times New Roman"/>
          <w:b w:val="0"/>
          <w:sz w:val="22"/>
        </w:rPr>
        <w:t>У овом поглављу изложени су појмови на којима почива рјешење: поставка задатка ненадгледане детекције аномалија звука, спектрална обиљежја и њихова резолуција, статистичка мјера одступања и њена регуларизација, метрике вредновања и карактеристике коришћене хардверске платформе.</w:t>
      </w:r>
    </w:p>
    <w:p>
      <w:pPr>
        <w:pStyle w:val="Heading2"/>
      </w:pPr>
      <w:r>
        <w:rPr>
          <w:rFonts w:ascii="Arial" w:hAnsi="Arial"/>
          <w:b/>
          <w:sz w:val="28"/>
        </w:rPr>
        <w:t>2.1. Поставка задатка</w:t>
      </w:r>
    </w:p>
    <w:p>
      <w:pPr>
        <w:pStyle w:val="BodyText"/>
      </w:pPr>
      <w:r>
        <w:rPr>
          <w:rFonts w:ascii="Times New Roman" w:hAnsi="Times New Roman"/>
          <w:b w:val="0"/>
          <w:sz w:val="22"/>
        </w:rPr>
        <w:t>Детекција аномалија звука машина своди се на сљедеће: на основу кратког звучног исјечка одредити да ли машина ради нормално. Отежавајућа околност је што се аномалије не могу унапријед прикупити, јер су кварови ријетки, разноврсни и скупи да би се намјерно изазивали. Због тога се модел учи искључиво из нормалних снимака, а аномалија се дефинише као одступање од наученог описа нормалног стања.</w:t>
      </w:r>
    </w:p>
    <w:p>
      <w:pPr>
        <w:pStyle w:val="BodyText"/>
      </w:pPr>
      <w:r>
        <w:rPr>
          <w:rFonts w:ascii="Times New Roman" w:hAnsi="Times New Roman"/>
          <w:b w:val="0"/>
          <w:sz w:val="22"/>
        </w:rPr>
        <w:t xml:space="preserve">Коришћен је развојни скуп DCASE 2026, задатак 2 [1]. Званична поставка </w:t>
      </w:r>
      <w:r>
        <w:rPr>
          <w:rFonts w:ascii="Times New Roman" w:hAnsi="Times New Roman"/>
          <w:i/>
          <w:sz w:val="22"/>
        </w:rPr>
        <w:t>first-shot</w:t>
      </w:r>
      <w:r>
        <w:rPr>
          <w:rFonts w:ascii="Times New Roman" w:hAnsi="Times New Roman"/>
          <w:b w:val="0"/>
          <w:sz w:val="22"/>
        </w:rPr>
        <w:t xml:space="preserve"> разматра пренос на претходно невиђене типове машина. Овај рад користи доступни развојни скуп за избор и поређење поступака, па његови резултати нису независна оцјена на скривеном скупу такмичења. Изворни и циљни домен представљају различите услове снимања или рада [2], [3].</w:t>
      </w:r>
    </w:p>
    <w:p>
      <w:pPr>
        <w:pStyle w:val="BodyText"/>
      </w:pPr>
      <w:r>
        <w:rPr>
          <w:rFonts w:ascii="Times New Roman" w:hAnsi="Times New Roman"/>
          <w:b w:val="0"/>
          <w:sz w:val="22"/>
        </w:rPr>
        <w:t>За вентилатор, који је предмет овог рада, изворни домен садржи 990 снимака нормалног рада. Сваки снимак траје 10 s и узоркован је на 16 kHz. Циљни домен садржи мањи број нормалних снимака и скуп аномалних снимака који се отвара тек у завршној фази оцјене.</w:t>
      </w:r>
    </w:p>
    <w:p>
      <w:pPr>
        <w:pStyle w:val="Heading2"/>
      </w:pPr>
      <w:r>
        <w:rPr>
          <w:rFonts w:ascii="Arial" w:hAnsi="Arial"/>
          <w:b/>
          <w:sz w:val="28"/>
        </w:rPr>
        <w:t>2.2. Спектрална обиљежја и резолуција</w:t>
      </w:r>
    </w:p>
    <w:p>
      <w:pPr>
        <w:pStyle w:val="BodyText"/>
      </w:pPr>
      <w:r>
        <w:rPr>
          <w:rFonts w:ascii="Times New Roman" w:hAnsi="Times New Roman"/>
          <w:b w:val="0"/>
          <w:sz w:val="22"/>
        </w:rPr>
        <w:t>Уобичајено обиљежје у овој области је логаритамски мел спектрограм, који опонаша нелинеарну фреквенцијску осјетљивост људског слуха [1]. Мел скала намјерно спаја сусједне фреквенције на вишим опсезима, што је корисно за говор и музику, али није нужно корисно за машину чији потпис чине уске хармонијске линије.</w:t>
      </w:r>
    </w:p>
    <w:p>
      <w:pPr>
        <w:pStyle w:val="BodyText"/>
      </w:pPr>
      <w:r>
        <w:rPr>
          <w:rFonts w:ascii="Times New Roman" w:hAnsi="Times New Roman"/>
          <w:b w:val="0"/>
          <w:sz w:val="22"/>
        </w:rPr>
        <w:t>Алтернатива коришћена у овом раду је процјена спектралне густине снаге Велчовим поступком [4]. Сигнал се дијели на преклапајуће сегменте, над сваким се рачуна периодограм, а резултати се усредњавају. Тиме се смањује варијанса процјене по цијену фреквенцијске резолуције, а однос је под контролом преко дужине сегмента. За дужину сегмента од 8192 узорка и фреквенцију одабирања од 16 kHz, размак између сусједних тачака спектра дат је изразом (1):</w:t>
      </w:r>
    </w:p>
    <w:p>
      <w:pPr>
        <w:tabs>
          <w:tab w:pos="4252" w:val="center"/>
          <w:tab w:pos="8504" w:val="right"/>
        </w:tabs>
        <w:spacing w:before="120" w:after="120"/>
      </w:pPr>
      <w:r>
        <w:rPr>
          <w:rFonts w:ascii="Times New Roman" w:hAnsi="Times New Roman"/>
          <w:i/>
          <w:sz w:val="22"/>
        </w:rPr>
        <w:tab/>
        <w:t>Δf = fs / N = 16000 / 8192 ≈ 1,95 Hz</w:t>
      </w:r>
      <w:r>
        <w:rPr>
          <w:sz w:val="22"/>
        </w:rPr>
        <w:tab/>
        <w:t>(1)</w:t>
      </w:r>
    </w:p>
    <w:p>
      <w:pPr>
        <w:pStyle w:val="BodyText"/>
        <w:ind w:firstLine="0"/>
      </w:pPr>
      <w:r>
        <w:rPr>
          <w:rFonts w:ascii="Times New Roman" w:hAnsi="Times New Roman"/>
          <w:b w:val="0"/>
          <w:sz w:val="22"/>
        </w:rPr>
        <w:t>За поређење, уобичајена дужина прозора од 1024 узорка даје размак од 15,6 Hz. Разлика је одлучујућа када су носиоци информације уске хармонијске линије основне фреквенције обртања, што је случај код вентилатора. Та веза између физике машине и избора резолуције детаљно је измјерена у четвртом поглављу.</w:t>
      </w:r>
    </w:p>
    <w:p>
      <w:pPr>
        <w:pStyle w:val="Heading2"/>
      </w:pPr>
      <w:r>
        <w:rPr>
          <w:rFonts w:ascii="Arial" w:hAnsi="Arial"/>
          <w:b/>
          <w:sz w:val="28"/>
        </w:rPr>
        <w:t>2.3. Махаланобисова удаљеност</w:t>
      </w:r>
    </w:p>
    <w:p>
      <w:pPr>
        <w:pStyle w:val="BodyText"/>
      </w:pPr>
      <w:r>
        <w:rPr>
          <w:rFonts w:ascii="Times New Roman" w:hAnsi="Times New Roman"/>
          <w:b w:val="0"/>
          <w:sz w:val="22"/>
        </w:rPr>
        <w:t>Након што је исјечак сведен на вектор обиљежја, потребна је мјера колико тај вектор одступа од наученог нормалног стања. Еуклидска удаљеност није прикладна јер третира све димензије једнако и занемарује њихове међусобне везе. Махаланобисова удаљеност [7] узима у обзир коваријансну структуру података, израз (2):</w:t>
      </w:r>
    </w:p>
    <w:p>
      <w:pPr>
        <w:tabs>
          <w:tab w:pos="4252" w:val="center"/>
          <w:tab w:pos="8504" w:val="right"/>
        </w:tabs>
        <w:spacing w:before="120" w:after="120"/>
      </w:pPr>
      <w:r>
        <w:rPr>
          <w:rFonts w:ascii="Times New Roman" w:hAnsi="Times New Roman"/>
          <w:i/>
          <w:sz w:val="22"/>
        </w:rPr>
        <w:tab/>
        <w:t>s(x) = (z − c)ᵀ P (z − c)</w:t>
      </w:r>
      <w:r>
        <w:rPr>
          <w:sz w:val="22"/>
        </w:rPr>
        <w:tab/>
        <w:t>(2)</w:t>
      </w:r>
    </w:p>
    <w:p>
      <w:pPr>
        <w:pStyle w:val="BodyText"/>
        <w:ind w:firstLine="0"/>
      </w:pPr>
      <w:r>
        <w:rPr>
          <w:rFonts w:ascii="Times New Roman" w:hAnsi="Times New Roman"/>
          <w:b w:val="0"/>
          <w:sz w:val="22"/>
        </w:rPr>
        <w:t xml:space="preserve">гдје је </w:t>
      </w:r>
      <w:r>
        <w:rPr>
          <w:rFonts w:ascii="Times New Roman" w:hAnsi="Times New Roman"/>
          <w:i/>
          <w:sz w:val="22"/>
        </w:rPr>
        <w:t>z</w:t>
      </w:r>
      <w:r>
        <w:rPr>
          <w:rFonts w:ascii="Times New Roman" w:hAnsi="Times New Roman"/>
          <w:b w:val="0"/>
          <w:sz w:val="22"/>
        </w:rPr>
        <w:t xml:space="preserve"> стандардизовани вектор обиљежја, </w:t>
      </w:r>
      <w:r>
        <w:rPr>
          <w:rFonts w:ascii="Times New Roman" w:hAnsi="Times New Roman"/>
          <w:i/>
          <w:sz w:val="22"/>
        </w:rPr>
        <w:t>c</w:t>
      </w:r>
      <w:r>
        <w:rPr>
          <w:rFonts w:ascii="Times New Roman" w:hAnsi="Times New Roman"/>
          <w:b w:val="0"/>
          <w:sz w:val="22"/>
        </w:rPr>
        <w:t xml:space="preserve"> локални центар научен на конкретној машини, а </w:t>
      </w:r>
      <w:r>
        <w:rPr>
          <w:rFonts w:ascii="Times New Roman" w:hAnsi="Times New Roman"/>
          <w:i/>
          <w:sz w:val="22"/>
        </w:rPr>
        <w:t>P</w:t>
      </w:r>
      <w:r>
        <w:rPr>
          <w:rFonts w:ascii="Times New Roman" w:hAnsi="Times New Roman"/>
          <w:b w:val="0"/>
          <w:sz w:val="22"/>
        </w:rPr>
        <w:t xml:space="preserve"> инверзна коваријансна матрица (матрица прецизности) научена унапријед на великом корпусу исправних снимака. Вриједност </w:t>
      </w:r>
      <w:r>
        <w:rPr>
          <w:rFonts w:ascii="Times New Roman" w:hAnsi="Times New Roman"/>
          <w:i/>
          <w:sz w:val="22"/>
        </w:rPr>
        <w:t>s(x)</w:t>
      </w:r>
      <w:r>
        <w:rPr>
          <w:rFonts w:ascii="Times New Roman" w:hAnsi="Times New Roman"/>
          <w:b w:val="0"/>
          <w:sz w:val="22"/>
        </w:rPr>
        <w:t xml:space="preserve"> је квадрирана Махаланобисова удаљеност и користи се као мјера одступања.</w:t>
      </w:r>
    </w:p>
    <w:p>
      <w:pPr>
        <w:pStyle w:val="BodyText"/>
      </w:pPr>
      <w:r>
        <w:rPr>
          <w:rFonts w:ascii="Times New Roman" w:hAnsi="Times New Roman"/>
          <w:b w:val="0"/>
          <w:sz w:val="22"/>
        </w:rPr>
        <w:t xml:space="preserve">Значајна особина ове мјере је да је </w:t>
      </w:r>
      <w:r>
        <w:rPr>
          <w:rFonts w:ascii="Times New Roman" w:hAnsi="Times New Roman"/>
          <w:b/>
          <w:sz w:val="22"/>
        </w:rPr>
        <w:t>двострана по конструкцији</w:t>
      </w:r>
      <w:r>
        <w:rPr>
          <w:rFonts w:ascii="Times New Roman" w:hAnsi="Times New Roman"/>
          <w:b w:val="0"/>
          <w:sz w:val="22"/>
        </w:rPr>
        <w:t>: удаљеност расте и када обиљежје порасте и када опадне у односу на центар. То одговара стварности, јер се квар може испољити и као појачање и као слабљење појединих компоненти спектра.</w:t>
      </w:r>
    </w:p>
    <w:p>
      <w:pPr>
        <w:pStyle w:val="Heading2"/>
      </w:pPr>
      <w:r>
        <w:rPr>
          <w:rFonts w:ascii="Arial" w:hAnsi="Arial"/>
          <w:b/>
          <w:sz w:val="28"/>
        </w:rPr>
        <w:t>2.4. Регуларизација коваријансе</w:t>
      </w:r>
    </w:p>
    <w:p>
      <w:pPr>
        <w:pStyle w:val="BodyText"/>
      </w:pPr>
      <w:r>
        <w:rPr>
          <w:rFonts w:ascii="Times New Roman" w:hAnsi="Times New Roman"/>
          <w:b w:val="0"/>
          <w:sz w:val="22"/>
        </w:rPr>
        <w:t>Процјена коваријансне матрице из коначног узорка је непоуздана када је број димензија упоредив са бројем узорака. Емпиријска матрица постаје лоше условљена или сингуларна, а њен инверз нумерички неупотребљив. Поступак Ледоа и Волфа [5] рјешава то скупљањем емпиријске матрице према структурисаној мети, са коефицијентом који се бира аналитички тако да минимизује очекивану квадратну грешку.</w:t>
      </w:r>
    </w:p>
    <w:p>
      <w:pPr>
        <w:pStyle w:val="BodyText"/>
      </w:pPr>
      <w:r>
        <w:rPr>
          <w:rFonts w:ascii="Times New Roman" w:hAnsi="Times New Roman"/>
          <w:b w:val="0"/>
          <w:sz w:val="22"/>
        </w:rPr>
        <w:t>Овај поступак није козметички детаљ. У четвртом поглављу је измјерено да је један ранији негативан резултат, обиљежје са више димензија које је изгледало лошије, заправо био посљедица лоше условљене коваријансе, а не лоше идеје. Када је скупљање уведено, већи број димензија престао је да буде казна.</w:t>
      </w:r>
    </w:p>
    <w:p>
      <w:pPr>
        <w:pStyle w:val="Heading2"/>
      </w:pPr>
      <w:r>
        <w:rPr>
          <w:rFonts w:ascii="Arial" w:hAnsi="Arial"/>
          <w:b/>
          <w:sz w:val="28"/>
        </w:rPr>
        <w:t>2.5. Метрике вредновања</w:t>
      </w:r>
    </w:p>
    <w:p>
      <w:pPr>
        <w:pStyle w:val="BodyText"/>
      </w:pPr>
      <w:r>
        <w:rPr>
          <w:rFonts w:ascii="Times New Roman" w:hAnsi="Times New Roman"/>
          <w:b w:val="0"/>
          <w:sz w:val="22"/>
        </w:rPr>
        <w:t xml:space="preserve">Основна метрика је површина испод ROC криве (AUC). Она мјери вјероватноћу да насумично изабрани аномални исјечак добије већу оцјену од насумично изабраног нормалног, дакле квалитет рангирања кроз све могуће прагове. Вриједност 0,50 одговара случајном рангирању. Важно је да AUC </w:t>
      </w:r>
      <w:r>
        <w:rPr>
          <w:rFonts w:ascii="Times New Roman" w:hAnsi="Times New Roman"/>
          <w:b/>
          <w:sz w:val="22"/>
        </w:rPr>
        <w:t>не</w:t>
      </w:r>
      <w:r>
        <w:rPr>
          <w:rFonts w:ascii="Times New Roman" w:hAnsi="Times New Roman"/>
          <w:b w:val="0"/>
          <w:sz w:val="22"/>
        </w:rPr>
        <w:t xml:space="preserve"> представља проценат тачности и да не говори ништа о томе како ће систем радити са конкретним изабраним прагом.</w:t>
      </w:r>
    </w:p>
    <w:p>
      <w:pPr>
        <w:pStyle w:val="BodyText"/>
      </w:pPr>
      <w:r>
        <w:rPr>
          <w:rFonts w:ascii="Times New Roman" w:hAnsi="Times New Roman"/>
          <w:b w:val="0"/>
          <w:sz w:val="22"/>
        </w:rPr>
        <w:t>Парцијална површина pAUC рачуна се само у области ниске стопе лажних узбуна и боље одговара практичној употреби, гдје је велики број лажних аларма неприхватљив. У овом раду се пријављује стандардизовани pAUC при стопи лажних узбуна до 0,1.</w:t>
      </w:r>
    </w:p>
    <w:p>
      <w:pPr>
        <w:pStyle w:val="BodyText"/>
      </w:pPr>
      <w:r>
        <w:rPr>
          <w:rFonts w:ascii="Times New Roman" w:hAnsi="Times New Roman"/>
          <w:b w:val="0"/>
          <w:sz w:val="22"/>
        </w:rPr>
        <w:t>За стварни уређај ни AUC ни pAUC нису довољни. Послије избора прага обавезно се пријављују и број алармних прозора, број алармних епизода, кашњење детекције и вријеме опоравка. Разлика између алармног прозора и алармне епизоде је суштинска: узастопни прозори изнад прага припадају истој епизоди док се аларм не угаси, па представљање броја прозора као броја епизода прецјењује учесталост аларма за ред величине.</w:t>
      </w:r>
    </w:p>
    <w:p>
      <w:pPr>
        <w:pStyle w:val="Heading2"/>
      </w:pPr>
      <w:r>
        <w:rPr>
          <w:rFonts w:ascii="Arial" w:hAnsi="Arial"/>
          <w:b/>
          <w:sz w:val="28"/>
        </w:rPr>
        <w:t>2.6. Хардверска платформа</w:t>
      </w:r>
    </w:p>
    <w:p>
      <w:pPr>
        <w:pStyle w:val="BodyText"/>
      </w:pPr>
      <w:r>
        <w:rPr>
          <w:rFonts w:ascii="Times New Roman" w:hAnsi="Times New Roman"/>
          <w:b w:val="0"/>
          <w:sz w:val="22"/>
        </w:rPr>
        <w:t>Коришћена је развојна плоча са ESP32-S3 процесором на 240 MHz и 16 MB PSRAM-а. Добављачка ознака N32R16V и подешавање флеш меморије од 32 MB описују конкретну плочу. Та ознака се не налази у табели стандардних WROOM-1 модула у документу [8], па се капацитет плоче не изводи из те табеле. Развојно окружење је ESP-IDF 5.5.5 [9].</w:t>
      </w:r>
    </w:p>
    <w:p>
      <w:pPr>
        <w:pStyle w:val="BodyText"/>
      </w:pPr>
      <w:r>
        <w:rPr>
          <w:rFonts w:ascii="Times New Roman" w:hAnsi="Times New Roman"/>
          <w:b w:val="0"/>
          <w:sz w:val="22"/>
        </w:rPr>
        <w:t>Као извор звука користи се дигитални MEMS микрофон INMP441 [10]. Он даје 24-битни податак преко сабирнице I2S, па нису потребни спољни аналогно-дигитални претварач и аналогни појачавач. Дигитална веза поједностављује повезивање, али не уклања шум микрофона, утицај напајања или акустике просторије. Карактеристике платформе дате су у Табели 2.1.</w:t>
      </w:r>
    </w:p>
    <w:p>
      <w:pPr>
        <w:pStyle w:val="Potpistabele"/>
        <w:keepNext/>
        <w:spacing w:before="200" w:after="60"/>
        <w:jc w:val="center"/>
      </w:pPr>
      <w:r>
        <w:rPr>
          <w:rFonts w:ascii="Times New Roman" w:hAnsi="Times New Roman"/>
          <w:b w:val="0"/>
          <w:sz w:val="22"/>
        </w:rPr>
        <w:t>Табела 2.1. Карактеристике коришћене платформе</w:t>
      </w:r>
    </w:p>
    <w:tbl>
      <w:tblPr>
        <w:tblStyle w:val="TableGrid"/>
        <w:tblW w:type="auto" w:w="0"/>
        <w:jc w:val="center"/>
        <w:tblLook w:firstColumn="1" w:firstRow="1" w:lastColumn="0" w:lastRow="0" w:noHBand="0" w:noVBand="1" w:val="04A0"/>
      </w:tblPr>
      <w:tblGrid>
        <w:gridCol w:w="4394"/>
        <w:gridCol w:w="4394"/>
      </w:tblGrid>
      <w:tr>
        <w:trPr>
          <w:tblHeader/>
        </w:trPr>
        <w:tc>
          <w:tcPr>
            <w:tcW w:type="dxa" w:w="4394"/>
          </w:tcPr>
          <w:p>
            <w:pPr>
              <w:keepNext/>
              <w:spacing w:after="40"/>
              <w:jc w:val="center"/>
            </w:pPr>
            <w:r>
              <w:rPr>
                <w:rFonts w:ascii="Times New Roman" w:hAnsi="Times New Roman"/>
                <w:b/>
                <w:sz w:val="20"/>
              </w:rPr>
              <w:t>Ставка</w:t>
            </w:r>
          </w:p>
        </w:tc>
        <w:tc>
          <w:tcPr>
            <w:tcW w:type="dxa" w:w="4394"/>
          </w:tcPr>
          <w:p>
            <w:pPr>
              <w:keepNext/>
              <w:spacing w:after="40"/>
              <w:jc w:val="center"/>
            </w:pPr>
            <w:r>
              <w:rPr>
                <w:rFonts w:ascii="Times New Roman" w:hAnsi="Times New Roman"/>
                <w:b/>
                <w:sz w:val="20"/>
              </w:rPr>
              <w:t>Вриједност</w:t>
            </w:r>
          </w:p>
        </w:tc>
      </w:tr>
      <w:tr>
        <w:trPr>
          <w:cantSplit/>
        </w:trPr>
        <w:tc>
          <w:tcPr>
            <w:tcW w:type="dxa" w:w="4394"/>
          </w:tcPr>
          <w:p>
            <w:pPr>
              <w:spacing w:after="40"/>
            </w:pPr>
            <w:r>
              <w:rPr>
                <w:rFonts w:ascii="Times New Roman" w:hAnsi="Times New Roman"/>
                <w:b w:val="0"/>
                <w:sz w:val="20"/>
              </w:rPr>
              <w:t>Плоча</w:t>
            </w:r>
          </w:p>
        </w:tc>
        <w:tc>
          <w:tcPr>
            <w:tcW w:type="dxa" w:w="4394"/>
          </w:tcPr>
          <w:p>
            <w:pPr>
              <w:spacing w:after="40"/>
            </w:pPr>
            <w:r>
              <w:rPr>
                <w:rFonts w:ascii="Times New Roman" w:hAnsi="Times New Roman"/>
                <w:b w:val="0"/>
                <w:sz w:val="20"/>
              </w:rPr>
              <w:t>ESP32-S3, ознака добављача N32R16V</w:t>
            </w:r>
          </w:p>
        </w:tc>
      </w:tr>
      <w:tr>
        <w:trPr>
          <w:cantSplit/>
        </w:trPr>
        <w:tc>
          <w:tcPr>
            <w:tcW w:type="dxa" w:w="4394"/>
          </w:tcPr>
          <w:p>
            <w:pPr>
              <w:spacing w:after="40"/>
            </w:pPr>
            <w:r>
              <w:rPr>
                <w:rFonts w:ascii="Times New Roman" w:hAnsi="Times New Roman"/>
                <w:b w:val="0"/>
                <w:sz w:val="20"/>
              </w:rPr>
              <w:t>Процесор</w:t>
            </w:r>
          </w:p>
        </w:tc>
        <w:tc>
          <w:tcPr>
            <w:tcW w:type="dxa" w:w="4394"/>
          </w:tcPr>
          <w:p>
            <w:pPr>
              <w:spacing w:after="40"/>
            </w:pPr>
            <w:r>
              <w:rPr>
                <w:rFonts w:ascii="Times New Roman" w:hAnsi="Times New Roman"/>
                <w:b w:val="0"/>
                <w:sz w:val="20"/>
              </w:rPr>
              <w:t>двојезгарни Xtensa LX7, 240 MHz</w:t>
            </w:r>
          </w:p>
        </w:tc>
      </w:tr>
      <w:tr>
        <w:trPr>
          <w:cantSplit/>
        </w:trPr>
        <w:tc>
          <w:tcPr>
            <w:tcW w:type="dxa" w:w="4394"/>
          </w:tcPr>
          <w:p>
            <w:pPr>
              <w:spacing w:after="40"/>
            </w:pPr>
            <w:r>
              <w:rPr>
                <w:rFonts w:ascii="Times New Roman" w:hAnsi="Times New Roman"/>
                <w:b w:val="0"/>
                <w:sz w:val="20"/>
              </w:rPr>
              <w:t>Интерна меморија</w:t>
            </w:r>
          </w:p>
        </w:tc>
        <w:tc>
          <w:tcPr>
            <w:tcW w:type="dxa" w:w="4394"/>
          </w:tcPr>
          <w:p>
            <w:pPr>
              <w:spacing w:after="40"/>
            </w:pPr>
            <w:r>
              <w:rPr>
                <w:rFonts w:ascii="Times New Roman" w:hAnsi="Times New Roman"/>
                <w:b w:val="0"/>
                <w:sz w:val="20"/>
              </w:rPr>
              <w:t>512 KB SRAM</w:t>
            </w:r>
          </w:p>
        </w:tc>
      </w:tr>
      <w:tr>
        <w:trPr>
          <w:cantSplit/>
        </w:trPr>
        <w:tc>
          <w:tcPr>
            <w:tcW w:type="dxa" w:w="4394"/>
          </w:tcPr>
          <w:p>
            <w:pPr>
              <w:spacing w:after="40"/>
            </w:pPr>
            <w:r>
              <w:rPr>
                <w:rFonts w:ascii="Times New Roman" w:hAnsi="Times New Roman"/>
                <w:b w:val="0"/>
                <w:sz w:val="20"/>
              </w:rPr>
              <w:t>Спољна меморија</w:t>
            </w:r>
          </w:p>
        </w:tc>
        <w:tc>
          <w:tcPr>
            <w:tcW w:type="dxa" w:w="4394"/>
          </w:tcPr>
          <w:p>
            <w:pPr>
              <w:spacing w:after="40"/>
            </w:pPr>
            <w:r>
              <w:rPr>
                <w:rFonts w:ascii="Times New Roman" w:hAnsi="Times New Roman"/>
                <w:b w:val="0"/>
                <w:sz w:val="20"/>
              </w:rPr>
              <w:t>16 MB октални PSRAM, 32 MB флеш</w:t>
            </w:r>
          </w:p>
        </w:tc>
      </w:tr>
      <w:tr>
        <w:trPr>
          <w:cantSplit/>
        </w:trPr>
        <w:tc>
          <w:tcPr>
            <w:tcW w:type="dxa" w:w="4394"/>
          </w:tcPr>
          <w:p>
            <w:pPr>
              <w:spacing w:after="40"/>
            </w:pPr>
            <w:r>
              <w:rPr>
                <w:rFonts w:ascii="Times New Roman" w:hAnsi="Times New Roman"/>
                <w:b w:val="0"/>
                <w:sz w:val="20"/>
              </w:rPr>
              <w:t>Микрофон</w:t>
            </w:r>
          </w:p>
        </w:tc>
        <w:tc>
          <w:tcPr>
            <w:tcW w:type="dxa" w:w="4394"/>
          </w:tcPr>
          <w:p>
            <w:pPr>
              <w:spacing w:after="40"/>
            </w:pPr>
            <w:r>
              <w:rPr>
                <w:rFonts w:ascii="Times New Roman" w:hAnsi="Times New Roman"/>
                <w:b w:val="0"/>
                <w:sz w:val="20"/>
              </w:rPr>
              <w:t>INMP441, дигитални MEMS, I2S</w:t>
            </w:r>
          </w:p>
        </w:tc>
      </w:tr>
      <w:tr>
        <w:trPr>
          <w:cantSplit/>
        </w:trPr>
        <w:tc>
          <w:tcPr>
            <w:tcW w:type="dxa" w:w="4394"/>
          </w:tcPr>
          <w:p>
            <w:pPr>
              <w:spacing w:after="40"/>
            </w:pPr>
            <w:r>
              <w:rPr>
                <w:rFonts w:ascii="Times New Roman" w:hAnsi="Times New Roman"/>
                <w:b w:val="0"/>
                <w:sz w:val="20"/>
              </w:rPr>
              <w:t>Фреквенција одабирања</w:t>
            </w:r>
          </w:p>
        </w:tc>
        <w:tc>
          <w:tcPr>
            <w:tcW w:type="dxa" w:w="4394"/>
          </w:tcPr>
          <w:p>
            <w:pPr>
              <w:spacing w:after="40"/>
            </w:pPr>
            <w:r>
              <w:rPr>
                <w:rFonts w:ascii="Times New Roman" w:hAnsi="Times New Roman"/>
                <w:b w:val="0"/>
                <w:sz w:val="20"/>
              </w:rPr>
              <w:t>16 kHz, 16 бита по узорку</w:t>
            </w:r>
          </w:p>
        </w:tc>
      </w:tr>
      <w:tr>
        <w:trPr>
          <w:cantSplit/>
        </w:trPr>
        <w:tc>
          <w:tcPr>
            <w:tcW w:type="dxa" w:w="4394"/>
          </w:tcPr>
          <w:p>
            <w:pPr>
              <w:spacing w:after="40"/>
            </w:pPr>
            <w:r>
              <w:rPr>
                <w:rFonts w:ascii="Times New Roman" w:hAnsi="Times New Roman"/>
                <w:b w:val="0"/>
                <w:sz w:val="20"/>
              </w:rPr>
              <w:t>Развојно окружење</w:t>
            </w:r>
          </w:p>
        </w:tc>
        <w:tc>
          <w:tcPr>
            <w:tcW w:type="dxa" w:w="4394"/>
          </w:tcPr>
          <w:p>
            <w:pPr>
              <w:spacing w:after="40"/>
            </w:pPr>
            <w:r>
              <w:rPr>
                <w:rFonts w:ascii="Times New Roman" w:hAnsi="Times New Roman"/>
                <w:b w:val="0"/>
                <w:sz w:val="20"/>
              </w:rPr>
              <w:t>ESP-IDF v5.5.5</w:t>
            </w:r>
          </w:p>
        </w:tc>
      </w:tr>
    </w:tbl>
    <w:p>
      <w:pPr>
        <w:spacing w:after="80"/>
      </w:pPr>
    </w:p>
    <w:p>
      <w:pPr>
        <w:pStyle w:val="BodyText"/>
        <w:ind w:firstLine="0"/>
      </w:pPr>
      <w:r>
        <w:rPr>
          <w:rFonts w:ascii="Times New Roman" w:hAnsi="Times New Roman"/>
          <w:b w:val="0"/>
          <w:sz w:val="22"/>
        </w:rPr>
        <w:t>Забрањени су пинови 35, 36 и 37, које модул користи за окталну псеудостатичку меморију. Распоред осталих пинова дат је у петом поглављу.</w:t>
      </w:r>
    </w:p>
    <w:p>
      <w:pPr>
        <w:spacing w:before="0" w:after="0" w:line="20" w:lineRule="exact"/>
      </w:pPr>
      <w:r>
        <w:rPr>
          <w:sz w:val="2"/>
        </w:rPr>
        <w:br w:type="page"/>
      </w:r>
    </w:p>
    <w:p>
      <w:pPr>
        <w:pStyle w:val="Heading1"/>
      </w:pPr>
      <w:r>
        <w:rPr>
          <w:rFonts w:ascii="Arial" w:hAnsi="Arial"/>
          <w:b/>
          <w:sz w:val="32"/>
        </w:rPr>
        <w:t>3. КОНЦЕПТ РЈЕШЕЊА</w:t>
      </w:r>
    </w:p>
    <w:p>
      <w:pPr>
        <w:pStyle w:val="BodyText"/>
      </w:pPr>
      <w:r>
        <w:rPr>
          <w:rFonts w:ascii="Times New Roman" w:hAnsi="Times New Roman"/>
          <w:b w:val="0"/>
          <w:sz w:val="22"/>
        </w:rPr>
        <w:t>Основна замисао рјешења је подјела посла на оно што се може научити унапријед и оно што се мора измјерити на лицу мјеста. Та подјела није произвољна него слиједи из мјерења описаног у четвртом поглављу: облик варијације нормалног рада тражи стотине снимака и учи се једном, док је положај центра специфичан за сваки примјерак машине и довољно га је измјерити из десетак исјечака.</w:t>
      </w:r>
    </w:p>
    <w:p>
      <w:pPr>
        <w:pStyle w:val="Heading2"/>
      </w:pPr>
      <w:r>
        <w:rPr>
          <w:rFonts w:ascii="Arial" w:hAnsi="Arial"/>
          <w:b/>
          <w:sz w:val="28"/>
        </w:rPr>
        <w:t>3.1. Подјела посла између рачунара и уређаја</w:t>
      </w:r>
    </w:p>
    <w:p>
      <w:pPr>
        <w:pStyle w:val="BodyText"/>
      </w:pPr>
      <w:r>
        <w:rPr>
          <w:rFonts w:ascii="Times New Roman" w:hAnsi="Times New Roman"/>
          <w:b w:val="0"/>
          <w:sz w:val="22"/>
        </w:rPr>
        <w:t>На рачунару се, из 990 снимака нормалног рада изворног домена, уче двије ствари: параметри стандардизације по димензијама и матрица прецизности добијена поступком Ледоа и Волфа. Обје се уграђују у фирмвер као константне табеле. Матрица прецизности димензија 96×96 заузима 36 864 B, а параметри стандардизације 768 B, што је занемарљиво у односу на расположиву флеш меморију.</w:t>
      </w:r>
    </w:p>
    <w:p>
      <w:pPr>
        <w:pStyle w:val="BodyText"/>
      </w:pPr>
      <w:r>
        <w:rPr>
          <w:rFonts w:ascii="Times New Roman" w:hAnsi="Times New Roman"/>
          <w:b w:val="0"/>
          <w:sz w:val="22"/>
        </w:rPr>
        <w:t>На уређају се, у првим минутима рада поред конкретне машине, мјере три ствари: локални центар из десет исправних исјечака, праг одлуке из одвојеног периода нормалног рада, и граница поузданости појединог прозора. Све три величине су специфичне за ту машину, тај положај микрофона и ту просторију, и ниједна се не преноси између поставки. Подјела посла приказана је на Слици 3.1.</w:t>
      </w:r>
    </w:p>
    <w:p>
      <w:pPr>
        <w:keepNext/>
        <w:spacing w:before="160"/>
        <w:jc w:val="center"/>
      </w:pPr>
      <w:r>
        <w:drawing>
          <wp:inline xmlns:a="http://schemas.openxmlformats.org/drawingml/2006/main" xmlns:pic="http://schemas.openxmlformats.org/drawingml/2006/picture">
            <wp:extent cx="5040000" cy="2325366"/>
            <wp:docPr id="1" name="Picture 1"/>
            <wp:cNvGraphicFramePr>
              <a:graphicFrameLocks noChangeAspect="1"/>
            </wp:cNvGraphicFramePr>
            <a:graphic>
              <a:graphicData uri="http://schemas.openxmlformats.org/drawingml/2006/picture">
                <pic:pic>
                  <pic:nvPicPr>
                    <pic:cNvPr id="0" name="sl_sistem.png"/>
                    <pic:cNvPicPr/>
                  </pic:nvPicPr>
                  <pic:blipFill>
                    <a:blip r:embed="rId11"/>
                    <a:stretch>
                      <a:fillRect/>
                    </a:stretch>
                  </pic:blipFill>
                  <pic:spPr>
                    <a:xfrm>
                      <a:off x="0" y="0"/>
                      <a:ext cx="5040000" cy="2325366"/>
                    </a:xfrm>
                    <a:prstGeom prst="rect"/>
                  </pic:spPr>
                </pic:pic>
              </a:graphicData>
            </a:graphic>
          </wp:inline>
        </w:drawing>
      </w:r>
    </w:p>
    <w:p>
      <w:pPr>
        <w:pStyle w:val="Potpisslike"/>
        <w:spacing w:after="200"/>
        <w:jc w:val="center"/>
      </w:pPr>
      <w:r>
        <w:rPr>
          <w:rFonts w:ascii="Times New Roman" w:hAnsi="Times New Roman"/>
          <w:b w:val="0"/>
          <w:sz w:val="22"/>
        </w:rPr>
        <w:t>Слика 3.1. Подјела посла: општи модел се учи на рачунару и уграђује у фирмвер, а центар, праг и граница поузданости мјере се на лицу мјеста</w:t>
      </w:r>
    </w:p>
    <w:p>
      <w:pPr>
        <w:pStyle w:val="Heading2"/>
      </w:pPr>
      <w:r>
        <w:rPr>
          <w:rFonts w:ascii="Arial" w:hAnsi="Arial"/>
          <w:b/>
          <w:sz w:val="28"/>
        </w:rPr>
        <w:t>3.2. Ток рада уређаја</w:t>
      </w:r>
    </w:p>
    <w:p>
      <w:pPr>
        <w:pStyle w:val="BodyText"/>
      </w:pPr>
      <w:r>
        <w:rPr>
          <w:rFonts w:ascii="Times New Roman" w:hAnsi="Times New Roman"/>
          <w:b w:val="0"/>
          <w:sz w:val="22"/>
        </w:rPr>
        <w:t>Уређај се послије укључења налази у стању чекања и не доноси никакве закључке. Калибрација се покреће искључиво свјесном радњом оператера, притиском на тастер. То је намјерно, јер аутоматско покретање би омогућило да уређај научи неисправно стање као нормално. Послије покретања ток пролази кроз сљедеће фазе:</w:t>
      </w:r>
    </w:p>
    <w:p>
      <w:pPr>
        <w:pStyle w:val="ListBullet"/>
        <w:spacing w:after="60"/>
      </w:pPr>
      <w:r>
        <w:rPr>
          <w:rFonts w:ascii="Courier New" w:hAnsi="Courier New"/>
          <w:sz w:val="20"/>
        </w:rPr>
        <w:t>SETTLE</w:t>
      </w:r>
      <w:r>
        <w:rPr>
          <w:rFonts w:ascii="Times New Roman" w:hAnsi="Times New Roman"/>
          <w:b w:val="0"/>
          <w:sz w:val="22"/>
        </w:rPr>
        <w:t>: кратко смиривање послије укључења микрофона, јер прелазна појава при укључењу квари први блок мјерења;</w:t>
      </w:r>
    </w:p>
    <w:p>
      <w:pPr>
        <w:pStyle w:val="ListBullet"/>
        <w:spacing w:after="60"/>
      </w:pPr>
      <w:r>
        <w:rPr>
          <w:rFonts w:ascii="Courier New" w:hAnsi="Courier New"/>
          <w:sz w:val="20"/>
        </w:rPr>
        <w:t>CENTER_LEARNING</w:t>
      </w:r>
      <w:r>
        <w:rPr>
          <w:rFonts w:ascii="Times New Roman" w:hAnsi="Times New Roman"/>
          <w:b w:val="0"/>
          <w:sz w:val="22"/>
        </w:rPr>
        <w:t>: десет исјечака од по 10 s из којих се рачуна локални центар;</w:t>
      </w:r>
    </w:p>
    <w:p>
      <w:pPr>
        <w:pStyle w:val="ListBullet"/>
        <w:spacing w:after="60"/>
      </w:pPr>
      <w:r>
        <w:rPr>
          <w:rFonts w:ascii="Courier New" w:hAnsi="Courier New"/>
          <w:sz w:val="20"/>
        </w:rPr>
        <w:t>COMMISSION_DERIVE</w:t>
      </w:r>
      <w:r>
        <w:rPr>
          <w:rFonts w:ascii="Times New Roman" w:hAnsi="Times New Roman"/>
          <w:b w:val="0"/>
          <w:sz w:val="22"/>
        </w:rPr>
        <w:t>: 44 прозора у којима су присутна само нормална стања и из којих се изводи праг;</w:t>
      </w:r>
    </w:p>
    <w:p>
      <w:pPr>
        <w:pStyle w:val="ListBullet"/>
        <w:spacing w:after="60"/>
      </w:pPr>
      <w:r>
        <w:rPr>
          <w:rFonts w:ascii="Courier New" w:hAnsi="Courier New"/>
          <w:sz w:val="20"/>
        </w:rPr>
        <w:t>COMMISSION_VERIFY</w:t>
      </w:r>
      <w:r>
        <w:rPr>
          <w:rFonts w:ascii="Times New Roman" w:hAnsi="Times New Roman"/>
          <w:b w:val="0"/>
          <w:sz w:val="22"/>
        </w:rPr>
        <w:t>: 22 додатна, временски каснија нормална прозора на којима се изведени праг провјерава;</w:t>
      </w:r>
    </w:p>
    <w:p>
      <w:pPr>
        <w:pStyle w:val="ListBullet"/>
        <w:spacing w:after="60"/>
      </w:pPr>
      <w:r>
        <w:rPr>
          <w:rFonts w:ascii="Courier New" w:hAnsi="Courier New"/>
          <w:sz w:val="20"/>
        </w:rPr>
        <w:t>MONITORING</w:t>
      </w:r>
      <w:r>
        <w:rPr>
          <w:rFonts w:ascii="Times New Roman" w:hAnsi="Times New Roman"/>
          <w:b w:val="0"/>
          <w:sz w:val="22"/>
        </w:rPr>
        <w:t>: редован надзор, у којем се центар и праг више не мијењају.</w:t>
      </w:r>
    </w:p>
    <w:p>
      <w:pPr>
        <w:pStyle w:val="BodyText"/>
      </w:pPr>
      <w:r>
        <w:rPr>
          <w:rFonts w:ascii="Times New Roman" w:hAnsi="Times New Roman"/>
          <w:b w:val="0"/>
          <w:sz w:val="22"/>
        </w:rPr>
        <w:t xml:space="preserve">Кључна особина овог тока је да су извођење прага и његова провјера </w:t>
      </w:r>
      <w:r>
        <w:rPr>
          <w:rFonts w:ascii="Times New Roman" w:hAnsi="Times New Roman"/>
          <w:b/>
          <w:sz w:val="22"/>
        </w:rPr>
        <w:t>раздвојени у времену и по подацима</w:t>
      </w:r>
      <w:r>
        <w:rPr>
          <w:rFonts w:ascii="Times New Roman" w:hAnsi="Times New Roman"/>
          <w:b w:val="0"/>
          <w:sz w:val="22"/>
        </w:rPr>
        <w:t>. Праг изведен на једном скупу прозора провјерава се на другом, каснијем скупу. Ако на тој провјери падне, калибрација се одбија и уређај не прелази у надзор. Праг се притом не подешава да би провјера прошла; то би поништило смисао провјере.</w:t>
      </w:r>
    </w:p>
    <w:p>
      <w:pPr>
        <w:pStyle w:val="Heading2"/>
      </w:pPr>
      <w:r>
        <w:rPr>
          <w:rFonts w:ascii="Arial" w:hAnsi="Arial"/>
          <w:b/>
          <w:sz w:val="28"/>
        </w:rPr>
        <w:t>3.3. Хијерархија одлучивања</w:t>
      </w:r>
    </w:p>
    <w:p>
      <w:pPr>
        <w:pStyle w:val="BodyText"/>
      </w:pPr>
      <w:r>
        <w:rPr>
          <w:rFonts w:ascii="Times New Roman" w:hAnsi="Times New Roman"/>
          <w:b w:val="0"/>
          <w:sz w:val="22"/>
        </w:rPr>
        <w:t>Одлука се не доноси у једном кораку него кроз хијерархију у којој сваки ниво може зауставити даље закључивање. Редослијед је сљедећи: исправност сигнала, присуство машине, поузданост прозора, па тек онда одступање од наученог стања.</w:t>
      </w:r>
    </w:p>
    <w:p>
      <w:pPr>
        <w:pStyle w:val="ListBullet"/>
        <w:spacing w:after="60"/>
      </w:pPr>
      <w:r>
        <w:rPr>
          <w:rFonts w:ascii="Times New Roman" w:hAnsi="Times New Roman"/>
          <w:b/>
          <w:sz w:val="22"/>
        </w:rPr>
        <w:t>Исправност сигнала.</w:t>
      </w:r>
      <w:r>
        <w:rPr>
          <w:rFonts w:ascii="Times New Roman" w:hAnsi="Times New Roman"/>
          <w:b w:val="0"/>
          <w:sz w:val="22"/>
        </w:rPr>
        <w:t xml:space="preserve"> Провјерава се број примљених узорака, присуство заглављених и нултих вриједности, засићење и коначност израчунатих величина. Неисправан сигнал зауставља ток.</w:t>
      </w:r>
    </w:p>
    <w:p>
      <w:pPr>
        <w:pStyle w:val="ListBullet"/>
        <w:spacing w:after="60"/>
      </w:pPr>
      <w:r>
        <w:rPr>
          <w:rFonts w:ascii="Times New Roman" w:hAnsi="Times New Roman"/>
          <w:b/>
          <w:sz w:val="22"/>
        </w:rPr>
        <w:t>Присуство машине.</w:t>
      </w:r>
      <w:r>
        <w:rPr>
          <w:rFonts w:ascii="Times New Roman" w:hAnsi="Times New Roman"/>
          <w:b w:val="0"/>
          <w:sz w:val="22"/>
        </w:rPr>
        <w:t xml:space="preserve"> Ниво испод калибрисане средње вриједности умањене за 11 dB, и то у три узастопна прозора, значи да машина више не ради. Уређај тада не пријављује аномалију него одсуство машине, јер то нису исте тврдње.</w:t>
      </w:r>
    </w:p>
    <w:p>
      <w:pPr>
        <w:pStyle w:val="ListBullet"/>
        <w:spacing w:after="60"/>
      </w:pPr>
      <w:r>
        <w:rPr>
          <w:rFonts w:ascii="Times New Roman" w:hAnsi="Times New Roman"/>
          <w:b/>
          <w:sz w:val="22"/>
        </w:rPr>
        <w:t>Поузданост прозора.</w:t>
      </w:r>
      <w:r>
        <w:rPr>
          <w:rFonts w:ascii="Times New Roman" w:hAnsi="Times New Roman"/>
          <w:b w:val="0"/>
          <w:sz w:val="22"/>
        </w:rPr>
        <w:t xml:space="preserve"> Ако се пет потпрозора унутар једног мјерења међусобно превише разликују, прозор се проглашава непоузданим и не улази у грађење аларма. Уређај не тврди шта је извор те нестабилности, јер један микрофон то не може утврдити.</w:t>
      </w:r>
    </w:p>
    <w:p>
      <w:pPr>
        <w:pStyle w:val="ListBullet"/>
        <w:spacing w:after="60"/>
      </w:pPr>
      <w:r>
        <w:rPr>
          <w:rFonts w:ascii="Times New Roman" w:hAnsi="Times New Roman"/>
          <w:b/>
          <w:sz w:val="22"/>
        </w:rPr>
        <w:t>Одступање.</w:t>
      </w:r>
      <w:r>
        <w:rPr>
          <w:rFonts w:ascii="Times New Roman" w:hAnsi="Times New Roman"/>
          <w:b w:val="0"/>
          <w:sz w:val="22"/>
        </w:rPr>
        <w:t xml:space="preserve"> Тек прозор који је прошао сва три претходна нивоа пореди се са прагом.</w:t>
      </w:r>
    </w:p>
    <w:p>
      <w:pPr>
        <w:pStyle w:val="BodyText"/>
      </w:pPr>
      <w:r>
        <w:rPr>
          <w:rFonts w:ascii="Times New Roman" w:hAnsi="Times New Roman"/>
          <w:b w:val="0"/>
          <w:sz w:val="22"/>
        </w:rPr>
        <w:t>Систем је пројектован тако да недостатак доказа води у заустављање, а не у претпоставку да је све у реду. То начело је у коду спроведено досљедно и провјерава се аутоматски при свакој измјени.</w:t>
      </w:r>
    </w:p>
    <w:p>
      <w:pPr>
        <w:spacing w:before="0" w:after="0" w:line="20" w:lineRule="exact"/>
      </w:pPr>
      <w:r>
        <w:rPr>
          <w:sz w:val="2"/>
        </w:rPr>
        <w:br w:type="page"/>
      </w:r>
    </w:p>
    <w:p>
      <w:pPr>
        <w:pStyle w:val="Heading1"/>
      </w:pPr>
      <w:r>
        <w:rPr>
          <w:rFonts w:ascii="Arial" w:hAnsi="Arial"/>
          <w:b/>
          <w:sz w:val="32"/>
        </w:rPr>
        <w:t>4. РАЗВОЈ МОДЕЛА: СВИ ИЗМЈЕРЕНИ ПОКУШАЈИ</w:t>
      </w:r>
    </w:p>
    <w:p>
      <w:pPr>
        <w:pStyle w:val="BodyText"/>
      </w:pPr>
      <w:r>
        <w:rPr>
          <w:rFonts w:ascii="Times New Roman" w:hAnsi="Times New Roman"/>
          <w:b w:val="0"/>
          <w:sz w:val="22"/>
        </w:rPr>
        <w:t>Ово поглавље приказује пут од првог покушаја до коначног рјешења, са свим међурезултатима. Неуспјели покушаји нису изостављени, из два разлога. Прво, они објашњавају зашто коначно рјешење изгледа баш тако. Друго, негативан резултат који није записан враћа се касније као „нова идеја“ и троши вријеме по други пут.</w:t>
      </w:r>
    </w:p>
    <w:p>
      <w:pPr>
        <w:pStyle w:val="BodyText"/>
      </w:pPr>
      <w:r>
        <w:rPr>
          <w:rFonts w:ascii="Times New Roman" w:hAnsi="Times New Roman"/>
          <w:b w:val="0"/>
          <w:sz w:val="22"/>
        </w:rPr>
        <w:t>У овом поглављу дати су развојни резултати на DCASE скупу. Ранији експерименти разликују се по подјелама и протоколу; њихове најбоље вриједности описују ток истраживања и нису јединствено контролисано поређење. Упарене рунде користе исте калибрационе подјеле за све кандидате. Ознаке аномалија не улазе у фит, али је ранији увид у резултате утицао на избор приступа, па остаје пристрасност избора модела.</w:t>
      </w:r>
    </w:p>
    <w:p>
      <w:pPr>
        <w:pStyle w:val="Heading2"/>
      </w:pPr>
      <w:r>
        <w:rPr>
          <w:rFonts w:ascii="Arial" w:hAnsi="Arial"/>
          <w:b/>
          <w:sz w:val="28"/>
        </w:rPr>
        <w:t>4.1. Протокол поређења</w:t>
      </w:r>
    </w:p>
    <w:p>
      <w:pPr>
        <w:pStyle w:val="BodyText"/>
      </w:pPr>
      <w:r>
        <w:rPr>
          <w:rFonts w:ascii="Times New Roman" w:hAnsi="Times New Roman"/>
          <w:b w:val="0"/>
          <w:sz w:val="22"/>
        </w:rPr>
        <w:t xml:space="preserve">Прије приказа резултата потребно је навести правило које је научено на сопственој грешци. Поређења метода важе само на </w:t>
      </w:r>
      <w:r>
        <w:rPr>
          <w:rFonts w:ascii="Times New Roman" w:hAnsi="Times New Roman"/>
          <w:b/>
          <w:sz w:val="22"/>
        </w:rPr>
        <w:t>упареним изборима калибрационих исјечака</w:t>
      </w:r>
      <w:r>
        <w:rPr>
          <w:rFonts w:ascii="Times New Roman" w:hAnsi="Times New Roman"/>
          <w:b w:val="0"/>
          <w:sz w:val="22"/>
        </w:rPr>
        <w:t>. Исти поступак је под једним скупом избора дао AUC 0,674, а под другим 0,643. Та разлика од три поена је чист шум избора исјечака, а прије него што је то уочено била је заведена као разлика између метода.</w:t>
      </w:r>
    </w:p>
    <w:p>
      <w:pPr>
        <w:pStyle w:val="BodyText"/>
      </w:pPr>
      <w:r>
        <w:rPr>
          <w:rFonts w:ascii="Times New Roman" w:hAnsi="Times New Roman"/>
          <w:b w:val="0"/>
          <w:sz w:val="22"/>
        </w:rPr>
        <w:t>Због тога се уз средњу вриједност AUC обавезно пријављује и стандардна девијација преко подјела, а поређења се раде на истим подјелама за све методе.</w:t>
      </w:r>
    </w:p>
    <w:p>
      <w:pPr>
        <w:pStyle w:val="Heading2"/>
      </w:pPr>
      <w:r>
        <w:rPr>
          <w:rFonts w:ascii="Arial" w:hAnsi="Arial"/>
          <w:b/>
          <w:sz w:val="28"/>
        </w:rPr>
        <w:t>4.2. Фаза 1: неуронске мреже</w:t>
      </w:r>
    </w:p>
    <w:p>
      <w:pPr>
        <w:pStyle w:val="BodyText"/>
      </w:pPr>
      <w:r>
        <w:rPr>
          <w:rFonts w:ascii="Times New Roman" w:hAnsi="Times New Roman"/>
          <w:b w:val="0"/>
          <w:sz w:val="22"/>
        </w:rPr>
        <w:t>Полазно стање био је аутоенкодер, стандардна основа такмичења DCASE. Мјерења су дата у Табели 4.1.</w:t>
      </w:r>
    </w:p>
    <w:p>
      <w:pPr>
        <w:pStyle w:val="Potpistabele"/>
        <w:keepNext/>
        <w:spacing w:before="200" w:after="60"/>
        <w:jc w:val="center"/>
      </w:pPr>
      <w:r>
        <w:rPr>
          <w:rFonts w:ascii="Times New Roman" w:hAnsi="Times New Roman"/>
          <w:b w:val="0"/>
          <w:sz w:val="22"/>
        </w:rPr>
        <w:t>Табела 4.1. Резултати приступа заснованих на неуронским мрежама</w:t>
      </w:r>
    </w:p>
    <w:tbl>
      <w:tblPr>
        <w:tblStyle w:val="TableGrid"/>
        <w:tblW w:type="auto" w:w="0"/>
        <w:jc w:val="center"/>
        <w:tblLook w:firstColumn="1" w:firstRow="1" w:lastColumn="0" w:lastRow="0" w:noHBand="0" w:noVBand="1" w:val="04A0"/>
      </w:tblPr>
      <w:tblGrid>
        <w:gridCol w:w="4394"/>
        <w:gridCol w:w="4394"/>
      </w:tblGrid>
      <w:tr>
        <w:trPr>
          <w:tblHeader/>
        </w:trPr>
        <w:tc>
          <w:tcPr>
            <w:tcW w:type="dxa" w:w="4394"/>
          </w:tcPr>
          <w:p>
            <w:pPr>
              <w:keepNext/>
              <w:spacing w:after="40"/>
              <w:jc w:val="center"/>
            </w:pPr>
            <w:r>
              <w:rPr>
                <w:rFonts w:ascii="Times New Roman" w:hAnsi="Times New Roman"/>
                <w:b/>
                <w:sz w:val="20"/>
              </w:rPr>
              <w:t>Приступ</w:t>
            </w:r>
          </w:p>
        </w:tc>
        <w:tc>
          <w:tcPr>
            <w:tcW w:type="dxa" w:w="4394"/>
          </w:tcPr>
          <w:p>
            <w:pPr>
              <w:keepNext/>
              <w:spacing w:after="40"/>
              <w:jc w:val="center"/>
            </w:pPr>
            <w:r>
              <w:rPr>
                <w:rFonts w:ascii="Times New Roman" w:hAnsi="Times New Roman"/>
                <w:b/>
                <w:sz w:val="20"/>
              </w:rPr>
              <w:t>AUC</w:t>
            </w:r>
          </w:p>
        </w:tc>
      </w:tr>
      <w:tr>
        <w:trPr>
          <w:cantSplit/>
        </w:trPr>
        <w:tc>
          <w:tcPr>
            <w:tcW w:type="dxa" w:w="4394"/>
          </w:tcPr>
          <w:p>
            <w:pPr>
              <w:spacing w:after="40"/>
            </w:pPr>
            <w:r>
              <w:rPr>
                <w:rFonts w:ascii="Times New Roman" w:hAnsi="Times New Roman"/>
                <w:b w:val="0"/>
                <w:sz w:val="20"/>
              </w:rPr>
              <w:t>Аутоенкодер (основа DCASE)</w:t>
            </w:r>
          </w:p>
        </w:tc>
        <w:tc>
          <w:tcPr>
            <w:tcW w:type="dxa" w:w="4394"/>
          </w:tcPr>
          <w:p>
            <w:pPr>
              <w:spacing w:after="40"/>
              <w:jc w:val="right"/>
            </w:pPr>
            <w:r>
              <w:rPr>
                <w:rFonts w:ascii="Times New Roman" w:hAnsi="Times New Roman"/>
                <w:b w:val="0"/>
                <w:sz w:val="20"/>
              </w:rPr>
              <w:t>0,451</w:t>
            </w:r>
          </w:p>
        </w:tc>
      </w:tr>
      <w:tr>
        <w:trPr>
          <w:cantSplit/>
        </w:trPr>
        <w:tc>
          <w:tcPr>
            <w:tcW w:type="dxa" w:w="4394"/>
          </w:tcPr>
          <w:p>
            <w:pPr>
              <w:spacing w:after="40"/>
            </w:pPr>
            <w:r>
              <w:rPr>
                <w:rFonts w:ascii="Times New Roman" w:hAnsi="Times New Roman"/>
                <w:b w:val="0"/>
                <w:sz w:val="20"/>
              </w:rPr>
              <w:t>Научена уградња преко свих 7 машина</w:t>
            </w:r>
          </w:p>
        </w:tc>
        <w:tc>
          <w:tcPr>
            <w:tcW w:type="dxa" w:w="4394"/>
          </w:tcPr>
          <w:p>
            <w:pPr>
              <w:spacing w:after="40"/>
              <w:jc w:val="right"/>
            </w:pPr>
            <w:r>
              <w:rPr>
                <w:rFonts w:ascii="Times New Roman" w:hAnsi="Times New Roman"/>
                <w:b w:val="0"/>
                <w:sz w:val="20"/>
              </w:rPr>
              <w:t>0,495</w:t>
            </w:r>
          </w:p>
        </w:tc>
      </w:tr>
      <w:tr>
        <w:trPr>
          <w:cantSplit/>
        </w:trPr>
        <w:tc>
          <w:tcPr>
            <w:tcW w:type="dxa" w:w="4394"/>
          </w:tcPr>
          <w:p>
            <w:pPr>
              <w:spacing w:after="40"/>
            </w:pPr>
            <w:r>
              <w:rPr>
                <w:rFonts w:ascii="Times New Roman" w:hAnsi="Times New Roman"/>
                <w:b w:val="0"/>
                <w:sz w:val="20"/>
              </w:rPr>
              <w:t>Класификатор брзине вентилатора</w:t>
            </w:r>
          </w:p>
        </w:tc>
        <w:tc>
          <w:tcPr>
            <w:tcW w:type="dxa" w:w="4394"/>
          </w:tcPr>
          <w:p>
            <w:pPr>
              <w:spacing w:after="40"/>
              <w:jc w:val="right"/>
            </w:pPr>
            <w:r>
              <w:rPr>
                <w:rFonts w:ascii="Times New Roman" w:hAnsi="Times New Roman"/>
                <w:b w:val="0"/>
                <w:sz w:val="20"/>
              </w:rPr>
              <w:t>0,530</w:t>
            </w:r>
          </w:p>
        </w:tc>
      </w:tr>
      <w:tr>
        <w:trPr>
          <w:cantSplit/>
        </w:trPr>
        <w:tc>
          <w:tcPr>
            <w:tcW w:type="dxa" w:w="4394"/>
          </w:tcPr>
          <w:p>
            <w:pPr>
              <w:spacing w:after="40"/>
            </w:pPr>
            <w:r>
              <w:rPr>
                <w:rFonts w:ascii="Times New Roman" w:hAnsi="Times New Roman"/>
                <w:b w:val="0"/>
                <w:sz w:val="20"/>
              </w:rPr>
              <w:t>Самонадзирано учење</w:t>
            </w:r>
          </w:p>
        </w:tc>
        <w:tc>
          <w:tcPr>
            <w:tcW w:type="dxa" w:w="4394"/>
          </w:tcPr>
          <w:p>
            <w:pPr>
              <w:spacing w:after="40"/>
              <w:jc w:val="right"/>
            </w:pPr>
            <w:r>
              <w:rPr>
                <w:rFonts w:ascii="Times New Roman" w:hAnsi="Times New Roman"/>
                <w:b w:val="0"/>
                <w:sz w:val="20"/>
              </w:rPr>
              <w:t>≈ 0,50</w:t>
            </w:r>
          </w:p>
        </w:tc>
      </w:tr>
    </w:tbl>
    <w:p>
      <w:pPr>
        <w:spacing w:after="80"/>
      </w:pPr>
    </w:p>
    <w:p>
      <w:pPr>
        <w:pStyle w:val="BodyText"/>
        <w:ind w:firstLine="0"/>
      </w:pPr>
      <w:r>
        <w:rPr>
          <w:rFonts w:ascii="Times New Roman" w:hAnsi="Times New Roman"/>
          <w:b w:val="0"/>
          <w:sz w:val="22"/>
        </w:rPr>
        <w:t>У испробаној конфигурацији грешка реконструкције није довољно раздвајала класе. У једном поређењу добијено је 2,53 за нормалан и 2,57 за аномални снимак, што је разлика од око 1,6 %. То је налаз за ову архитектуру и протокол; не искључује примјену других аутоенкодера.</w:t>
      </w:r>
    </w:p>
    <w:p>
      <w:pPr>
        <w:pStyle w:val="BodyText"/>
      </w:pPr>
      <w:r>
        <w:rPr>
          <w:rFonts w:ascii="Times New Roman" w:hAnsi="Times New Roman"/>
          <w:b w:val="0"/>
          <w:sz w:val="22"/>
        </w:rPr>
        <w:t>Научена репрезентација такође није дала добро рангирање. Једно могуће објашњење је неподударање задатка обуке, који разликује типове машина и режиме, са промјенама унутар једне машине. Овај механизам није издвојен посебним експериментом, па се наводи као тумачење.</w:t>
      </w:r>
    </w:p>
    <w:p>
      <w:pPr>
        <w:pStyle w:val="Heading2"/>
      </w:pPr>
      <w:r>
        <w:rPr>
          <w:rFonts w:ascii="Arial" w:hAnsi="Arial"/>
          <w:b/>
          <w:sz w:val="28"/>
        </w:rPr>
        <w:t>4.3. Фаза 2: статистика над мел сажетком</w:t>
      </w:r>
    </w:p>
    <w:p>
      <w:pPr>
        <w:pStyle w:val="BodyText"/>
      </w:pPr>
      <w:r>
        <w:rPr>
          <w:rFonts w:ascii="Times New Roman" w:hAnsi="Times New Roman"/>
          <w:b w:val="0"/>
          <w:sz w:val="22"/>
        </w:rPr>
        <w:t>Мрежа је напуштена. Исјечак се сажима у средњу вриједност и стандардну девијацију по мел траци, коваријанса се учи унапријед на 990 изворних снимака, а на уређају се мјери само центар. Резултати су у Табели 4.2.</w:t>
      </w:r>
    </w:p>
    <w:p>
      <w:pPr>
        <w:pStyle w:val="Potpistabele"/>
        <w:keepNext/>
        <w:spacing w:before="200" w:after="60"/>
        <w:jc w:val="center"/>
      </w:pPr>
      <w:r>
        <w:rPr>
          <w:rFonts w:ascii="Times New Roman" w:hAnsi="Times New Roman"/>
          <w:b w:val="0"/>
          <w:sz w:val="22"/>
        </w:rPr>
        <w:t>Табела 4.2. Статистички приступи над лог-мел сажетком</w:t>
      </w:r>
    </w:p>
    <w:tbl>
      <w:tblPr>
        <w:tblStyle w:val="TableGrid"/>
        <w:tblW w:type="auto" w:w="0"/>
        <w:jc w:val="center"/>
        <w:tblLook w:firstColumn="1" w:firstRow="1" w:lastColumn="0" w:lastRow="0" w:noHBand="0" w:noVBand="1" w:val="04A0"/>
      </w:tblPr>
      <w:tblGrid>
        <w:gridCol w:w="2929"/>
        <w:gridCol w:w="2929"/>
        <w:gridCol w:w="2929"/>
      </w:tblGrid>
      <w:tr>
        <w:trPr>
          <w:tblHeader/>
        </w:trPr>
        <w:tc>
          <w:tcPr>
            <w:tcW w:type="dxa" w:w="2929"/>
          </w:tcPr>
          <w:p>
            <w:pPr>
              <w:keepNext/>
              <w:spacing w:after="40"/>
              <w:jc w:val="center"/>
            </w:pPr>
            <w:r>
              <w:rPr>
                <w:rFonts w:ascii="Times New Roman" w:hAnsi="Times New Roman"/>
                <w:b/>
                <w:sz w:val="20"/>
              </w:rPr>
              <w:t>Приступ</w:t>
            </w:r>
          </w:p>
        </w:tc>
        <w:tc>
          <w:tcPr>
            <w:tcW w:type="dxa" w:w="2929"/>
          </w:tcPr>
          <w:p>
            <w:pPr>
              <w:keepNext/>
              <w:spacing w:after="40"/>
              <w:jc w:val="center"/>
            </w:pPr>
            <w:r>
              <w:rPr>
                <w:rFonts w:ascii="Times New Roman" w:hAnsi="Times New Roman"/>
                <w:b/>
                <w:sz w:val="20"/>
              </w:rPr>
              <w:t>AUC</w:t>
            </w:r>
          </w:p>
        </w:tc>
        <w:tc>
          <w:tcPr>
            <w:tcW w:type="dxa" w:w="2929"/>
          </w:tcPr>
          <w:p>
            <w:pPr>
              <w:keepNext/>
              <w:spacing w:after="40"/>
              <w:jc w:val="center"/>
            </w:pPr>
            <w:r>
              <w:rPr>
                <w:rFonts w:ascii="Times New Roman" w:hAnsi="Times New Roman"/>
                <w:b/>
                <w:sz w:val="20"/>
              </w:rPr>
              <w:t>Закључак</w:t>
            </w:r>
          </w:p>
        </w:tc>
      </w:tr>
      <w:tr>
        <w:trPr>
          <w:cantSplit/>
        </w:trPr>
        <w:tc>
          <w:tcPr>
            <w:tcW w:type="dxa" w:w="2929"/>
          </w:tcPr>
          <w:p>
            <w:pPr>
              <w:spacing w:after="40"/>
            </w:pPr>
            <w:r>
              <w:rPr>
                <w:rFonts w:ascii="Times New Roman" w:hAnsi="Times New Roman"/>
                <w:b w:val="0"/>
                <w:sz w:val="20"/>
              </w:rPr>
              <w:t>Сажетак 1280 + пуна коваријанса</w:t>
            </w:r>
          </w:p>
        </w:tc>
        <w:tc>
          <w:tcPr>
            <w:tcW w:type="dxa" w:w="2929"/>
          </w:tcPr>
          <w:p>
            <w:pPr>
              <w:spacing w:after="40"/>
              <w:jc w:val="right"/>
            </w:pPr>
            <w:r>
              <w:rPr>
                <w:rFonts w:ascii="Times New Roman" w:hAnsi="Times New Roman"/>
                <w:b w:val="0"/>
                <w:sz w:val="20"/>
              </w:rPr>
              <w:t>0,643–0,674</w:t>
            </w:r>
          </w:p>
        </w:tc>
        <w:tc>
          <w:tcPr>
            <w:tcW w:type="dxa" w:w="2929"/>
          </w:tcPr>
          <w:p>
            <w:pPr>
              <w:spacing w:after="40"/>
            </w:pPr>
            <w:r>
              <w:rPr>
                <w:rFonts w:ascii="Times New Roman" w:hAnsi="Times New Roman"/>
                <w:b w:val="0"/>
                <w:sz w:val="20"/>
              </w:rPr>
              <w:t>први употребљив резултат</w:t>
            </w:r>
          </w:p>
        </w:tc>
      </w:tr>
      <w:tr>
        <w:trPr>
          <w:cantSplit/>
        </w:trPr>
        <w:tc>
          <w:tcPr>
            <w:tcW w:type="dxa" w:w="2929"/>
          </w:tcPr>
          <w:p>
            <w:pPr>
              <w:spacing w:after="40"/>
            </w:pPr>
            <w:r>
              <w:rPr>
                <w:rFonts w:ascii="Times New Roman" w:hAnsi="Times New Roman"/>
                <w:b w:val="0"/>
                <w:sz w:val="20"/>
              </w:rPr>
              <w:t>Сажетак + дијагонална коваријанса</w:t>
            </w:r>
          </w:p>
        </w:tc>
        <w:tc>
          <w:tcPr>
            <w:tcW w:type="dxa" w:w="2929"/>
          </w:tcPr>
          <w:p>
            <w:pPr>
              <w:spacing w:after="40"/>
              <w:jc w:val="right"/>
            </w:pPr>
            <w:r>
              <w:rPr>
                <w:rFonts w:ascii="Times New Roman" w:hAnsi="Times New Roman"/>
                <w:b w:val="0"/>
                <w:sz w:val="20"/>
              </w:rPr>
              <w:t>0,595</w:t>
            </w:r>
          </w:p>
        </w:tc>
        <w:tc>
          <w:tcPr>
            <w:tcW w:type="dxa" w:w="2929"/>
          </w:tcPr>
          <w:p>
            <w:pPr>
              <w:spacing w:after="40"/>
            </w:pPr>
            <w:r>
              <w:rPr>
                <w:rFonts w:ascii="Times New Roman" w:hAnsi="Times New Roman"/>
                <w:b w:val="0"/>
                <w:sz w:val="20"/>
              </w:rPr>
              <w:t>сигнал је у везама међу тракама</w:t>
            </w:r>
          </w:p>
        </w:tc>
      </w:tr>
      <w:tr>
        <w:trPr>
          <w:cantSplit/>
        </w:trPr>
        <w:tc>
          <w:tcPr>
            <w:tcW w:type="dxa" w:w="2929"/>
          </w:tcPr>
          <w:p>
            <w:pPr>
              <w:spacing w:after="40"/>
            </w:pPr>
            <w:r>
              <w:rPr>
                <w:rFonts w:ascii="Times New Roman" w:hAnsi="Times New Roman"/>
                <w:b w:val="0"/>
                <w:sz w:val="20"/>
              </w:rPr>
              <w:t>Мијешање научене и измјерене коваријансе</w:t>
            </w:r>
          </w:p>
        </w:tc>
        <w:tc>
          <w:tcPr>
            <w:tcW w:type="dxa" w:w="2929"/>
          </w:tcPr>
          <w:p>
            <w:pPr>
              <w:spacing w:after="40"/>
              <w:jc w:val="right"/>
            </w:pPr>
            <w:r>
              <w:rPr>
                <w:rFonts w:ascii="Times New Roman" w:hAnsi="Times New Roman"/>
                <w:b w:val="0"/>
                <w:sz w:val="20"/>
              </w:rPr>
              <w:t>0,674</w:t>
            </w:r>
          </w:p>
        </w:tc>
        <w:tc>
          <w:tcPr>
            <w:tcW w:type="dxa" w:w="2929"/>
          </w:tcPr>
          <w:p>
            <w:pPr>
              <w:spacing w:after="40"/>
            </w:pPr>
            <w:r>
              <w:rPr>
                <w:rFonts w:ascii="Times New Roman" w:hAnsi="Times New Roman"/>
                <w:b w:val="0"/>
                <w:sz w:val="20"/>
              </w:rPr>
              <w:t>чисто научена је најбоља</w:t>
            </w:r>
          </w:p>
        </w:tc>
      </w:tr>
      <w:tr>
        <w:trPr>
          <w:cantSplit/>
        </w:trPr>
        <w:tc>
          <w:tcPr>
            <w:tcW w:type="dxa" w:w="2929"/>
          </w:tcPr>
          <w:p>
            <w:pPr>
              <w:spacing w:after="40"/>
            </w:pPr>
            <w:r>
              <w:rPr>
                <w:rFonts w:ascii="Times New Roman" w:hAnsi="Times New Roman"/>
                <w:b w:val="0"/>
                <w:sz w:val="20"/>
              </w:rPr>
              <w:t>Одузимање средине по траци</w:t>
            </w:r>
          </w:p>
        </w:tc>
        <w:tc>
          <w:tcPr>
            <w:tcW w:type="dxa" w:w="2929"/>
          </w:tcPr>
          <w:p>
            <w:pPr>
              <w:spacing w:after="40"/>
              <w:jc w:val="right"/>
            </w:pPr>
            <w:r>
              <w:rPr>
                <w:rFonts w:ascii="Times New Roman" w:hAnsi="Times New Roman"/>
                <w:b w:val="0"/>
                <w:sz w:val="20"/>
              </w:rPr>
              <w:t>0,544</w:t>
            </w:r>
          </w:p>
        </w:tc>
        <w:tc>
          <w:tcPr>
            <w:tcW w:type="dxa" w:w="2929"/>
          </w:tcPr>
          <w:p>
            <w:pPr>
              <w:spacing w:after="40"/>
            </w:pPr>
            <w:r>
              <w:rPr>
                <w:rFonts w:ascii="Times New Roman" w:hAnsi="Times New Roman"/>
                <w:b w:val="0"/>
                <w:sz w:val="20"/>
              </w:rPr>
              <w:t>брише и корисну информацију</w:t>
            </w:r>
          </w:p>
        </w:tc>
      </w:tr>
      <w:tr>
        <w:trPr>
          <w:cantSplit/>
        </w:trPr>
        <w:tc>
          <w:tcPr>
            <w:tcW w:type="dxa" w:w="2929"/>
          </w:tcPr>
          <w:p>
            <w:pPr>
              <w:spacing w:after="40"/>
            </w:pPr>
            <w:r>
              <w:rPr>
                <w:rFonts w:ascii="Times New Roman" w:hAnsi="Times New Roman"/>
                <w:b w:val="0"/>
                <w:sz w:val="20"/>
              </w:rPr>
              <w:t>Богатији сажетак (перцентили, динамика)</w:t>
            </w:r>
          </w:p>
        </w:tc>
        <w:tc>
          <w:tcPr>
            <w:tcW w:type="dxa" w:w="2929"/>
          </w:tcPr>
          <w:p>
            <w:pPr>
              <w:spacing w:after="40"/>
              <w:jc w:val="right"/>
            </w:pPr>
            <w:r>
              <w:rPr>
                <w:rFonts w:ascii="Times New Roman" w:hAnsi="Times New Roman"/>
                <w:b w:val="0"/>
                <w:sz w:val="20"/>
              </w:rPr>
              <w:t>0,578</w:t>
            </w:r>
          </w:p>
        </w:tc>
        <w:tc>
          <w:tcPr>
            <w:tcW w:type="dxa" w:w="2929"/>
          </w:tcPr>
          <w:p>
            <w:pPr>
              <w:spacing w:after="40"/>
            </w:pPr>
            <w:r>
              <w:rPr>
                <w:rFonts w:ascii="Times New Roman" w:hAnsi="Times New Roman"/>
                <w:b w:val="0"/>
                <w:sz w:val="20"/>
              </w:rPr>
              <w:t>погрешно протумачено, види 4.4</w:t>
            </w:r>
          </w:p>
        </w:tc>
      </w:tr>
      <w:tr>
        <w:trPr>
          <w:cantSplit/>
        </w:trPr>
        <w:tc>
          <w:tcPr>
            <w:tcW w:type="dxa" w:w="2929"/>
          </w:tcPr>
          <w:p>
            <w:pPr>
              <w:spacing w:after="40"/>
            </w:pPr>
            <w:r>
              <w:rPr>
                <w:rFonts w:ascii="Times New Roman" w:hAnsi="Times New Roman"/>
                <w:b w:val="0"/>
                <w:sz w:val="20"/>
              </w:rPr>
              <w:t>Калибрација по радном режиму</w:t>
            </w:r>
          </w:p>
        </w:tc>
        <w:tc>
          <w:tcPr>
            <w:tcW w:type="dxa" w:w="2929"/>
          </w:tcPr>
          <w:p>
            <w:pPr>
              <w:spacing w:after="40"/>
              <w:jc w:val="right"/>
            </w:pPr>
            <w:r>
              <w:rPr>
                <w:rFonts w:ascii="Times New Roman" w:hAnsi="Times New Roman"/>
                <w:b w:val="0"/>
                <w:sz w:val="20"/>
              </w:rPr>
              <w:t>0,582</w:t>
            </w:r>
          </w:p>
        </w:tc>
        <w:tc>
          <w:tcPr>
            <w:tcW w:type="dxa" w:w="2929"/>
          </w:tcPr>
          <w:p>
            <w:pPr>
              <w:spacing w:after="40"/>
            </w:pPr>
            <w:r>
              <w:rPr>
                <w:rFonts w:ascii="Times New Roman" w:hAnsi="Times New Roman"/>
                <w:b w:val="0"/>
                <w:sz w:val="20"/>
              </w:rPr>
              <w:t>мали добитак</w:t>
            </w:r>
          </w:p>
        </w:tc>
      </w:tr>
      <w:tr>
        <w:trPr>
          <w:cantSplit/>
        </w:trPr>
        <w:tc>
          <w:tcPr>
            <w:tcW w:type="dxa" w:w="2929"/>
          </w:tcPr>
          <w:p>
            <w:pPr>
              <w:spacing w:after="40"/>
            </w:pPr>
            <w:r>
              <w:rPr>
                <w:rFonts w:ascii="Times New Roman" w:hAnsi="Times New Roman"/>
                <w:b w:val="0"/>
                <w:sz w:val="20"/>
              </w:rPr>
              <w:t>Збир највећих одступања</w:t>
            </w:r>
          </w:p>
        </w:tc>
        <w:tc>
          <w:tcPr>
            <w:tcW w:type="dxa" w:w="2929"/>
          </w:tcPr>
          <w:p>
            <w:pPr>
              <w:spacing w:after="40"/>
              <w:jc w:val="right"/>
            </w:pPr>
            <w:r>
              <w:rPr>
                <w:rFonts w:ascii="Times New Roman" w:hAnsi="Times New Roman"/>
                <w:b w:val="0"/>
                <w:sz w:val="20"/>
              </w:rPr>
              <w:t>0,645</w:t>
            </w:r>
          </w:p>
        </w:tc>
        <w:tc>
          <w:tcPr>
            <w:tcW w:type="dxa" w:w="2929"/>
          </w:tcPr>
          <w:p>
            <w:pPr>
              <w:spacing w:after="40"/>
            </w:pPr>
            <w:r>
              <w:rPr>
                <w:rFonts w:ascii="Times New Roman" w:hAnsi="Times New Roman"/>
                <w:b w:val="0"/>
                <w:sz w:val="20"/>
              </w:rPr>
              <w:t>квар није локализован у пар трака</w:t>
            </w:r>
          </w:p>
        </w:tc>
      </w:tr>
    </w:tbl>
    <w:p>
      <w:pPr>
        <w:spacing w:after="80"/>
      </w:pPr>
    </w:p>
    <w:p>
      <w:pPr>
        <w:pStyle w:val="BodyText"/>
        <w:ind w:firstLine="0"/>
      </w:pPr>
      <w:r>
        <w:rPr>
          <w:rFonts w:ascii="Times New Roman" w:hAnsi="Times New Roman"/>
          <w:b w:val="0"/>
          <w:sz w:val="22"/>
        </w:rPr>
        <w:t xml:space="preserve">Кључни налаз ове фазе је поређење пуне и дијагоналне коваријансе на изворном домену: 0,855 наспрам 0,543. Информацију носе </w:t>
      </w:r>
      <w:r>
        <w:rPr>
          <w:rFonts w:ascii="Times New Roman" w:hAnsi="Times New Roman"/>
          <w:b/>
          <w:sz w:val="22"/>
        </w:rPr>
        <w:t>корелације између трака</w:t>
      </w:r>
      <w:r>
        <w:rPr>
          <w:rFonts w:ascii="Times New Roman" w:hAnsi="Times New Roman"/>
          <w:b w:val="0"/>
          <w:sz w:val="22"/>
        </w:rPr>
        <w:t>, не појединачна расипања. Одатле слиједи подјела посла која је остала до краја рада: облик варијације се учи унапријед јер тражи стотине снимака, а центар се мјери на лицу мјеста јер је за њега довољно десетак.</w:t>
      </w:r>
    </w:p>
    <w:p>
      <w:pPr>
        <w:pStyle w:val="Heading2"/>
      </w:pPr>
      <w:r>
        <w:rPr>
          <w:rFonts w:ascii="Arial" w:hAnsi="Arial"/>
          <w:b/>
          <w:sz w:val="28"/>
        </w:rPr>
        <w:t>4.4. Фаза 3: систематска рунда над оцјењивачем</w:t>
      </w:r>
    </w:p>
    <w:p>
      <w:pPr>
        <w:pStyle w:val="BodyText"/>
      </w:pPr>
      <w:r>
        <w:rPr>
          <w:rFonts w:ascii="Times New Roman" w:hAnsi="Times New Roman"/>
          <w:b w:val="0"/>
          <w:sz w:val="22"/>
        </w:rPr>
        <w:t>Спроведено је шест серија експеримената над задњим дијелом обраде, све на упареним изборима калибрационих исјечака. У Табели 4.3 приказани су само налази који мијењају слику.</w:t>
      </w:r>
    </w:p>
    <w:p>
      <w:pPr>
        <w:pStyle w:val="Potpistabele"/>
        <w:keepNext/>
        <w:spacing w:before="200" w:after="60"/>
        <w:jc w:val="center"/>
      </w:pPr>
      <w:r>
        <w:rPr>
          <w:rFonts w:ascii="Times New Roman" w:hAnsi="Times New Roman"/>
          <w:b w:val="0"/>
          <w:sz w:val="22"/>
        </w:rPr>
        <w:t>Табела 4.3. Избор из рунди над оцјењивачем</w:t>
      </w:r>
    </w:p>
    <w:tbl>
      <w:tblPr>
        <w:tblStyle w:val="TableGrid"/>
        <w:tblW w:type="auto" w:w="0"/>
        <w:jc w:val="center"/>
        <w:tblLook w:firstColumn="1" w:firstRow="1" w:lastColumn="0" w:lastRow="0" w:noHBand="0" w:noVBand="1" w:val="04A0"/>
      </w:tblPr>
      <w:tblGrid>
        <w:gridCol w:w="2929"/>
        <w:gridCol w:w="2929"/>
        <w:gridCol w:w="2929"/>
      </w:tblGrid>
      <w:tr>
        <w:trPr>
          <w:tblHeader/>
        </w:trPr>
        <w:tc>
          <w:tcPr>
            <w:tcW w:type="dxa" w:w="2929"/>
          </w:tcPr>
          <w:p>
            <w:pPr>
              <w:keepNext/>
              <w:spacing w:after="40"/>
              <w:jc w:val="center"/>
            </w:pPr>
            <w:r>
              <w:rPr>
                <w:rFonts w:ascii="Times New Roman" w:hAnsi="Times New Roman"/>
                <w:b/>
                <w:sz w:val="20"/>
              </w:rPr>
              <w:t>Приступ</w:t>
            </w:r>
          </w:p>
        </w:tc>
        <w:tc>
          <w:tcPr>
            <w:tcW w:type="dxa" w:w="2929"/>
          </w:tcPr>
          <w:p>
            <w:pPr>
              <w:keepNext/>
              <w:spacing w:after="40"/>
              <w:jc w:val="center"/>
            </w:pPr>
            <w:r>
              <w:rPr>
                <w:rFonts w:ascii="Times New Roman" w:hAnsi="Times New Roman"/>
                <w:b/>
                <w:sz w:val="20"/>
              </w:rPr>
              <w:t>AUC</w:t>
            </w:r>
          </w:p>
        </w:tc>
        <w:tc>
          <w:tcPr>
            <w:tcW w:type="dxa" w:w="2929"/>
          </w:tcPr>
          <w:p>
            <w:pPr>
              <w:keepNext/>
              <w:spacing w:after="40"/>
              <w:jc w:val="center"/>
            </w:pPr>
            <w:r>
              <w:rPr>
                <w:rFonts w:ascii="Times New Roman" w:hAnsi="Times New Roman"/>
                <w:b/>
                <w:sz w:val="20"/>
              </w:rPr>
              <w:t>Закључак</w:t>
            </w:r>
          </w:p>
        </w:tc>
      </w:tr>
      <w:tr>
        <w:trPr>
          <w:cantSplit/>
        </w:trPr>
        <w:tc>
          <w:tcPr>
            <w:tcW w:type="dxa" w:w="2929"/>
          </w:tcPr>
          <w:p>
            <w:pPr>
              <w:spacing w:after="40"/>
            </w:pPr>
            <w:r>
              <w:rPr>
                <w:rFonts w:ascii="Times New Roman" w:hAnsi="Times New Roman"/>
                <w:b w:val="0"/>
                <w:sz w:val="20"/>
              </w:rPr>
              <w:t>Скупљање по Ледоу и Волфу, простор 256</w:t>
            </w:r>
          </w:p>
        </w:tc>
        <w:tc>
          <w:tcPr>
            <w:tcW w:type="dxa" w:w="2929"/>
          </w:tcPr>
          <w:p>
            <w:pPr>
              <w:spacing w:after="40"/>
              <w:jc w:val="right"/>
            </w:pPr>
            <w:r>
              <w:rPr>
                <w:rFonts w:ascii="Times New Roman" w:hAnsi="Times New Roman"/>
                <w:b w:val="0"/>
                <w:sz w:val="20"/>
              </w:rPr>
              <w:t>0,673</w:t>
            </w:r>
          </w:p>
        </w:tc>
        <w:tc>
          <w:tcPr>
            <w:tcW w:type="dxa" w:w="2929"/>
          </w:tcPr>
          <w:p>
            <w:pPr>
              <w:spacing w:after="40"/>
            </w:pPr>
            <w:r>
              <w:rPr>
                <w:rFonts w:ascii="Times New Roman" w:hAnsi="Times New Roman"/>
                <w:b w:val="0"/>
                <w:sz w:val="20"/>
              </w:rPr>
              <w:t>+3 поена, 19/20 побједа</w:t>
            </w:r>
          </w:p>
        </w:tc>
      </w:tr>
      <w:tr>
        <w:trPr>
          <w:cantSplit/>
        </w:trPr>
        <w:tc>
          <w:tcPr>
            <w:tcW w:type="dxa" w:w="2929"/>
          </w:tcPr>
          <w:p>
            <w:pPr>
              <w:spacing w:after="40"/>
            </w:pPr>
            <w:r>
              <w:rPr>
                <w:rFonts w:ascii="Times New Roman" w:hAnsi="Times New Roman"/>
                <w:b w:val="0"/>
                <w:sz w:val="20"/>
              </w:rPr>
              <w:t>Нискорангована коваријанса (q = 32)</w:t>
            </w:r>
          </w:p>
        </w:tc>
        <w:tc>
          <w:tcPr>
            <w:tcW w:type="dxa" w:w="2929"/>
          </w:tcPr>
          <w:p>
            <w:pPr>
              <w:spacing w:after="40"/>
              <w:jc w:val="right"/>
            </w:pPr>
            <w:r>
              <w:rPr>
                <w:rFonts w:ascii="Times New Roman" w:hAnsi="Times New Roman"/>
                <w:b w:val="0"/>
                <w:sz w:val="20"/>
              </w:rPr>
              <w:t>0,672</w:t>
            </w:r>
          </w:p>
        </w:tc>
        <w:tc>
          <w:tcPr>
            <w:tcW w:type="dxa" w:w="2929"/>
          </w:tcPr>
          <w:p>
            <w:pPr>
              <w:spacing w:after="40"/>
            </w:pPr>
            <w:r>
              <w:rPr>
                <w:rFonts w:ascii="Times New Roman" w:hAnsi="Times New Roman"/>
                <w:b w:val="0"/>
                <w:sz w:val="20"/>
              </w:rPr>
              <w:t>исти добитак, јефтиније</w:t>
            </w:r>
          </w:p>
        </w:tc>
      </w:tr>
      <w:tr>
        <w:trPr>
          <w:cantSplit/>
        </w:trPr>
        <w:tc>
          <w:tcPr>
            <w:tcW w:type="dxa" w:w="2929"/>
          </w:tcPr>
          <w:p>
            <w:pPr>
              <w:spacing w:after="40"/>
            </w:pPr>
            <w:r>
              <w:rPr>
                <w:rFonts w:ascii="Times New Roman" w:hAnsi="Times New Roman"/>
                <w:b w:val="0"/>
                <w:sz w:val="20"/>
              </w:rPr>
              <w:t>Медијана калибрационог центра</w:t>
            </w:r>
          </w:p>
        </w:tc>
        <w:tc>
          <w:tcPr>
            <w:tcW w:type="dxa" w:w="2929"/>
          </w:tcPr>
          <w:p>
            <w:pPr>
              <w:spacing w:after="40"/>
              <w:jc w:val="right"/>
            </w:pPr>
            <w:r>
              <w:rPr>
                <w:rFonts w:ascii="Times New Roman" w:hAnsi="Times New Roman"/>
                <w:b w:val="0"/>
                <w:sz w:val="20"/>
              </w:rPr>
              <w:t>0,716</w:t>
            </w:r>
          </w:p>
        </w:tc>
        <w:tc>
          <w:tcPr>
            <w:tcW w:type="dxa" w:w="2929"/>
          </w:tcPr>
          <w:p>
            <w:pPr>
              <w:spacing w:after="40"/>
            </w:pPr>
            <w:r>
              <w:rPr>
                <w:rFonts w:ascii="Times New Roman" w:hAnsi="Times New Roman"/>
                <w:b w:val="0"/>
                <w:sz w:val="20"/>
              </w:rPr>
              <w:t>+3, потврђено на 7 машина</w:t>
            </w:r>
          </w:p>
        </w:tc>
      </w:tr>
      <w:tr>
        <w:trPr>
          <w:cantSplit/>
        </w:trPr>
        <w:tc>
          <w:tcPr>
            <w:tcW w:type="dxa" w:w="2929"/>
          </w:tcPr>
          <w:p>
            <w:pPr>
              <w:spacing w:after="40"/>
            </w:pPr>
            <w:r>
              <w:rPr>
                <w:rFonts w:ascii="Times New Roman" w:hAnsi="Times New Roman"/>
                <w:b w:val="0"/>
                <w:sz w:val="20"/>
              </w:rPr>
              <w:t>Винсоризована средина центра</w:t>
            </w:r>
          </w:p>
        </w:tc>
        <w:tc>
          <w:tcPr>
            <w:tcW w:type="dxa" w:w="2929"/>
          </w:tcPr>
          <w:p>
            <w:pPr>
              <w:spacing w:after="40"/>
              <w:jc w:val="right"/>
            </w:pPr>
            <w:r>
              <w:rPr>
                <w:rFonts w:ascii="Times New Roman" w:hAnsi="Times New Roman"/>
                <w:b w:val="0"/>
                <w:sz w:val="20"/>
              </w:rPr>
              <w:t>0,671–0,684</w:t>
            </w:r>
          </w:p>
        </w:tc>
        <w:tc>
          <w:tcPr>
            <w:tcW w:type="dxa" w:w="2929"/>
          </w:tcPr>
          <w:p>
            <w:pPr>
              <w:spacing w:after="40"/>
            </w:pPr>
            <w:r>
              <w:rPr>
                <w:rFonts w:ascii="Times New Roman" w:hAnsi="Times New Roman"/>
                <w:b w:val="0"/>
                <w:sz w:val="20"/>
              </w:rPr>
              <w:t>медијана је боља</w:t>
            </w:r>
          </w:p>
        </w:tc>
      </w:tr>
      <w:tr>
        <w:trPr>
          <w:cantSplit/>
        </w:trPr>
        <w:tc>
          <w:tcPr>
            <w:tcW w:type="dxa" w:w="2929"/>
          </w:tcPr>
          <w:p>
            <w:pPr>
              <w:spacing w:after="40"/>
            </w:pPr>
            <w:r>
              <w:rPr>
                <w:rFonts w:ascii="Times New Roman" w:hAnsi="Times New Roman"/>
                <w:b w:val="0"/>
                <w:sz w:val="20"/>
              </w:rPr>
              <w:t>Најближи сусједи на калибрационе исјечке</w:t>
            </w:r>
          </w:p>
        </w:tc>
        <w:tc>
          <w:tcPr>
            <w:tcW w:type="dxa" w:w="2929"/>
          </w:tcPr>
          <w:p>
            <w:pPr>
              <w:spacing w:after="40"/>
              <w:jc w:val="right"/>
            </w:pPr>
            <w:r>
              <w:rPr>
                <w:rFonts w:ascii="Times New Roman" w:hAnsi="Times New Roman"/>
                <w:b w:val="0"/>
                <w:sz w:val="20"/>
              </w:rPr>
              <w:t>0,565–0,585</w:t>
            </w:r>
          </w:p>
        </w:tc>
        <w:tc>
          <w:tcPr>
            <w:tcW w:type="dxa" w:w="2929"/>
          </w:tcPr>
          <w:p>
            <w:pPr>
              <w:spacing w:after="40"/>
            </w:pPr>
            <w:r>
              <w:rPr>
                <w:rFonts w:ascii="Times New Roman" w:hAnsi="Times New Roman"/>
                <w:b w:val="0"/>
                <w:sz w:val="20"/>
              </w:rPr>
              <w:t>минимална удаљеност штети</w:t>
            </w:r>
          </w:p>
        </w:tc>
      </w:tr>
      <w:tr>
        <w:trPr>
          <w:cantSplit/>
        </w:trPr>
        <w:tc>
          <w:tcPr>
            <w:tcW w:type="dxa" w:w="2929"/>
          </w:tcPr>
          <w:p>
            <w:pPr>
              <w:spacing w:after="40"/>
            </w:pPr>
            <w:r>
              <w:rPr>
                <w:rFonts w:ascii="Times New Roman" w:hAnsi="Times New Roman"/>
                <w:b w:val="0"/>
                <w:sz w:val="20"/>
              </w:rPr>
              <w:t>Потпрозори 2 s и перцентил</w:t>
            </w:r>
          </w:p>
        </w:tc>
        <w:tc>
          <w:tcPr>
            <w:tcW w:type="dxa" w:w="2929"/>
          </w:tcPr>
          <w:p>
            <w:pPr>
              <w:spacing w:after="40"/>
              <w:jc w:val="right"/>
            </w:pPr>
            <w:r>
              <w:rPr>
                <w:rFonts w:ascii="Times New Roman" w:hAnsi="Times New Roman"/>
                <w:b w:val="0"/>
                <w:sz w:val="20"/>
              </w:rPr>
              <w:t>0,504–0,544</w:t>
            </w:r>
          </w:p>
        </w:tc>
        <w:tc>
          <w:tcPr>
            <w:tcW w:type="dxa" w:w="2929"/>
          </w:tcPr>
          <w:p>
            <w:pPr>
              <w:spacing w:after="40"/>
            </w:pPr>
            <w:r>
              <w:rPr>
                <w:rFonts w:ascii="Times New Roman" w:hAnsi="Times New Roman"/>
                <w:b w:val="0"/>
                <w:sz w:val="20"/>
              </w:rPr>
              <w:t>разводњавање не помаже</w:t>
            </w:r>
          </w:p>
        </w:tc>
      </w:tr>
      <w:tr>
        <w:trPr>
          <w:cantSplit/>
        </w:trPr>
        <w:tc>
          <w:tcPr>
            <w:tcW w:type="dxa" w:w="2929"/>
          </w:tcPr>
          <w:p>
            <w:pPr>
              <w:spacing w:after="40"/>
            </w:pPr>
            <w:r>
              <w:rPr>
                <w:rFonts w:ascii="Times New Roman" w:hAnsi="Times New Roman"/>
                <w:b w:val="0"/>
                <w:sz w:val="20"/>
              </w:rPr>
              <w:t>Модулациони спектар мел енергија</w:t>
            </w:r>
          </w:p>
        </w:tc>
        <w:tc>
          <w:tcPr>
            <w:tcW w:type="dxa" w:w="2929"/>
          </w:tcPr>
          <w:p>
            <w:pPr>
              <w:spacing w:after="40"/>
              <w:jc w:val="right"/>
            </w:pPr>
            <w:r>
              <w:rPr>
                <w:rFonts w:ascii="Times New Roman" w:hAnsi="Times New Roman"/>
                <w:b w:val="0"/>
                <w:sz w:val="20"/>
              </w:rPr>
              <w:t>0,550</w:t>
            </w:r>
          </w:p>
        </w:tc>
        <w:tc>
          <w:tcPr>
            <w:tcW w:type="dxa" w:w="2929"/>
          </w:tcPr>
          <w:p>
            <w:pPr>
              <w:spacing w:after="40"/>
            </w:pPr>
            <w:r>
              <w:rPr>
                <w:rFonts w:ascii="Times New Roman" w:hAnsi="Times New Roman"/>
                <w:b w:val="0"/>
                <w:sz w:val="20"/>
              </w:rPr>
              <w:t>не</w:t>
            </w:r>
          </w:p>
        </w:tc>
      </w:tr>
      <w:tr>
        <w:trPr>
          <w:cantSplit/>
        </w:trPr>
        <w:tc>
          <w:tcPr>
            <w:tcW w:type="dxa" w:w="2929"/>
          </w:tcPr>
          <w:p>
            <w:pPr>
              <w:spacing w:after="40"/>
            </w:pPr>
            <w:r>
              <w:rPr>
                <w:rFonts w:ascii="Times New Roman" w:hAnsi="Times New Roman"/>
                <w:b w:val="0"/>
                <w:sz w:val="20"/>
              </w:rPr>
              <w:t>Спрега сусједних трака</w:t>
            </w:r>
          </w:p>
        </w:tc>
        <w:tc>
          <w:tcPr>
            <w:tcW w:type="dxa" w:w="2929"/>
          </w:tcPr>
          <w:p>
            <w:pPr>
              <w:spacing w:after="40"/>
              <w:jc w:val="right"/>
            </w:pPr>
            <w:r>
              <w:rPr>
                <w:rFonts w:ascii="Times New Roman" w:hAnsi="Times New Roman"/>
                <w:b w:val="0"/>
                <w:sz w:val="20"/>
              </w:rPr>
              <w:t>0,460</w:t>
            </w:r>
          </w:p>
        </w:tc>
        <w:tc>
          <w:tcPr>
            <w:tcW w:type="dxa" w:w="2929"/>
          </w:tcPr>
          <w:p>
            <w:pPr>
              <w:spacing w:after="40"/>
            </w:pPr>
            <w:r>
              <w:rPr>
                <w:rFonts w:ascii="Times New Roman" w:hAnsi="Times New Roman"/>
                <w:b w:val="0"/>
                <w:sz w:val="20"/>
              </w:rPr>
              <w:t>испод случајног</w:t>
            </w:r>
          </w:p>
        </w:tc>
      </w:tr>
      <w:tr>
        <w:trPr>
          <w:cantSplit/>
        </w:trPr>
        <w:tc>
          <w:tcPr>
            <w:tcW w:type="dxa" w:w="2929"/>
          </w:tcPr>
          <w:p>
            <w:pPr>
              <w:spacing w:after="40"/>
            </w:pPr>
            <w:r>
              <w:rPr>
                <w:rFonts w:ascii="Times New Roman" w:hAnsi="Times New Roman"/>
                <w:b w:val="0"/>
                <w:sz w:val="20"/>
              </w:rPr>
              <w:t>Временска аутокорелација трака</w:t>
            </w:r>
          </w:p>
        </w:tc>
        <w:tc>
          <w:tcPr>
            <w:tcW w:type="dxa" w:w="2929"/>
          </w:tcPr>
          <w:p>
            <w:pPr>
              <w:spacing w:after="40"/>
              <w:jc w:val="right"/>
            </w:pPr>
            <w:r>
              <w:rPr>
                <w:rFonts w:ascii="Times New Roman" w:hAnsi="Times New Roman"/>
                <w:b w:val="0"/>
                <w:sz w:val="20"/>
              </w:rPr>
              <w:t>0,434</w:t>
            </w:r>
          </w:p>
        </w:tc>
        <w:tc>
          <w:tcPr>
            <w:tcW w:type="dxa" w:w="2929"/>
          </w:tcPr>
          <w:p>
            <w:pPr>
              <w:spacing w:after="40"/>
            </w:pPr>
            <w:r>
              <w:rPr>
                <w:rFonts w:ascii="Times New Roman" w:hAnsi="Times New Roman"/>
                <w:b w:val="0"/>
                <w:sz w:val="20"/>
              </w:rPr>
              <w:t>испод случајног</w:t>
            </w:r>
          </w:p>
        </w:tc>
      </w:tr>
      <w:tr>
        <w:trPr>
          <w:cantSplit/>
        </w:trPr>
        <w:tc>
          <w:tcPr>
            <w:tcW w:type="dxa" w:w="2929"/>
          </w:tcPr>
          <w:p>
            <w:pPr>
              <w:spacing w:after="40"/>
            </w:pPr>
            <w:r>
              <w:rPr>
                <w:rFonts w:ascii="Times New Roman" w:hAnsi="Times New Roman"/>
                <w:b w:val="0"/>
                <w:sz w:val="20"/>
              </w:rPr>
              <w:t>Робусна коваријанса (MinCovDet)</w:t>
            </w:r>
          </w:p>
        </w:tc>
        <w:tc>
          <w:tcPr>
            <w:tcW w:type="dxa" w:w="2929"/>
          </w:tcPr>
          <w:p>
            <w:pPr>
              <w:spacing w:after="40"/>
              <w:jc w:val="right"/>
            </w:pPr>
            <w:r>
              <w:rPr>
                <w:rFonts w:ascii="Times New Roman" w:hAnsi="Times New Roman"/>
                <w:b w:val="0"/>
                <w:sz w:val="20"/>
              </w:rPr>
              <w:t>0,607–0,682</w:t>
            </w:r>
          </w:p>
        </w:tc>
        <w:tc>
          <w:tcPr>
            <w:tcW w:type="dxa" w:w="2929"/>
          </w:tcPr>
          <w:p>
            <w:pPr>
              <w:spacing w:after="40"/>
            </w:pPr>
            <w:r>
              <w:rPr>
                <w:rFonts w:ascii="Times New Roman" w:hAnsi="Times New Roman"/>
                <w:b w:val="0"/>
                <w:sz w:val="20"/>
              </w:rPr>
              <w:t>лошије од Ледоа и Волфа</w:t>
            </w:r>
          </w:p>
        </w:tc>
      </w:tr>
      <w:tr>
        <w:trPr>
          <w:cantSplit/>
        </w:trPr>
        <w:tc>
          <w:tcPr>
            <w:tcW w:type="dxa" w:w="2929"/>
          </w:tcPr>
          <w:p>
            <w:pPr>
              <w:spacing w:after="40"/>
            </w:pPr>
            <w:r>
              <w:rPr>
                <w:rFonts w:ascii="Times New Roman" w:hAnsi="Times New Roman"/>
                <w:b w:val="0"/>
                <w:sz w:val="20"/>
              </w:rPr>
              <w:t>Ранг-ансамбли мел варијанти</w:t>
            </w:r>
          </w:p>
        </w:tc>
        <w:tc>
          <w:tcPr>
            <w:tcW w:type="dxa" w:w="2929"/>
          </w:tcPr>
          <w:p>
            <w:pPr>
              <w:spacing w:after="40"/>
              <w:jc w:val="right"/>
            </w:pPr>
            <w:r>
              <w:rPr>
                <w:rFonts w:ascii="Times New Roman" w:hAnsi="Times New Roman"/>
                <w:b w:val="0"/>
                <w:sz w:val="20"/>
              </w:rPr>
              <w:t>0,578–0,684</w:t>
            </w:r>
          </w:p>
        </w:tc>
        <w:tc>
          <w:tcPr>
            <w:tcW w:type="dxa" w:w="2929"/>
          </w:tcPr>
          <w:p>
            <w:pPr>
              <w:spacing w:after="40"/>
            </w:pPr>
            <w:r>
              <w:rPr>
                <w:rFonts w:ascii="Times New Roman" w:hAnsi="Times New Roman"/>
                <w:b w:val="0"/>
                <w:sz w:val="20"/>
              </w:rPr>
              <w:t>слабији члан вуче јачег надоље</w:t>
            </w:r>
          </w:p>
        </w:tc>
      </w:tr>
    </w:tbl>
    <w:p>
      <w:pPr>
        <w:spacing w:after="80"/>
      </w:pPr>
    </w:p>
    <w:p>
      <w:pPr>
        <w:pStyle w:val="BodyText"/>
        <w:ind w:firstLine="0"/>
      </w:pPr>
      <w:r>
        <w:rPr>
          <w:rFonts w:ascii="Times New Roman" w:hAnsi="Times New Roman"/>
          <w:b w:val="0"/>
          <w:sz w:val="22"/>
        </w:rPr>
        <w:t>Налаз о скупљању коваријансе мијења тумачење ранијег негативног резултата. „Богатији сажетак“ из друге фазе није пао зато што је идеја лоша, него зато што је матрица димензија 1280×1280 процијењена из 990 снимака математички неодржива. Када је скупљање уведено, већи број димензија престао је да буде казна.</w:t>
      </w:r>
    </w:p>
    <w:p>
      <w:pPr>
        <w:pStyle w:val="BodyText"/>
      </w:pPr>
      <w:r>
        <w:rPr>
          <w:rFonts w:ascii="Times New Roman" w:hAnsi="Times New Roman"/>
          <w:b w:val="0"/>
          <w:sz w:val="22"/>
        </w:rPr>
        <w:t>Дванаест варијанти стаје на AUC 0,716. Тај плато је био јасан сигнал да узрок ограничења није у оцјењивачу.</w:t>
      </w:r>
    </w:p>
    <w:p>
      <w:pPr>
        <w:pStyle w:val="Heading2"/>
      </w:pPr>
      <w:r>
        <w:rPr>
          <w:rFonts w:ascii="Arial" w:hAnsi="Arial"/>
          <w:b/>
          <w:sz w:val="28"/>
        </w:rPr>
        <w:t>4.5. Фаза 4: промјена обиљежја и пробој</w:t>
      </w:r>
    </w:p>
    <w:p>
      <w:pPr>
        <w:pStyle w:val="BodyText"/>
      </w:pPr>
      <w:r>
        <w:rPr>
          <w:rFonts w:ascii="Times New Roman" w:hAnsi="Times New Roman"/>
          <w:b w:val="0"/>
          <w:sz w:val="22"/>
        </w:rPr>
        <w:t>До овог тренутка сви приступи дијелили су исти лог-мел улаз са прозором од 1024 узорка и 128 мел трака. Прешло се на спектар високе резолуције: Велчова процјена са сегментом од 8192 узорка и преклапањем од 50 %, сажета у 96 логаритамски распоређених трака од 10 до 4000 Hz, логаритмована и нормализована одузимањем скаларне средње вриједности исјечка. Измјерене варијанте даје Табела 4.4.</w:t>
      </w:r>
    </w:p>
    <w:p>
      <w:pPr>
        <w:pStyle w:val="Potpistabele"/>
        <w:keepNext/>
        <w:spacing w:before="200" w:after="60"/>
        <w:jc w:val="center"/>
      </w:pPr>
      <w:r>
        <w:rPr>
          <w:rFonts w:ascii="Times New Roman" w:hAnsi="Times New Roman"/>
          <w:b w:val="0"/>
          <w:sz w:val="22"/>
        </w:rPr>
        <w:t>Табела 4.4. Варијанте спектралног обиљежја високе резолуције</w:t>
      </w:r>
    </w:p>
    <w:tbl>
      <w:tblPr>
        <w:tblStyle w:val="TableGrid"/>
        <w:tblW w:type="auto" w:w="0"/>
        <w:jc w:val="center"/>
        <w:tblLook w:firstColumn="1" w:firstRow="1" w:lastColumn="0" w:lastRow="0" w:noHBand="0" w:noVBand="1" w:val="04A0"/>
      </w:tblPr>
      <w:tblGrid>
        <w:gridCol w:w="2929"/>
        <w:gridCol w:w="2929"/>
        <w:gridCol w:w="2929"/>
      </w:tblGrid>
      <w:tr>
        <w:trPr>
          <w:tblHeader/>
        </w:trPr>
        <w:tc>
          <w:tcPr>
            <w:tcW w:type="dxa" w:w="2929"/>
          </w:tcPr>
          <w:p>
            <w:pPr>
              <w:keepNext/>
              <w:spacing w:after="40"/>
              <w:jc w:val="center"/>
            </w:pPr>
            <w:r>
              <w:rPr>
                <w:rFonts w:ascii="Times New Roman" w:hAnsi="Times New Roman"/>
                <w:b/>
                <w:sz w:val="20"/>
              </w:rPr>
              <w:t>Варијанта</w:t>
            </w:r>
          </w:p>
        </w:tc>
        <w:tc>
          <w:tcPr>
            <w:tcW w:type="dxa" w:w="2929"/>
          </w:tcPr>
          <w:p>
            <w:pPr>
              <w:keepNext/>
              <w:spacing w:after="40"/>
              <w:jc w:val="center"/>
            </w:pPr>
            <w:r>
              <w:rPr>
                <w:rFonts w:ascii="Times New Roman" w:hAnsi="Times New Roman"/>
                <w:b/>
                <w:sz w:val="20"/>
              </w:rPr>
              <w:t>AUC</w:t>
            </w:r>
          </w:p>
        </w:tc>
        <w:tc>
          <w:tcPr>
            <w:tcW w:type="dxa" w:w="2929"/>
          </w:tcPr>
          <w:p>
            <w:pPr>
              <w:keepNext/>
              <w:spacing w:after="40"/>
              <w:jc w:val="center"/>
            </w:pPr>
            <w:r>
              <w:rPr>
                <w:rFonts w:ascii="Times New Roman" w:hAnsi="Times New Roman"/>
                <w:b/>
                <w:sz w:val="20"/>
              </w:rPr>
              <w:t>Закључак</w:t>
            </w:r>
          </w:p>
        </w:tc>
      </w:tr>
      <w:tr>
        <w:trPr>
          <w:cantSplit/>
        </w:trPr>
        <w:tc>
          <w:tcPr>
            <w:tcW w:type="dxa" w:w="2929"/>
          </w:tcPr>
          <w:p>
            <w:pPr>
              <w:spacing w:after="40"/>
            </w:pPr>
            <w:r>
              <w:rPr>
                <w:rFonts w:ascii="Courier New" w:hAnsi="Courier New"/>
                <w:sz w:val="18"/>
              </w:rPr>
              <w:t>psd_shape</w:t>
            </w:r>
          </w:p>
        </w:tc>
        <w:tc>
          <w:tcPr>
            <w:tcW w:type="dxa" w:w="2929"/>
          </w:tcPr>
          <w:p>
            <w:pPr>
              <w:spacing w:after="40"/>
              <w:jc w:val="right"/>
            </w:pPr>
            <w:r>
              <w:rPr>
                <w:rFonts w:ascii="Times New Roman" w:hAnsi="Times New Roman"/>
                <w:b w:val="0"/>
                <w:sz w:val="20"/>
              </w:rPr>
              <w:t>0,864 ± 0,025</w:t>
            </w:r>
          </w:p>
        </w:tc>
        <w:tc>
          <w:tcPr>
            <w:tcW w:type="dxa" w:w="2929"/>
          </w:tcPr>
          <w:p>
            <w:pPr>
              <w:spacing w:after="40"/>
            </w:pPr>
            <w:r>
              <w:rPr>
                <w:rFonts w:ascii="Times New Roman" w:hAnsi="Times New Roman"/>
                <w:b w:val="0"/>
                <w:sz w:val="20"/>
              </w:rPr>
              <w:t>коначни избор</w:t>
            </w:r>
          </w:p>
        </w:tc>
      </w:tr>
      <w:tr>
        <w:trPr>
          <w:cantSplit/>
        </w:trPr>
        <w:tc>
          <w:tcPr>
            <w:tcW w:type="dxa" w:w="2929"/>
          </w:tcPr>
          <w:p>
            <w:pPr>
              <w:spacing w:after="40"/>
            </w:pPr>
            <w:r>
              <w:rPr>
                <w:rFonts w:ascii="Courier New" w:hAnsi="Courier New"/>
                <w:sz w:val="18"/>
              </w:rPr>
              <w:t>psd_raw</w:t>
            </w:r>
            <w:r>
              <w:rPr>
                <w:rFonts w:ascii="Times New Roman" w:hAnsi="Times New Roman"/>
                <w:b w:val="0"/>
                <w:sz w:val="20"/>
              </w:rPr>
              <w:t xml:space="preserve"> (без нормализације нивоа)</w:t>
            </w:r>
          </w:p>
        </w:tc>
        <w:tc>
          <w:tcPr>
            <w:tcW w:type="dxa" w:w="2929"/>
          </w:tcPr>
          <w:p>
            <w:pPr>
              <w:spacing w:after="40"/>
              <w:jc w:val="right"/>
            </w:pPr>
            <w:r>
              <w:rPr>
                <w:rFonts w:ascii="Times New Roman" w:hAnsi="Times New Roman"/>
                <w:b w:val="0"/>
                <w:sz w:val="20"/>
              </w:rPr>
              <w:t>0,841</w:t>
            </w:r>
          </w:p>
        </w:tc>
        <w:tc>
          <w:tcPr>
            <w:tcW w:type="dxa" w:w="2929"/>
          </w:tcPr>
          <w:p>
            <w:pPr>
              <w:spacing w:after="40"/>
            </w:pPr>
            <w:r>
              <w:rPr>
                <w:rFonts w:ascii="Times New Roman" w:hAnsi="Times New Roman"/>
                <w:b w:val="0"/>
                <w:sz w:val="20"/>
              </w:rPr>
              <w:t>пробој не зависи само од нормализације</w:t>
            </w:r>
          </w:p>
        </w:tc>
      </w:tr>
      <w:tr>
        <w:trPr>
          <w:cantSplit/>
        </w:trPr>
        <w:tc>
          <w:tcPr>
            <w:tcW w:type="dxa" w:w="2929"/>
          </w:tcPr>
          <w:p>
            <w:pPr>
              <w:spacing w:after="40"/>
            </w:pPr>
            <w:r>
              <w:rPr>
                <w:rFonts w:ascii="Courier New" w:hAnsi="Courier New"/>
                <w:sz w:val="18"/>
              </w:rPr>
              <w:t>periodic</w:t>
            </w:r>
            <w:r>
              <w:rPr>
                <w:rFonts w:ascii="Times New Roman" w:hAnsi="Times New Roman"/>
                <w:b w:val="0"/>
                <w:sz w:val="20"/>
              </w:rPr>
              <w:t xml:space="preserve"> (уз анвелопу и скаларе)</w:t>
            </w:r>
          </w:p>
        </w:tc>
        <w:tc>
          <w:tcPr>
            <w:tcW w:type="dxa" w:w="2929"/>
          </w:tcPr>
          <w:p>
            <w:pPr>
              <w:spacing w:after="40"/>
              <w:jc w:val="right"/>
            </w:pPr>
            <w:r>
              <w:rPr>
                <w:rFonts w:ascii="Times New Roman" w:hAnsi="Times New Roman"/>
                <w:b w:val="0"/>
                <w:sz w:val="20"/>
              </w:rPr>
              <w:t>0,827</w:t>
            </w:r>
          </w:p>
        </w:tc>
        <w:tc>
          <w:tcPr>
            <w:tcW w:type="dxa" w:w="2929"/>
          </w:tcPr>
          <w:p>
            <w:pPr>
              <w:spacing w:after="40"/>
            </w:pPr>
            <w:r>
              <w:rPr>
                <w:rFonts w:ascii="Times New Roman" w:hAnsi="Times New Roman"/>
                <w:b w:val="0"/>
                <w:sz w:val="20"/>
              </w:rPr>
              <w:t>анвелопа квари</w:t>
            </w:r>
          </w:p>
        </w:tc>
      </w:tr>
      <w:tr>
        <w:trPr>
          <w:cantSplit/>
        </w:trPr>
        <w:tc>
          <w:tcPr>
            <w:tcW w:type="dxa" w:w="2929"/>
          </w:tcPr>
          <w:p>
            <w:pPr>
              <w:spacing w:after="40"/>
            </w:pPr>
            <w:r>
              <w:rPr>
                <w:rFonts w:ascii="Times New Roman" w:hAnsi="Times New Roman"/>
                <w:b w:val="0"/>
                <w:sz w:val="20"/>
              </w:rPr>
              <w:t>Спектар анвелопе сам</w:t>
            </w:r>
          </w:p>
        </w:tc>
        <w:tc>
          <w:tcPr>
            <w:tcW w:type="dxa" w:w="2929"/>
          </w:tcPr>
          <w:p>
            <w:pPr>
              <w:spacing w:after="40"/>
              <w:jc w:val="right"/>
            </w:pPr>
            <w:r>
              <w:rPr>
                <w:rFonts w:ascii="Times New Roman" w:hAnsi="Times New Roman"/>
                <w:b w:val="0"/>
                <w:sz w:val="20"/>
              </w:rPr>
              <w:t>0,513</w:t>
            </w:r>
          </w:p>
        </w:tc>
        <w:tc>
          <w:tcPr>
            <w:tcW w:type="dxa" w:w="2929"/>
          </w:tcPr>
          <w:p>
            <w:pPr>
              <w:spacing w:after="40"/>
            </w:pPr>
            <w:r>
              <w:rPr>
                <w:rFonts w:ascii="Times New Roman" w:hAnsi="Times New Roman"/>
                <w:b w:val="0"/>
                <w:sz w:val="20"/>
              </w:rPr>
              <w:t>модулација не носи сигнал</w:t>
            </w:r>
          </w:p>
        </w:tc>
      </w:tr>
      <w:tr>
        <w:trPr>
          <w:cantSplit/>
        </w:trPr>
        <w:tc>
          <w:tcPr>
            <w:tcW w:type="dxa" w:w="2929"/>
          </w:tcPr>
          <w:p>
            <w:pPr>
              <w:spacing w:after="40"/>
            </w:pPr>
            <w:r>
              <w:rPr>
                <w:rFonts w:ascii="Courier New" w:hAnsi="Courier New"/>
                <w:sz w:val="18"/>
              </w:rPr>
              <w:t>psd_shape</w:t>
            </w:r>
            <w:r>
              <w:rPr>
                <w:rFonts w:ascii="Times New Roman" w:hAnsi="Times New Roman"/>
                <w:b w:val="0"/>
                <w:sz w:val="20"/>
              </w:rPr>
              <w:t xml:space="preserve"> + медијана центра</w:t>
            </w:r>
          </w:p>
        </w:tc>
        <w:tc>
          <w:tcPr>
            <w:tcW w:type="dxa" w:w="2929"/>
          </w:tcPr>
          <w:p>
            <w:pPr>
              <w:spacing w:after="40"/>
              <w:jc w:val="right"/>
            </w:pPr>
            <w:r>
              <w:rPr>
                <w:rFonts w:ascii="Times New Roman" w:hAnsi="Times New Roman"/>
                <w:b w:val="0"/>
                <w:sz w:val="20"/>
              </w:rPr>
              <w:t>0,855</w:t>
            </w:r>
          </w:p>
        </w:tc>
        <w:tc>
          <w:tcPr>
            <w:tcW w:type="dxa" w:w="2929"/>
          </w:tcPr>
          <w:p>
            <w:pPr>
              <w:spacing w:after="40"/>
            </w:pPr>
            <w:r>
              <w:rPr>
                <w:rFonts w:ascii="Times New Roman" w:hAnsi="Times New Roman"/>
                <w:b w:val="0"/>
                <w:sz w:val="20"/>
              </w:rPr>
              <w:t>медијана овдје не помаже</w:t>
            </w:r>
          </w:p>
        </w:tc>
      </w:tr>
      <w:tr>
        <w:trPr>
          <w:cantSplit/>
        </w:trPr>
        <w:tc>
          <w:tcPr>
            <w:tcW w:type="dxa" w:w="2929"/>
          </w:tcPr>
          <w:p>
            <w:pPr>
              <w:spacing w:after="40"/>
            </w:pPr>
            <w:r>
              <w:rPr>
                <w:rFonts w:ascii="Times New Roman" w:hAnsi="Times New Roman"/>
                <w:b w:val="0"/>
                <w:sz w:val="20"/>
              </w:rPr>
              <w:t xml:space="preserve">Ансамбл </w:t>
            </w:r>
            <w:r>
              <w:rPr>
                <w:rFonts w:ascii="Courier New" w:hAnsi="Courier New"/>
                <w:sz w:val="18"/>
              </w:rPr>
              <w:t>psd_shape</w:t>
            </w:r>
            <w:r>
              <w:rPr>
                <w:rFonts w:ascii="Times New Roman" w:hAnsi="Times New Roman"/>
                <w:b w:val="0"/>
                <w:sz w:val="20"/>
              </w:rPr>
              <w:t xml:space="preserve"> + </w:t>
            </w:r>
            <w:r>
              <w:rPr>
                <w:rFonts w:ascii="Courier New" w:hAnsi="Courier New"/>
                <w:sz w:val="18"/>
              </w:rPr>
              <w:t>mel256</w:t>
            </w:r>
          </w:p>
        </w:tc>
        <w:tc>
          <w:tcPr>
            <w:tcW w:type="dxa" w:w="2929"/>
          </w:tcPr>
          <w:p>
            <w:pPr>
              <w:spacing w:after="40"/>
              <w:jc w:val="right"/>
            </w:pPr>
            <w:r>
              <w:rPr>
                <w:rFonts w:ascii="Times New Roman" w:hAnsi="Times New Roman"/>
                <w:b w:val="0"/>
                <w:sz w:val="20"/>
              </w:rPr>
              <w:t>0,784</w:t>
            </w:r>
          </w:p>
        </w:tc>
        <w:tc>
          <w:tcPr>
            <w:tcW w:type="dxa" w:w="2929"/>
          </w:tcPr>
          <w:p>
            <w:pPr>
              <w:spacing w:after="40"/>
            </w:pPr>
            <w:r>
              <w:rPr>
                <w:rFonts w:ascii="Times New Roman" w:hAnsi="Times New Roman"/>
                <w:b w:val="0"/>
                <w:sz w:val="20"/>
              </w:rPr>
              <w:t>слабији члан квари јачег</w:t>
            </w:r>
          </w:p>
        </w:tc>
      </w:tr>
    </w:tbl>
    <w:p>
      <w:pPr>
        <w:spacing w:after="80"/>
      </w:pPr>
    </w:p>
    <w:p>
      <w:pPr>
        <w:pStyle w:val="BodyText"/>
        <w:ind w:firstLine="0"/>
      </w:pPr>
      <w:r>
        <w:rPr>
          <w:rFonts w:ascii="Times New Roman" w:hAnsi="Times New Roman"/>
          <w:b w:val="0"/>
          <w:sz w:val="22"/>
        </w:rPr>
        <w:t>Разлог због којег ово ради је физички, а не алгоритамски. Вентилатор је ротациона машина и његов потпис чине уске хармонијске линије основне фреквенције обртања. Претходни улаз је имао размак тачака спектра од 15,6 Hz, а мел траке додатно спајају сусједне фреквенције, па се те линије размажу прије него што модел уопште ишта види. Резолуција од 1,95 Hz их раздваја, што се види на Слици 4.1.</w:t>
      </w:r>
    </w:p>
    <w:p>
      <w:pPr>
        <w:keepNext/>
        <w:spacing w:before="160"/>
        <w:jc w:val="center"/>
      </w:pPr>
      <w:r>
        <w:drawing>
          <wp:inline xmlns:a="http://schemas.openxmlformats.org/drawingml/2006/main" xmlns:pic="http://schemas.openxmlformats.org/drawingml/2006/picture">
            <wp:extent cx="5040000" cy="2263304"/>
            <wp:docPr id="2" name="Picture 2"/>
            <wp:cNvGraphicFramePr>
              <a:graphicFrameLocks noChangeAspect="1"/>
            </wp:cNvGraphicFramePr>
            <a:graphic>
              <a:graphicData uri="http://schemas.openxmlformats.org/drawingml/2006/picture">
                <pic:pic>
                  <pic:nvPicPr>
                    <pic:cNvPr id="0" name="sl_rezolucija.png"/>
                    <pic:cNvPicPr/>
                  </pic:nvPicPr>
                  <pic:blipFill>
                    <a:blip r:embed="rId12"/>
                    <a:stretch>
                      <a:fillRect/>
                    </a:stretch>
                  </pic:blipFill>
                  <pic:spPr>
                    <a:xfrm>
                      <a:off x="0" y="0"/>
                      <a:ext cx="5040000" cy="2263304"/>
                    </a:xfrm>
                    <a:prstGeom prst="rect"/>
                  </pic:spPr>
                </pic:pic>
              </a:graphicData>
            </a:graphic>
          </wp:inline>
        </w:drawing>
      </w:r>
    </w:p>
    <w:p>
      <w:pPr>
        <w:pStyle w:val="Potpisslike"/>
        <w:spacing w:after="200"/>
        <w:jc w:val="center"/>
      </w:pPr>
      <w:r>
        <w:rPr>
          <w:rFonts w:ascii="Times New Roman" w:hAnsi="Times New Roman"/>
          <w:b w:val="0"/>
          <w:sz w:val="22"/>
        </w:rPr>
        <w:t>Слика 4.1. Спектар нормалног рада вентилатора при двије резолуције; при размаку од 15,6 Hz хармонијске линије се стапају, а при 1,95 Hz остају раздвојене</w:t>
      </w:r>
    </w:p>
    <w:p>
      <w:pPr>
        <w:pStyle w:val="BodyText"/>
      </w:pPr>
      <w:r>
        <w:rPr>
          <w:rFonts w:ascii="Times New Roman" w:hAnsi="Times New Roman"/>
          <w:b w:val="0"/>
          <w:sz w:val="22"/>
        </w:rPr>
        <w:t>Медијана центра, која је помагала у ранијем мел простору, у овој рунди не надмашује средњу вриједност. Различита расподјела обиљежја је могуће објашњење, али није посебно изолована. Табела 4.5 приказује зависност рангирања од броја калибрационих исјечака.</w:t>
      </w:r>
    </w:p>
    <w:p>
      <w:pPr>
        <w:pStyle w:val="Potpistabele"/>
        <w:keepNext/>
        <w:spacing w:before="200" w:after="60"/>
        <w:jc w:val="center"/>
      </w:pPr>
      <w:r>
        <w:rPr>
          <w:rFonts w:ascii="Times New Roman" w:hAnsi="Times New Roman"/>
          <w:b w:val="0"/>
          <w:sz w:val="22"/>
        </w:rPr>
        <w:t>Табела 4.5. Зависност AUC од трајања калибрације (коначно обиљежје)</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rPr>
          <w:tblHeader/>
        </w:trPr>
        <w:tc>
          <w:tcPr>
            <w:tcW w:type="dxa" w:w="1465"/>
          </w:tcPr>
          <w:p>
            <w:pPr>
              <w:keepNext/>
              <w:spacing w:after="40"/>
              <w:jc w:val="center"/>
            </w:pPr>
            <w:r>
              <w:rPr>
                <w:rFonts w:ascii="Times New Roman" w:hAnsi="Times New Roman"/>
                <w:b/>
                <w:sz w:val="20"/>
              </w:rPr>
              <w:t>Трајање калибрације</w:t>
            </w:r>
          </w:p>
        </w:tc>
        <w:tc>
          <w:tcPr>
            <w:tcW w:type="dxa" w:w="1465"/>
          </w:tcPr>
          <w:p>
            <w:pPr>
              <w:keepNext/>
              <w:spacing w:after="40"/>
              <w:jc w:val="center"/>
            </w:pPr>
            <w:r>
              <w:rPr>
                <w:rFonts w:ascii="Times New Roman" w:hAnsi="Times New Roman"/>
                <w:b/>
                <w:sz w:val="20"/>
              </w:rPr>
              <w:t>50 s</w:t>
            </w:r>
          </w:p>
        </w:tc>
        <w:tc>
          <w:tcPr>
            <w:tcW w:type="dxa" w:w="1465"/>
          </w:tcPr>
          <w:p>
            <w:pPr>
              <w:keepNext/>
              <w:spacing w:after="40"/>
              <w:jc w:val="center"/>
            </w:pPr>
            <w:r>
              <w:rPr>
                <w:rFonts w:ascii="Times New Roman" w:hAnsi="Times New Roman"/>
                <w:b/>
                <w:sz w:val="20"/>
              </w:rPr>
              <w:t>100 s</w:t>
            </w:r>
          </w:p>
        </w:tc>
        <w:tc>
          <w:tcPr>
            <w:tcW w:type="dxa" w:w="1465"/>
          </w:tcPr>
          <w:p>
            <w:pPr>
              <w:keepNext/>
              <w:spacing w:after="40"/>
              <w:jc w:val="center"/>
            </w:pPr>
            <w:r>
              <w:rPr>
                <w:rFonts w:ascii="Times New Roman" w:hAnsi="Times New Roman"/>
                <w:b/>
                <w:sz w:val="20"/>
              </w:rPr>
              <w:t>200 s</w:t>
            </w:r>
          </w:p>
        </w:tc>
        <w:tc>
          <w:tcPr>
            <w:tcW w:type="dxa" w:w="1465"/>
          </w:tcPr>
          <w:p>
            <w:pPr>
              <w:keepNext/>
              <w:spacing w:after="40"/>
              <w:jc w:val="center"/>
            </w:pPr>
            <w:r>
              <w:rPr>
                <w:rFonts w:ascii="Times New Roman" w:hAnsi="Times New Roman"/>
                <w:b/>
                <w:sz w:val="20"/>
              </w:rPr>
              <w:t>300 s</w:t>
            </w:r>
          </w:p>
        </w:tc>
        <w:tc>
          <w:tcPr>
            <w:tcW w:type="dxa" w:w="1465"/>
          </w:tcPr>
          <w:p>
            <w:pPr>
              <w:keepNext/>
              <w:spacing w:after="40"/>
              <w:jc w:val="center"/>
            </w:pPr>
            <w:r>
              <w:rPr>
                <w:rFonts w:ascii="Times New Roman" w:hAnsi="Times New Roman"/>
                <w:b/>
                <w:sz w:val="20"/>
              </w:rPr>
              <w:t>400 s</w:t>
            </w:r>
          </w:p>
        </w:tc>
      </w:tr>
      <w:tr>
        <w:trPr>
          <w:cantSplit/>
        </w:trPr>
        <w:tc>
          <w:tcPr>
            <w:tcW w:type="dxa" w:w="1465"/>
          </w:tcPr>
          <w:p>
            <w:pPr>
              <w:spacing w:after="40"/>
            </w:pPr>
            <w:r>
              <w:rPr>
                <w:rFonts w:ascii="Times New Roman" w:hAnsi="Times New Roman"/>
                <w:b w:val="0"/>
                <w:sz w:val="20"/>
              </w:rPr>
              <w:t>AUC</w:t>
            </w:r>
          </w:p>
        </w:tc>
        <w:tc>
          <w:tcPr>
            <w:tcW w:type="dxa" w:w="1465"/>
          </w:tcPr>
          <w:p>
            <w:pPr>
              <w:spacing w:after="40"/>
              <w:jc w:val="right"/>
            </w:pPr>
            <w:r>
              <w:rPr>
                <w:rFonts w:ascii="Times New Roman" w:hAnsi="Times New Roman"/>
                <w:b w:val="0"/>
                <w:sz w:val="20"/>
              </w:rPr>
              <w:t>0,834</w:t>
            </w:r>
          </w:p>
        </w:tc>
        <w:tc>
          <w:tcPr>
            <w:tcW w:type="dxa" w:w="1465"/>
          </w:tcPr>
          <w:p>
            <w:pPr>
              <w:spacing w:after="40"/>
              <w:jc w:val="right"/>
            </w:pPr>
            <w:r>
              <w:rPr>
                <w:rFonts w:ascii="Times New Roman" w:hAnsi="Times New Roman"/>
                <w:b w:val="0"/>
                <w:sz w:val="20"/>
              </w:rPr>
              <w:t>0,853</w:t>
            </w:r>
          </w:p>
        </w:tc>
        <w:tc>
          <w:tcPr>
            <w:tcW w:type="dxa" w:w="1465"/>
          </w:tcPr>
          <w:p>
            <w:pPr>
              <w:spacing w:after="40"/>
              <w:jc w:val="right"/>
            </w:pPr>
            <w:r>
              <w:rPr>
                <w:rFonts w:ascii="Times New Roman" w:hAnsi="Times New Roman"/>
                <w:b w:val="0"/>
                <w:sz w:val="20"/>
              </w:rPr>
              <w:t>0,864</w:t>
            </w:r>
          </w:p>
        </w:tc>
        <w:tc>
          <w:tcPr>
            <w:tcW w:type="dxa" w:w="1465"/>
          </w:tcPr>
          <w:p>
            <w:pPr>
              <w:spacing w:after="40"/>
              <w:jc w:val="right"/>
            </w:pPr>
            <w:r>
              <w:rPr>
                <w:rFonts w:ascii="Times New Roman" w:hAnsi="Times New Roman"/>
                <w:b w:val="0"/>
                <w:sz w:val="20"/>
              </w:rPr>
              <w:t>0,866</w:t>
            </w:r>
          </w:p>
        </w:tc>
        <w:tc>
          <w:tcPr>
            <w:tcW w:type="dxa" w:w="1465"/>
          </w:tcPr>
          <w:p>
            <w:pPr>
              <w:spacing w:after="40"/>
              <w:jc w:val="right"/>
            </w:pPr>
            <w:r>
              <w:rPr>
                <w:rFonts w:ascii="Times New Roman" w:hAnsi="Times New Roman"/>
                <w:b w:val="0"/>
                <w:sz w:val="20"/>
              </w:rPr>
              <w:t>0,875</w:t>
            </w:r>
          </w:p>
        </w:tc>
      </w:tr>
    </w:tbl>
    <w:p>
      <w:pPr>
        <w:spacing w:after="80"/>
      </w:pPr>
    </w:p>
    <w:p>
      <w:pPr>
        <w:pStyle w:val="BodyText"/>
        <w:ind w:firstLine="0"/>
      </w:pPr>
      <w:r>
        <w:rPr>
          <w:rFonts w:ascii="Times New Roman" w:hAnsi="Times New Roman"/>
          <w:b w:val="0"/>
          <w:sz w:val="22"/>
        </w:rPr>
        <w:t>Већ пет нормалних исјечака даје развојни AUC изнад 0,80. Ова табела описује само учење локалног центра и рангирање; не обухвата вријеме извођења и провјере алармног прага. Повећање броја исјечака и даље доноси одређени добитак, уз дуже учење.</w:t>
      </w:r>
    </w:p>
    <w:p>
      <w:pPr>
        <w:pStyle w:val="Heading2"/>
      </w:pPr>
      <w:r>
        <w:rPr>
          <w:rFonts w:ascii="Arial" w:hAnsi="Arial"/>
          <w:b/>
          <w:sz w:val="28"/>
        </w:rPr>
        <w:t>4.6. Граница важења: побједа за вентилатор, не уопште</w:t>
      </w:r>
    </w:p>
    <w:p>
      <w:pPr>
        <w:pStyle w:val="BodyText"/>
      </w:pPr>
      <w:r>
        <w:rPr>
          <w:rFonts w:ascii="Times New Roman" w:hAnsi="Times New Roman"/>
          <w:b w:val="0"/>
          <w:sz w:val="22"/>
        </w:rPr>
        <w:t>До овог тренутка обиљежје је било мјерено само на вентилатору. Послије мјерења на свих седам машина развојног скупа слика је битно другачија, и то је налаз који се мора навести уз сваку тврдњу о квалитету рјешења. Поређење по машинама даје Табела 4.6.</w:t>
      </w:r>
    </w:p>
    <w:p>
      <w:pPr>
        <w:pStyle w:val="Potpistabele"/>
        <w:keepNext/>
        <w:spacing w:before="200" w:after="60"/>
        <w:jc w:val="center"/>
      </w:pPr>
      <w:r>
        <w:rPr>
          <w:rFonts w:ascii="Times New Roman" w:hAnsi="Times New Roman"/>
          <w:b w:val="0"/>
          <w:sz w:val="22"/>
        </w:rPr>
        <w:t>Табела 4.6. Поређење обиљежја по машинама, канонска евалуација (</w:t>
      </w:r>
      <w:r>
        <w:rPr>
          <w:rFonts w:ascii="Times New Roman" w:hAnsi="Times New Roman"/>
          <w:i/>
          <w:sz w:val="22"/>
        </w:rPr>
        <w:t>k</w:t>
      </w:r>
      <w:r>
        <w:rPr>
          <w:rFonts w:ascii="Times New Roman" w:hAnsi="Times New Roman"/>
          <w:b w:val="0"/>
          <w:sz w:val="22"/>
        </w:rPr>
        <w:t xml:space="preserve"> = 20, 100 подјела)</w:t>
      </w:r>
    </w:p>
    <w:tbl>
      <w:tblPr>
        <w:tblStyle w:val="TableGrid"/>
        <w:tblW w:type="auto" w:w="0"/>
        <w:jc w:val="center"/>
        <w:tblLook w:firstColumn="1" w:firstRow="1" w:lastColumn="0" w:lastRow="0" w:noHBand="0" w:noVBand="1" w:val="04A0"/>
      </w:tblPr>
      <w:tblGrid>
        <w:gridCol w:w="2197"/>
        <w:gridCol w:w="2197"/>
        <w:gridCol w:w="2197"/>
        <w:gridCol w:w="2197"/>
      </w:tblGrid>
      <w:tr>
        <w:trPr>
          <w:tblHeader/>
        </w:trPr>
        <w:tc>
          <w:tcPr>
            <w:tcW w:type="dxa" w:w="2197"/>
          </w:tcPr>
          <w:p>
            <w:pPr>
              <w:keepNext/>
              <w:spacing w:after="40"/>
              <w:jc w:val="center"/>
            </w:pPr>
            <w:r>
              <w:rPr>
                <w:rFonts w:ascii="Times New Roman" w:hAnsi="Times New Roman"/>
                <w:b/>
                <w:sz w:val="20"/>
              </w:rPr>
              <w:t>Машина</w:t>
            </w:r>
          </w:p>
        </w:tc>
        <w:tc>
          <w:tcPr>
            <w:tcW w:type="dxa" w:w="2197"/>
          </w:tcPr>
          <w:p>
            <w:pPr>
              <w:keepNext/>
              <w:spacing w:after="40"/>
              <w:jc w:val="center"/>
            </w:pPr>
            <w:r>
              <w:rPr>
                <w:rFonts w:ascii="Courier New" w:hAnsi="Courier New"/>
                <w:sz w:val="18"/>
              </w:rPr>
              <w:t>psd_shape</w:t>
            </w:r>
          </w:p>
        </w:tc>
        <w:tc>
          <w:tcPr>
            <w:tcW w:type="dxa" w:w="2197"/>
          </w:tcPr>
          <w:p>
            <w:pPr>
              <w:keepNext/>
              <w:spacing w:after="40"/>
              <w:jc w:val="center"/>
            </w:pPr>
            <w:r>
              <w:rPr>
                <w:rFonts w:ascii="Courier New" w:hAnsi="Courier New"/>
                <w:sz w:val="18"/>
              </w:rPr>
              <w:t>mel1280</w:t>
            </w:r>
          </w:p>
        </w:tc>
        <w:tc>
          <w:tcPr>
            <w:tcW w:type="dxa" w:w="2197"/>
          </w:tcPr>
          <w:p>
            <w:pPr>
              <w:keepNext/>
              <w:spacing w:after="40"/>
              <w:jc w:val="center"/>
            </w:pPr>
            <w:r>
              <w:rPr>
                <w:rFonts w:ascii="Courier New" w:hAnsi="Courier New"/>
                <w:sz w:val="18"/>
              </w:rPr>
              <w:t>mel256</w:t>
            </w:r>
          </w:p>
        </w:tc>
      </w:tr>
      <w:tr>
        <w:trPr>
          <w:cantSplit/>
        </w:trPr>
        <w:tc>
          <w:tcPr>
            <w:tcW w:type="dxa" w:w="2197"/>
          </w:tcPr>
          <w:p>
            <w:pPr>
              <w:spacing w:after="40"/>
            </w:pPr>
            <w:r>
              <w:rPr>
                <w:rFonts w:ascii="Times New Roman" w:hAnsi="Times New Roman"/>
                <w:b/>
                <w:sz w:val="20"/>
              </w:rPr>
              <w:t>fan</w:t>
            </w:r>
          </w:p>
        </w:tc>
        <w:tc>
          <w:tcPr>
            <w:tcW w:type="dxa" w:w="2197"/>
          </w:tcPr>
          <w:p>
            <w:pPr>
              <w:spacing w:after="40"/>
              <w:jc w:val="right"/>
            </w:pPr>
            <w:r>
              <w:rPr>
                <w:rFonts w:ascii="Times New Roman" w:hAnsi="Times New Roman"/>
                <w:b/>
                <w:sz w:val="20"/>
              </w:rPr>
              <w:t>0,867</w:t>
            </w:r>
          </w:p>
        </w:tc>
        <w:tc>
          <w:tcPr>
            <w:tcW w:type="dxa" w:w="2197"/>
          </w:tcPr>
          <w:p>
            <w:pPr>
              <w:spacing w:after="40"/>
              <w:jc w:val="right"/>
            </w:pPr>
            <w:r>
              <w:rPr>
                <w:rFonts w:ascii="Times New Roman" w:hAnsi="Times New Roman"/>
                <w:b w:val="0"/>
                <w:sz w:val="20"/>
              </w:rPr>
              <w:t>0,627</w:t>
            </w:r>
          </w:p>
        </w:tc>
        <w:tc>
          <w:tcPr>
            <w:tcW w:type="dxa" w:w="2197"/>
          </w:tcPr>
          <w:p>
            <w:pPr>
              <w:spacing w:after="40"/>
              <w:jc w:val="right"/>
            </w:pPr>
            <w:r>
              <w:rPr>
                <w:rFonts w:ascii="Times New Roman" w:hAnsi="Times New Roman"/>
                <w:b w:val="0"/>
                <w:sz w:val="20"/>
              </w:rPr>
              <w:t>0,590</w:t>
            </w:r>
          </w:p>
        </w:tc>
      </w:tr>
      <w:tr>
        <w:trPr>
          <w:cantSplit/>
        </w:trPr>
        <w:tc>
          <w:tcPr>
            <w:tcW w:type="dxa" w:w="2197"/>
          </w:tcPr>
          <w:p>
            <w:pPr>
              <w:spacing w:after="40"/>
            </w:pPr>
            <w:r>
              <w:rPr>
                <w:rFonts w:ascii="Times New Roman" w:hAnsi="Times New Roman"/>
                <w:b w:val="0"/>
                <w:sz w:val="20"/>
              </w:rPr>
              <w:t>sliderEmu</w:t>
            </w:r>
          </w:p>
        </w:tc>
        <w:tc>
          <w:tcPr>
            <w:tcW w:type="dxa" w:w="2197"/>
          </w:tcPr>
          <w:p>
            <w:pPr>
              <w:spacing w:after="40"/>
              <w:jc w:val="right"/>
            </w:pPr>
            <w:r>
              <w:rPr>
                <w:rFonts w:ascii="Times New Roman" w:hAnsi="Times New Roman"/>
                <w:b w:val="0"/>
                <w:sz w:val="20"/>
              </w:rPr>
              <w:t>0,585</w:t>
            </w:r>
          </w:p>
        </w:tc>
        <w:tc>
          <w:tcPr>
            <w:tcW w:type="dxa" w:w="2197"/>
          </w:tcPr>
          <w:p>
            <w:pPr>
              <w:spacing w:after="40"/>
              <w:jc w:val="right"/>
            </w:pPr>
            <w:r>
              <w:rPr>
                <w:rFonts w:ascii="Times New Roman" w:hAnsi="Times New Roman"/>
                <w:b w:val="0"/>
                <w:sz w:val="20"/>
              </w:rPr>
              <w:t>0,559</w:t>
            </w:r>
          </w:p>
        </w:tc>
        <w:tc>
          <w:tcPr>
            <w:tcW w:type="dxa" w:w="2197"/>
          </w:tcPr>
          <w:p>
            <w:pPr>
              <w:spacing w:after="40"/>
              <w:jc w:val="right"/>
            </w:pPr>
            <w:r>
              <w:rPr>
                <w:rFonts w:ascii="Times New Roman" w:hAnsi="Times New Roman"/>
                <w:b w:val="0"/>
                <w:sz w:val="20"/>
              </w:rPr>
              <w:t>0,563</w:t>
            </w:r>
          </w:p>
        </w:tc>
      </w:tr>
      <w:tr>
        <w:trPr>
          <w:cantSplit/>
        </w:trPr>
        <w:tc>
          <w:tcPr>
            <w:tcW w:type="dxa" w:w="2197"/>
          </w:tcPr>
          <w:p>
            <w:pPr>
              <w:spacing w:after="40"/>
            </w:pPr>
            <w:r>
              <w:rPr>
                <w:rFonts w:ascii="Times New Roman" w:hAnsi="Times New Roman"/>
                <w:b w:val="0"/>
                <w:sz w:val="20"/>
              </w:rPr>
              <w:t>gearboxEmu</w:t>
            </w:r>
          </w:p>
        </w:tc>
        <w:tc>
          <w:tcPr>
            <w:tcW w:type="dxa" w:w="2197"/>
          </w:tcPr>
          <w:p>
            <w:pPr>
              <w:spacing w:after="40"/>
              <w:jc w:val="right"/>
            </w:pPr>
            <w:r>
              <w:rPr>
                <w:rFonts w:ascii="Times New Roman" w:hAnsi="Times New Roman"/>
                <w:b w:val="0"/>
                <w:sz w:val="20"/>
              </w:rPr>
              <w:t>0,544</w:t>
            </w:r>
          </w:p>
        </w:tc>
        <w:tc>
          <w:tcPr>
            <w:tcW w:type="dxa" w:w="2197"/>
          </w:tcPr>
          <w:p>
            <w:pPr>
              <w:spacing w:after="40"/>
              <w:jc w:val="right"/>
            </w:pPr>
            <w:r>
              <w:rPr>
                <w:rFonts w:ascii="Times New Roman" w:hAnsi="Times New Roman"/>
                <w:b w:val="0"/>
                <w:sz w:val="20"/>
              </w:rPr>
              <w:t>0,611</w:t>
            </w:r>
          </w:p>
        </w:tc>
        <w:tc>
          <w:tcPr>
            <w:tcW w:type="dxa" w:w="2197"/>
          </w:tcPr>
          <w:p>
            <w:pPr>
              <w:spacing w:after="40"/>
              <w:jc w:val="right"/>
            </w:pPr>
            <w:r>
              <w:rPr>
                <w:rFonts w:ascii="Times New Roman" w:hAnsi="Times New Roman"/>
                <w:b w:val="0"/>
                <w:sz w:val="20"/>
              </w:rPr>
              <w:t>0,581</w:t>
            </w:r>
          </w:p>
        </w:tc>
      </w:tr>
      <w:tr>
        <w:trPr>
          <w:cantSplit/>
        </w:trPr>
        <w:tc>
          <w:tcPr>
            <w:tcW w:type="dxa" w:w="2197"/>
          </w:tcPr>
          <w:p>
            <w:pPr>
              <w:spacing w:after="40"/>
            </w:pPr>
            <w:r>
              <w:rPr>
                <w:rFonts w:ascii="Times New Roman" w:hAnsi="Times New Roman"/>
                <w:b w:val="0"/>
                <w:sz w:val="20"/>
              </w:rPr>
              <w:t>valveEmu</w:t>
            </w:r>
          </w:p>
        </w:tc>
        <w:tc>
          <w:tcPr>
            <w:tcW w:type="dxa" w:w="2197"/>
          </w:tcPr>
          <w:p>
            <w:pPr>
              <w:spacing w:after="40"/>
              <w:jc w:val="right"/>
            </w:pPr>
            <w:r>
              <w:rPr>
                <w:rFonts w:ascii="Times New Roman" w:hAnsi="Times New Roman"/>
                <w:b w:val="0"/>
                <w:sz w:val="20"/>
              </w:rPr>
              <w:t>0,738</w:t>
            </w:r>
          </w:p>
        </w:tc>
        <w:tc>
          <w:tcPr>
            <w:tcW w:type="dxa" w:w="2197"/>
          </w:tcPr>
          <w:p>
            <w:pPr>
              <w:spacing w:after="40"/>
              <w:jc w:val="right"/>
            </w:pPr>
            <w:r>
              <w:rPr>
                <w:rFonts w:ascii="Times New Roman" w:hAnsi="Times New Roman"/>
                <w:b w:val="0"/>
                <w:sz w:val="20"/>
              </w:rPr>
              <w:t>0,765</w:t>
            </w:r>
          </w:p>
        </w:tc>
        <w:tc>
          <w:tcPr>
            <w:tcW w:type="dxa" w:w="2197"/>
          </w:tcPr>
          <w:p>
            <w:pPr>
              <w:spacing w:after="40"/>
              <w:jc w:val="right"/>
            </w:pPr>
            <w:r>
              <w:rPr>
                <w:rFonts w:ascii="Times New Roman" w:hAnsi="Times New Roman"/>
                <w:b w:val="0"/>
                <w:sz w:val="20"/>
              </w:rPr>
              <w:t>0,770</w:t>
            </w:r>
          </w:p>
        </w:tc>
      </w:tr>
      <w:tr>
        <w:trPr>
          <w:cantSplit/>
        </w:trPr>
        <w:tc>
          <w:tcPr>
            <w:tcW w:type="dxa" w:w="2197"/>
          </w:tcPr>
          <w:p>
            <w:pPr>
              <w:spacing w:after="40"/>
            </w:pPr>
            <w:r>
              <w:rPr>
                <w:rFonts w:ascii="Times New Roman" w:hAnsi="Times New Roman"/>
                <w:b w:val="0"/>
                <w:sz w:val="20"/>
              </w:rPr>
              <w:t>bearingEmu</w:t>
            </w:r>
          </w:p>
        </w:tc>
        <w:tc>
          <w:tcPr>
            <w:tcW w:type="dxa" w:w="2197"/>
          </w:tcPr>
          <w:p>
            <w:pPr>
              <w:spacing w:after="40"/>
              <w:jc w:val="right"/>
            </w:pPr>
            <w:r>
              <w:rPr>
                <w:rFonts w:ascii="Times New Roman" w:hAnsi="Times New Roman"/>
                <w:b w:val="0"/>
                <w:sz w:val="20"/>
              </w:rPr>
              <w:t>0,506</w:t>
            </w:r>
          </w:p>
        </w:tc>
        <w:tc>
          <w:tcPr>
            <w:tcW w:type="dxa" w:w="2197"/>
          </w:tcPr>
          <w:p>
            <w:pPr>
              <w:spacing w:after="40"/>
              <w:jc w:val="right"/>
            </w:pPr>
            <w:r>
              <w:rPr>
                <w:rFonts w:ascii="Times New Roman" w:hAnsi="Times New Roman"/>
                <w:b w:val="0"/>
                <w:sz w:val="20"/>
              </w:rPr>
              <w:t>0,576</w:t>
            </w:r>
          </w:p>
        </w:tc>
        <w:tc>
          <w:tcPr>
            <w:tcW w:type="dxa" w:w="2197"/>
          </w:tcPr>
          <w:p>
            <w:pPr>
              <w:spacing w:after="40"/>
              <w:jc w:val="right"/>
            </w:pPr>
            <w:r>
              <w:rPr>
                <w:rFonts w:ascii="Times New Roman" w:hAnsi="Times New Roman"/>
                <w:b w:val="0"/>
                <w:sz w:val="20"/>
              </w:rPr>
              <w:t>0,569</w:t>
            </w:r>
          </w:p>
        </w:tc>
      </w:tr>
      <w:tr>
        <w:trPr>
          <w:cantSplit/>
        </w:trPr>
        <w:tc>
          <w:tcPr>
            <w:tcW w:type="dxa" w:w="2197"/>
          </w:tcPr>
          <w:p>
            <w:pPr>
              <w:spacing w:after="40"/>
            </w:pPr>
            <w:r>
              <w:rPr>
                <w:rFonts w:ascii="Times New Roman" w:hAnsi="Times New Roman"/>
                <w:b w:val="0"/>
                <w:sz w:val="20"/>
              </w:rPr>
              <w:t>ToyCar</w:t>
            </w:r>
          </w:p>
        </w:tc>
        <w:tc>
          <w:tcPr>
            <w:tcW w:type="dxa" w:w="2197"/>
          </w:tcPr>
          <w:p>
            <w:pPr>
              <w:spacing w:after="40"/>
              <w:jc w:val="right"/>
            </w:pPr>
            <w:r>
              <w:rPr>
                <w:rFonts w:ascii="Times New Roman" w:hAnsi="Times New Roman"/>
                <w:b w:val="0"/>
                <w:sz w:val="20"/>
              </w:rPr>
              <w:t>0,448</w:t>
            </w:r>
          </w:p>
        </w:tc>
        <w:tc>
          <w:tcPr>
            <w:tcW w:type="dxa" w:w="2197"/>
          </w:tcPr>
          <w:p>
            <w:pPr>
              <w:spacing w:after="40"/>
              <w:jc w:val="right"/>
            </w:pPr>
            <w:r>
              <w:rPr>
                <w:rFonts w:ascii="Times New Roman" w:hAnsi="Times New Roman"/>
                <w:b w:val="0"/>
                <w:sz w:val="20"/>
              </w:rPr>
              <w:t>0,539</w:t>
            </w:r>
          </w:p>
        </w:tc>
        <w:tc>
          <w:tcPr>
            <w:tcW w:type="dxa" w:w="2197"/>
          </w:tcPr>
          <w:p>
            <w:pPr>
              <w:spacing w:after="40"/>
              <w:jc w:val="right"/>
            </w:pPr>
            <w:r>
              <w:rPr>
                <w:rFonts w:ascii="Times New Roman" w:hAnsi="Times New Roman"/>
                <w:b w:val="0"/>
                <w:sz w:val="20"/>
              </w:rPr>
              <w:t>0,536</w:t>
            </w:r>
          </w:p>
        </w:tc>
      </w:tr>
      <w:tr>
        <w:trPr>
          <w:cantSplit/>
        </w:trPr>
        <w:tc>
          <w:tcPr>
            <w:tcW w:type="dxa" w:w="2197"/>
          </w:tcPr>
          <w:p>
            <w:pPr>
              <w:spacing w:after="40"/>
            </w:pPr>
            <w:r>
              <w:rPr>
                <w:rFonts w:ascii="Times New Roman" w:hAnsi="Times New Roman"/>
                <w:b w:val="0"/>
                <w:sz w:val="20"/>
              </w:rPr>
              <w:t>ToyCarEmu</w:t>
            </w:r>
          </w:p>
        </w:tc>
        <w:tc>
          <w:tcPr>
            <w:tcW w:type="dxa" w:w="2197"/>
          </w:tcPr>
          <w:p>
            <w:pPr>
              <w:spacing w:after="40"/>
              <w:jc w:val="right"/>
            </w:pPr>
            <w:r>
              <w:rPr>
                <w:rFonts w:ascii="Times New Roman" w:hAnsi="Times New Roman"/>
                <w:b w:val="0"/>
                <w:sz w:val="20"/>
              </w:rPr>
              <w:t>0,376</w:t>
            </w:r>
          </w:p>
        </w:tc>
        <w:tc>
          <w:tcPr>
            <w:tcW w:type="dxa" w:w="2197"/>
          </w:tcPr>
          <w:p>
            <w:pPr>
              <w:spacing w:after="40"/>
              <w:jc w:val="right"/>
            </w:pPr>
            <w:r>
              <w:rPr>
                <w:rFonts w:ascii="Times New Roman" w:hAnsi="Times New Roman"/>
                <w:b w:val="0"/>
                <w:sz w:val="20"/>
              </w:rPr>
              <w:t>0,552</w:t>
            </w:r>
          </w:p>
        </w:tc>
        <w:tc>
          <w:tcPr>
            <w:tcW w:type="dxa" w:w="2197"/>
          </w:tcPr>
          <w:p>
            <w:pPr>
              <w:spacing w:after="40"/>
              <w:jc w:val="right"/>
            </w:pPr>
            <w:r>
              <w:rPr>
                <w:rFonts w:ascii="Times New Roman" w:hAnsi="Times New Roman"/>
                <w:b w:val="0"/>
                <w:sz w:val="20"/>
              </w:rPr>
              <w:t>0,518</w:t>
            </w:r>
          </w:p>
        </w:tc>
      </w:tr>
    </w:tbl>
    <w:p>
      <w:pPr>
        <w:spacing w:after="80"/>
      </w:pPr>
    </w:p>
    <w:p>
      <w:pPr>
        <w:pStyle w:val="BodyText"/>
        <w:ind w:firstLine="0"/>
      </w:pPr>
      <w:r>
        <w:rPr>
          <w:rFonts w:ascii="Times New Roman" w:hAnsi="Times New Roman"/>
          <w:b w:val="0"/>
          <w:sz w:val="22"/>
        </w:rPr>
        <w:t>Обиљежје psd_shape даје већи AUC на двије од седам машина у овом протоколу. На осталима је боље најмање једно мел обиљежје. Различита спектрална структура машина може објаснити дио разлике, али из ових резултата није утврђен посебан физички узрок за сваку машину. Табела није званични укупни резултат DCASE такмичења.</w:t>
      </w:r>
    </w:p>
    <w:p>
      <w:pPr>
        <w:pStyle w:val="BodyText"/>
      </w:pPr>
      <w:r>
        <w:rPr>
          <w:rFonts w:ascii="Times New Roman" w:hAnsi="Times New Roman"/>
          <w:b w:val="0"/>
          <w:sz w:val="22"/>
        </w:rPr>
        <w:t xml:space="preserve">За овај рад то значи сљедеће. Уређај је намијењен вентилаторима, па избор обиљежја остаје исправан и тврдња о AUC 0,867 </w:t>
      </w:r>
      <w:r>
        <w:rPr>
          <w:rFonts w:ascii="Times New Roman" w:hAnsi="Times New Roman"/>
          <w:b/>
          <w:sz w:val="22"/>
        </w:rPr>
        <w:t>важи за вентилатор</w:t>
      </w:r>
      <w:r>
        <w:rPr>
          <w:rFonts w:ascii="Times New Roman" w:hAnsi="Times New Roman"/>
          <w:b w:val="0"/>
          <w:sz w:val="22"/>
        </w:rPr>
        <w:t xml:space="preserve">. Тврдња да је ово обиљежје опште побољшање детекције аномалија звука </w:t>
      </w:r>
      <w:r>
        <w:rPr>
          <w:rFonts w:ascii="Times New Roman" w:hAnsi="Times New Roman"/>
          <w:b/>
          <w:sz w:val="22"/>
        </w:rPr>
        <w:t>не стоји</w:t>
      </w:r>
      <w:r>
        <w:rPr>
          <w:rFonts w:ascii="Times New Roman" w:hAnsi="Times New Roman"/>
          <w:b w:val="0"/>
          <w:sz w:val="22"/>
        </w:rPr>
        <w:t xml:space="preserve"> и тако се и пише. Ако би се систем ширио на други тип машине, обиљежје би се бирало по типу, а такав избор је могуће направити без иједне циљне ознаке, само из изворног домена.</w:t>
      </w:r>
    </w:p>
    <w:p>
      <w:pPr>
        <w:pStyle w:val="Heading2"/>
      </w:pPr>
      <w:r>
        <w:rPr>
          <w:rFonts w:ascii="Arial" w:hAnsi="Arial"/>
          <w:b/>
          <w:sz w:val="28"/>
        </w:rPr>
        <w:t>4.7. Фаза 5: поређење алтернативних обиљежја</w:t>
      </w:r>
    </w:p>
    <w:p>
      <w:pPr>
        <w:pStyle w:val="BodyText"/>
      </w:pPr>
      <w:r>
        <w:rPr>
          <w:rFonts w:ascii="Times New Roman" w:hAnsi="Times New Roman"/>
          <w:b w:val="0"/>
          <w:sz w:val="22"/>
        </w:rPr>
        <w:t>У наредној рунди поређено је седам кандидата са основним обиљежјем на истих двадесет калибрационих подјела. Листа је фиксирана прије те рунде евалуације. То обезбјеђује упарено поређење унутар рунде, али не уклања ранији увид у развојне резултате. Све конфигурације су дате у Табели 4.7.</w:t>
      </w:r>
    </w:p>
    <w:p>
      <w:pPr>
        <w:pStyle w:val="Potpistabele"/>
        <w:keepNext/>
        <w:spacing w:before="200" w:after="60"/>
        <w:jc w:val="center"/>
      </w:pPr>
      <w:r>
        <w:rPr>
          <w:rFonts w:ascii="Times New Roman" w:hAnsi="Times New Roman"/>
          <w:b w:val="0"/>
          <w:sz w:val="22"/>
        </w:rPr>
        <w:t>Табела 4.7. Седам алтернатива и основно обиљежје (</w:t>
      </w:r>
      <w:r>
        <w:rPr>
          <w:rFonts w:ascii="Times New Roman" w:hAnsi="Times New Roman"/>
          <w:i/>
          <w:sz w:val="22"/>
        </w:rPr>
        <w:t>k</w:t>
      </w:r>
      <w:r>
        <w:rPr>
          <w:rFonts w:ascii="Times New Roman" w:hAnsi="Times New Roman"/>
          <w:b w:val="0"/>
          <w:sz w:val="22"/>
        </w:rPr>
        <w:t xml:space="preserve"> = 10, 20 подјела)</w:t>
      </w:r>
    </w:p>
    <w:tbl>
      <w:tblPr>
        <w:tblStyle w:val="TableGrid"/>
        <w:tblW w:type="auto" w:w="0"/>
        <w:jc w:val="center"/>
        <w:tblLook w:firstColumn="1" w:firstRow="1" w:lastColumn="0" w:lastRow="0" w:noHBand="0" w:noVBand="1" w:val="04A0"/>
      </w:tblPr>
      <w:tblGrid>
        <w:gridCol w:w="2197"/>
        <w:gridCol w:w="2197"/>
        <w:gridCol w:w="2197"/>
        <w:gridCol w:w="2197"/>
      </w:tblGrid>
      <w:tr>
        <w:trPr>
          <w:tblHeader/>
        </w:trPr>
        <w:tc>
          <w:tcPr>
            <w:tcW w:type="dxa" w:w="2197"/>
          </w:tcPr>
          <w:p>
            <w:pPr>
              <w:keepNext/>
              <w:spacing w:after="40"/>
              <w:jc w:val="center"/>
            </w:pPr>
            <w:r>
              <w:rPr>
                <w:rFonts w:ascii="Times New Roman" w:hAnsi="Times New Roman"/>
                <w:b/>
                <w:sz w:val="20"/>
              </w:rPr>
              <w:t>Кандидат</w:t>
            </w:r>
          </w:p>
        </w:tc>
        <w:tc>
          <w:tcPr>
            <w:tcW w:type="dxa" w:w="2197"/>
          </w:tcPr>
          <w:p>
            <w:pPr>
              <w:keepNext/>
              <w:spacing w:after="40"/>
              <w:jc w:val="center"/>
            </w:pPr>
            <w:r>
              <w:rPr>
                <w:rFonts w:ascii="Times New Roman" w:hAnsi="Times New Roman"/>
                <w:b/>
                <w:sz w:val="20"/>
              </w:rPr>
              <w:t>Идеја</w:t>
            </w:r>
          </w:p>
        </w:tc>
        <w:tc>
          <w:tcPr>
            <w:tcW w:type="dxa" w:w="2197"/>
          </w:tcPr>
          <w:p>
            <w:pPr>
              <w:keepNext/>
              <w:spacing w:after="40"/>
              <w:jc w:val="center"/>
            </w:pPr>
            <w:r>
              <w:rPr>
                <w:rFonts w:ascii="Times New Roman" w:hAnsi="Times New Roman"/>
                <w:b/>
                <w:sz w:val="20"/>
              </w:rPr>
              <w:t>AUC</w:t>
            </w:r>
          </w:p>
        </w:tc>
        <w:tc>
          <w:tcPr>
            <w:tcW w:type="dxa" w:w="2197"/>
          </w:tcPr>
          <w:p>
            <w:pPr>
              <w:keepNext/>
              <w:spacing w:after="40"/>
              <w:jc w:val="center"/>
            </w:pPr>
            <w:r>
              <w:rPr>
                <w:rFonts w:ascii="Times New Roman" w:hAnsi="Times New Roman"/>
                <w:b/>
                <w:sz w:val="20"/>
              </w:rPr>
              <w:t>Разлика</w:t>
            </w:r>
          </w:p>
        </w:tc>
      </w:tr>
      <w:tr>
        <w:trPr>
          <w:cantSplit/>
        </w:trPr>
        <w:tc>
          <w:tcPr>
            <w:tcW w:type="dxa" w:w="2197"/>
          </w:tcPr>
          <w:p>
            <w:pPr>
              <w:spacing w:after="40"/>
            </w:pPr>
            <w:r>
              <w:rPr>
                <w:rFonts w:ascii="Courier New" w:hAnsi="Courier New"/>
                <w:sz w:val="18"/>
              </w:rPr>
              <w:t>psd_shape</w:t>
            </w:r>
          </w:p>
        </w:tc>
        <w:tc>
          <w:tcPr>
            <w:tcW w:type="dxa" w:w="2197"/>
          </w:tcPr>
          <w:p>
            <w:pPr>
              <w:spacing w:after="40"/>
            </w:pPr>
            <w:r>
              <w:rPr>
                <w:rFonts w:ascii="Times New Roman" w:hAnsi="Times New Roman"/>
                <w:b w:val="0"/>
                <w:sz w:val="20"/>
              </w:rPr>
              <w:t>досадашње обиљежје</w:t>
            </w:r>
          </w:p>
        </w:tc>
        <w:tc>
          <w:tcPr>
            <w:tcW w:type="dxa" w:w="2197"/>
          </w:tcPr>
          <w:p>
            <w:pPr>
              <w:spacing w:after="40"/>
              <w:jc w:val="right"/>
            </w:pPr>
            <w:r>
              <w:rPr>
                <w:rFonts w:ascii="Times New Roman" w:hAnsi="Times New Roman"/>
                <w:b w:val="0"/>
                <w:sz w:val="20"/>
              </w:rPr>
              <w:t>0,856 ± 0,024</w:t>
            </w:r>
          </w:p>
        </w:tc>
        <w:tc>
          <w:tcPr>
            <w:tcW w:type="dxa" w:w="2197"/>
          </w:tcPr>
          <w:p>
            <w:pPr>
              <w:spacing w:after="40"/>
              <w:jc w:val="right"/>
            </w:pPr>
            <w:r>
              <w:rPr>
                <w:rFonts w:ascii="Times New Roman" w:hAnsi="Times New Roman"/>
                <w:b w:val="0"/>
                <w:sz w:val="20"/>
              </w:rPr>
              <w:t>/</w:t>
            </w:r>
          </w:p>
        </w:tc>
      </w:tr>
      <w:tr>
        <w:trPr>
          <w:cantSplit/>
        </w:trPr>
        <w:tc>
          <w:tcPr>
            <w:tcW w:type="dxa" w:w="2197"/>
          </w:tcPr>
          <w:p>
            <w:pPr>
              <w:spacing w:after="40"/>
            </w:pPr>
            <w:r>
              <w:rPr>
                <w:rFonts w:ascii="Courier New" w:hAnsi="Courier New"/>
                <w:sz w:val="18"/>
              </w:rPr>
              <w:t>psd_order</w:t>
            </w:r>
          </w:p>
        </w:tc>
        <w:tc>
          <w:tcPr>
            <w:tcW w:type="dxa" w:w="2197"/>
          </w:tcPr>
          <w:p>
            <w:pPr>
              <w:spacing w:after="40"/>
            </w:pPr>
            <w:r>
              <w:rPr>
                <w:rFonts w:ascii="Times New Roman" w:hAnsi="Times New Roman"/>
                <w:b w:val="0"/>
                <w:sz w:val="20"/>
              </w:rPr>
              <w:t>спектар у јединицама реда</w:t>
            </w:r>
          </w:p>
        </w:tc>
        <w:tc>
          <w:tcPr>
            <w:tcW w:type="dxa" w:w="2197"/>
          </w:tcPr>
          <w:p>
            <w:pPr>
              <w:spacing w:after="40"/>
              <w:jc w:val="right"/>
            </w:pPr>
            <w:r>
              <w:rPr>
                <w:rFonts w:ascii="Times New Roman" w:hAnsi="Times New Roman"/>
                <w:b w:val="0"/>
                <w:sz w:val="20"/>
              </w:rPr>
              <w:t>0,639</w:t>
            </w:r>
          </w:p>
        </w:tc>
        <w:tc>
          <w:tcPr>
            <w:tcW w:type="dxa" w:w="2197"/>
          </w:tcPr>
          <w:p>
            <w:pPr>
              <w:spacing w:after="40"/>
              <w:jc w:val="right"/>
            </w:pPr>
            <w:r>
              <w:rPr>
                <w:rFonts w:ascii="Times New Roman" w:hAnsi="Times New Roman"/>
                <w:b w:val="0"/>
                <w:sz w:val="20"/>
              </w:rPr>
              <w:t>−0,217</w:t>
            </w:r>
          </w:p>
        </w:tc>
      </w:tr>
      <w:tr>
        <w:trPr>
          <w:cantSplit/>
        </w:trPr>
        <w:tc>
          <w:tcPr>
            <w:tcW w:type="dxa" w:w="2197"/>
          </w:tcPr>
          <w:p>
            <w:pPr>
              <w:spacing w:after="40"/>
            </w:pPr>
            <w:r>
              <w:rPr>
                <w:rFonts w:ascii="Courier New" w:hAnsi="Courier New"/>
                <w:sz w:val="18"/>
              </w:rPr>
              <w:t>psd_regime</w:t>
            </w:r>
          </w:p>
        </w:tc>
        <w:tc>
          <w:tcPr>
            <w:tcW w:type="dxa" w:w="2197"/>
          </w:tcPr>
          <w:p>
            <w:pPr>
              <w:spacing w:after="40"/>
            </w:pPr>
            <w:r>
              <w:rPr>
                <w:rFonts w:ascii="Times New Roman" w:hAnsi="Times New Roman"/>
                <w:b w:val="0"/>
                <w:sz w:val="20"/>
              </w:rPr>
              <w:t>засебан центар по режиму</w:t>
            </w:r>
          </w:p>
        </w:tc>
        <w:tc>
          <w:tcPr>
            <w:tcW w:type="dxa" w:w="2197"/>
          </w:tcPr>
          <w:p>
            <w:pPr>
              <w:spacing w:after="40"/>
              <w:jc w:val="right"/>
            </w:pPr>
            <w:r>
              <w:rPr>
                <w:rFonts w:ascii="Times New Roman" w:hAnsi="Times New Roman"/>
                <w:b w:val="0"/>
                <w:sz w:val="20"/>
              </w:rPr>
              <w:t>0,856</w:t>
            </w:r>
          </w:p>
        </w:tc>
        <w:tc>
          <w:tcPr>
            <w:tcW w:type="dxa" w:w="2197"/>
          </w:tcPr>
          <w:p>
            <w:pPr>
              <w:spacing w:after="40"/>
              <w:jc w:val="right"/>
            </w:pPr>
            <w:r>
              <w:rPr>
                <w:rFonts w:ascii="Times New Roman" w:hAnsi="Times New Roman"/>
                <w:b w:val="0"/>
                <w:sz w:val="20"/>
              </w:rPr>
              <w:t>0,000</w:t>
            </w:r>
          </w:p>
        </w:tc>
      </w:tr>
      <w:tr>
        <w:trPr>
          <w:cantSplit/>
        </w:trPr>
        <w:tc>
          <w:tcPr>
            <w:tcW w:type="dxa" w:w="2197"/>
          </w:tcPr>
          <w:p>
            <w:pPr>
              <w:spacing w:after="40"/>
            </w:pPr>
            <w:r>
              <w:rPr>
                <w:rFonts w:ascii="Courier New" w:hAnsi="Courier New"/>
                <w:sz w:val="18"/>
              </w:rPr>
              <w:t>psd_logratio</w:t>
            </w:r>
          </w:p>
        </w:tc>
        <w:tc>
          <w:tcPr>
            <w:tcW w:type="dxa" w:w="2197"/>
          </w:tcPr>
          <w:p>
            <w:pPr>
              <w:spacing w:after="40"/>
            </w:pPr>
            <w:r>
              <w:rPr>
                <w:rFonts w:ascii="Times New Roman" w:hAnsi="Times New Roman"/>
                <w:b w:val="0"/>
                <w:sz w:val="20"/>
              </w:rPr>
              <w:t>однос два канала</w:t>
            </w:r>
          </w:p>
        </w:tc>
        <w:tc>
          <w:tcPr>
            <w:tcW w:type="dxa" w:w="2197"/>
          </w:tcPr>
          <w:p>
            <w:pPr>
              <w:spacing w:after="40"/>
              <w:jc w:val="right"/>
            </w:pPr>
            <w:r>
              <w:rPr>
                <w:rFonts w:ascii="Times New Roman" w:hAnsi="Times New Roman"/>
                <w:b w:val="0"/>
                <w:sz w:val="20"/>
              </w:rPr>
              <w:t>0,719</w:t>
            </w:r>
          </w:p>
        </w:tc>
        <w:tc>
          <w:tcPr>
            <w:tcW w:type="dxa" w:w="2197"/>
          </w:tcPr>
          <w:p>
            <w:pPr>
              <w:spacing w:after="40"/>
              <w:jc w:val="right"/>
            </w:pPr>
            <w:r>
              <w:rPr>
                <w:rFonts w:ascii="Times New Roman" w:hAnsi="Times New Roman"/>
                <w:b w:val="0"/>
                <w:sz w:val="20"/>
              </w:rPr>
              <w:t>−0,137</w:t>
            </w:r>
          </w:p>
        </w:tc>
      </w:tr>
      <w:tr>
        <w:trPr>
          <w:cantSplit/>
        </w:trPr>
        <w:tc>
          <w:tcPr>
            <w:tcW w:type="dxa" w:w="2197"/>
          </w:tcPr>
          <w:p>
            <w:pPr>
              <w:spacing w:after="40"/>
            </w:pPr>
            <w:r>
              <w:rPr>
                <w:rFonts w:ascii="Courier New" w:hAnsi="Courier New"/>
                <w:sz w:val="18"/>
              </w:rPr>
              <w:t>psd_coherence</w:t>
            </w:r>
          </w:p>
        </w:tc>
        <w:tc>
          <w:tcPr>
            <w:tcW w:type="dxa" w:w="2197"/>
          </w:tcPr>
          <w:p>
            <w:pPr>
              <w:spacing w:after="40"/>
            </w:pPr>
            <w:r>
              <w:rPr>
                <w:rFonts w:ascii="Times New Roman" w:hAnsi="Times New Roman"/>
                <w:b w:val="0"/>
                <w:sz w:val="20"/>
              </w:rPr>
              <w:t>кохеренција два канала</w:t>
            </w:r>
          </w:p>
        </w:tc>
        <w:tc>
          <w:tcPr>
            <w:tcW w:type="dxa" w:w="2197"/>
          </w:tcPr>
          <w:p>
            <w:pPr>
              <w:spacing w:after="40"/>
              <w:jc w:val="right"/>
            </w:pPr>
            <w:r>
              <w:rPr>
                <w:rFonts w:ascii="Times New Roman" w:hAnsi="Times New Roman"/>
                <w:b w:val="0"/>
                <w:sz w:val="20"/>
              </w:rPr>
              <w:t>0,751</w:t>
            </w:r>
          </w:p>
        </w:tc>
        <w:tc>
          <w:tcPr>
            <w:tcW w:type="dxa" w:w="2197"/>
          </w:tcPr>
          <w:p>
            <w:pPr>
              <w:spacing w:after="40"/>
              <w:jc w:val="right"/>
            </w:pPr>
            <w:r>
              <w:rPr>
                <w:rFonts w:ascii="Times New Roman" w:hAnsi="Times New Roman"/>
                <w:b w:val="0"/>
                <w:sz w:val="20"/>
              </w:rPr>
              <w:t>−0,105</w:t>
            </w:r>
          </w:p>
        </w:tc>
      </w:tr>
      <w:tr>
        <w:trPr>
          <w:cantSplit/>
        </w:trPr>
        <w:tc>
          <w:tcPr>
            <w:tcW w:type="dxa" w:w="2197"/>
          </w:tcPr>
          <w:p>
            <w:pPr>
              <w:spacing w:after="40"/>
            </w:pPr>
            <w:r>
              <w:rPr>
                <w:rFonts w:ascii="Courier New" w:hAnsi="Courier New"/>
                <w:sz w:val="18"/>
              </w:rPr>
              <w:t>psd_masked</w:t>
            </w:r>
          </w:p>
        </w:tc>
        <w:tc>
          <w:tcPr>
            <w:tcW w:type="dxa" w:w="2197"/>
          </w:tcPr>
          <w:p>
            <w:pPr>
              <w:spacing w:after="40"/>
            </w:pPr>
            <w:r>
              <w:rPr>
                <w:rFonts w:ascii="Times New Roman" w:hAnsi="Times New Roman"/>
                <w:b w:val="0"/>
                <w:sz w:val="20"/>
              </w:rPr>
              <w:t>маска буке из другог канала</w:t>
            </w:r>
          </w:p>
        </w:tc>
        <w:tc>
          <w:tcPr>
            <w:tcW w:type="dxa" w:w="2197"/>
          </w:tcPr>
          <w:p>
            <w:pPr>
              <w:spacing w:after="40"/>
              <w:jc w:val="right"/>
            </w:pPr>
            <w:r>
              <w:rPr>
                <w:rFonts w:ascii="Times New Roman" w:hAnsi="Times New Roman"/>
                <w:b w:val="0"/>
                <w:sz w:val="20"/>
              </w:rPr>
              <w:t>0,450</w:t>
            </w:r>
          </w:p>
        </w:tc>
        <w:tc>
          <w:tcPr>
            <w:tcW w:type="dxa" w:w="2197"/>
          </w:tcPr>
          <w:p>
            <w:pPr>
              <w:spacing w:after="40"/>
              <w:jc w:val="right"/>
            </w:pPr>
            <w:r>
              <w:rPr>
                <w:rFonts w:ascii="Times New Roman" w:hAnsi="Times New Roman"/>
                <w:b w:val="0"/>
                <w:sz w:val="20"/>
              </w:rPr>
              <w:t>−0,406</w:t>
            </w:r>
          </w:p>
        </w:tc>
      </w:tr>
      <w:tr>
        <w:trPr>
          <w:cantSplit/>
        </w:trPr>
        <w:tc>
          <w:tcPr>
            <w:tcW w:type="dxa" w:w="2197"/>
          </w:tcPr>
          <w:p>
            <w:pPr>
              <w:spacing w:after="40"/>
            </w:pPr>
            <w:r>
              <w:rPr>
                <w:rFonts w:ascii="Courier New" w:hAnsi="Courier New"/>
                <w:sz w:val="18"/>
              </w:rPr>
              <w:t>transient</w:t>
            </w:r>
          </w:p>
        </w:tc>
        <w:tc>
          <w:tcPr>
            <w:tcW w:type="dxa" w:w="2197"/>
          </w:tcPr>
          <w:p>
            <w:pPr>
              <w:spacing w:after="40"/>
            </w:pPr>
            <w:r>
              <w:rPr>
                <w:rFonts w:ascii="Times New Roman" w:hAnsi="Times New Roman"/>
                <w:b w:val="0"/>
                <w:sz w:val="20"/>
              </w:rPr>
              <w:t>спектрални флукс, куртозис</w:t>
            </w:r>
          </w:p>
        </w:tc>
        <w:tc>
          <w:tcPr>
            <w:tcW w:type="dxa" w:w="2197"/>
          </w:tcPr>
          <w:p>
            <w:pPr>
              <w:spacing w:after="40"/>
              <w:jc w:val="right"/>
            </w:pPr>
            <w:r>
              <w:rPr>
                <w:rFonts w:ascii="Times New Roman" w:hAnsi="Times New Roman"/>
                <w:b w:val="0"/>
                <w:sz w:val="20"/>
              </w:rPr>
              <w:t>0,565</w:t>
            </w:r>
          </w:p>
        </w:tc>
        <w:tc>
          <w:tcPr>
            <w:tcW w:type="dxa" w:w="2197"/>
          </w:tcPr>
          <w:p>
            <w:pPr>
              <w:spacing w:after="40"/>
              <w:jc w:val="right"/>
            </w:pPr>
            <w:r>
              <w:rPr>
                <w:rFonts w:ascii="Times New Roman" w:hAnsi="Times New Roman"/>
                <w:b w:val="0"/>
                <w:sz w:val="20"/>
              </w:rPr>
              <w:t>−0,291</w:t>
            </w:r>
          </w:p>
        </w:tc>
      </w:tr>
      <w:tr>
        <w:trPr>
          <w:cantSplit/>
        </w:trPr>
        <w:tc>
          <w:tcPr>
            <w:tcW w:type="dxa" w:w="2197"/>
          </w:tcPr>
          <w:p>
            <w:pPr>
              <w:spacing w:after="40"/>
            </w:pPr>
            <w:r>
              <w:rPr>
                <w:rFonts w:ascii="Courier New" w:hAnsi="Courier New"/>
                <w:sz w:val="18"/>
              </w:rPr>
              <w:t>psd_plus_transient</w:t>
            </w:r>
          </w:p>
        </w:tc>
        <w:tc>
          <w:tcPr>
            <w:tcW w:type="dxa" w:w="2197"/>
          </w:tcPr>
          <w:p>
            <w:pPr>
              <w:spacing w:after="40"/>
            </w:pPr>
            <w:r>
              <w:rPr>
                <w:rFonts w:ascii="Times New Roman" w:hAnsi="Times New Roman"/>
                <w:b w:val="0"/>
                <w:sz w:val="20"/>
              </w:rPr>
              <w:t>спори и брзи пут</w:t>
            </w:r>
          </w:p>
        </w:tc>
        <w:tc>
          <w:tcPr>
            <w:tcW w:type="dxa" w:w="2197"/>
          </w:tcPr>
          <w:p>
            <w:pPr>
              <w:spacing w:after="40"/>
              <w:jc w:val="right"/>
            </w:pPr>
            <w:r>
              <w:rPr>
                <w:rFonts w:ascii="Times New Roman" w:hAnsi="Times New Roman"/>
                <w:b w:val="0"/>
                <w:sz w:val="20"/>
              </w:rPr>
              <w:t>0,857</w:t>
            </w:r>
          </w:p>
        </w:tc>
        <w:tc>
          <w:tcPr>
            <w:tcW w:type="dxa" w:w="2197"/>
          </w:tcPr>
          <w:p>
            <w:pPr>
              <w:spacing w:after="40"/>
              <w:jc w:val="right"/>
            </w:pPr>
            <w:r>
              <w:rPr>
                <w:rFonts w:ascii="Times New Roman" w:hAnsi="Times New Roman"/>
                <w:b w:val="0"/>
                <w:sz w:val="20"/>
              </w:rPr>
              <w:t>+0,001</w:t>
            </w:r>
          </w:p>
        </w:tc>
      </w:tr>
    </w:tbl>
    <w:p>
      <w:pPr>
        <w:spacing w:after="80"/>
      </w:pPr>
    </w:p>
    <w:p>
      <w:pPr>
        <w:pStyle w:val="BodyText"/>
        <w:ind w:firstLine="0"/>
      </w:pPr>
      <w:r>
        <w:rPr>
          <w:rFonts w:ascii="Times New Roman" w:hAnsi="Times New Roman"/>
          <w:b w:val="0"/>
          <w:sz w:val="22"/>
        </w:rPr>
        <w:t>Комбинација са транзијентним обиљежјима даје мали позитиван помак од око 0,0012 AUC. Поређење тог помака са стандардном девијацијом појединачних резултата није тест статистичке значајности. За такав закључак потребан је интервал упарених разлика и независна провјера; постојећи резултат није довољан разлог за сложенији модел.</w:t>
      </w:r>
    </w:p>
    <w:p>
      <w:pPr>
        <w:pStyle w:val="BodyText"/>
      </w:pPr>
      <w:r>
        <w:rPr>
          <w:rFonts w:ascii="Times New Roman" w:hAnsi="Times New Roman"/>
          <w:b w:val="0"/>
          <w:sz w:val="22"/>
        </w:rPr>
        <w:t>Процијењена основна фреквенција остаје око 34 Hz за три ознаке брзине, а доминантни врхови се поклапају унутар једне спектралне тачке. То ограничава корисност испробаног пресликавања у ред обртања. Без тахометра или потврде аутора скупа није доказано да је стварна брзина вратила иста; ознака и акустички врх не морају представљати исту физичку величину.</w:t>
      </w:r>
    </w:p>
    <w:p>
      <w:pPr>
        <w:pStyle w:val="BodyText"/>
      </w:pPr>
      <w:r>
        <w:rPr>
          <w:rFonts w:ascii="Times New Roman" w:hAnsi="Times New Roman"/>
          <w:b w:val="0"/>
          <w:sz w:val="22"/>
        </w:rPr>
        <w:t>Двоканални приступи су сви слабији од ближег канала самог. Варијанта са маском пала је испод случајног погађања, и разлог је поучан: маска потискује траке у којима је даљи канал упоредив са ближим, а вентилатор је гласан у оба канала. Маска је зато потискивала баш сигнал. Транзијентни пут мјери ударност, а аномалије овог вентилатора су тоналне и широкопојасне, па мјери нешто што у овим подацима не постоји.</w:t>
      </w:r>
    </w:p>
    <w:p>
      <w:pPr>
        <w:pStyle w:val="BodyText"/>
      </w:pPr>
      <w:r>
        <w:rPr>
          <w:rFonts w:ascii="Times New Roman" w:hAnsi="Times New Roman"/>
          <w:b w:val="0"/>
          <w:sz w:val="22"/>
        </w:rPr>
        <w:t>У овој рунди није утврђена предност која би оправдала сложенији уграђени модел. Даљи развој зато је усмјерен на калибрацију и алармну политику. Негативни налази остају ограничени на испитане конфигурације и не искључују друге двоканалне или транзијентне приступе.</w:t>
      </w:r>
    </w:p>
    <w:p>
      <w:pPr>
        <w:pStyle w:val="Heading2"/>
      </w:pPr>
      <w:r>
        <w:rPr>
          <w:rFonts w:ascii="Arial" w:hAnsi="Arial"/>
          <w:b/>
          <w:sz w:val="28"/>
        </w:rPr>
        <w:t>4.8. Фаза 6: временско правило одлучивања</w:t>
      </w:r>
    </w:p>
    <w:p>
      <w:pPr>
        <w:pStyle w:val="BodyText"/>
      </w:pPr>
      <w:r>
        <w:rPr>
          <w:rFonts w:ascii="Times New Roman" w:hAnsi="Times New Roman"/>
          <w:b w:val="0"/>
          <w:sz w:val="22"/>
        </w:rPr>
        <w:t>Ова фаза не мијења обиљежје него начин на који се од низа оцјена прави аларм. Дотадашње правило, три узастопна прозора изнад прага, уведено је као разумна претпоставка и никада није било измјерено. Очекивање је било да ће експоненцијално усредњавање и кумулативна сума бити надоградња. Измјерена правила пореди Табела 4.8.</w:t>
      </w:r>
    </w:p>
    <w:p>
      <w:pPr>
        <w:pStyle w:val="Potpistabele"/>
        <w:keepNext/>
        <w:spacing w:before="200" w:after="60"/>
        <w:jc w:val="center"/>
      </w:pPr>
      <w:r>
        <w:rPr>
          <w:rFonts w:ascii="Times New Roman" w:hAnsi="Times New Roman"/>
          <w:b w:val="0"/>
          <w:sz w:val="22"/>
        </w:rPr>
        <w:t>Табела 4.8. Временска правила одлучивања (40 подјела, 2000 нормалних прозора)</w:t>
      </w:r>
    </w:p>
    <w:tbl>
      <w:tblPr>
        <w:tblStyle w:val="TableGrid"/>
        <w:tblW w:type="auto" w:w="0"/>
        <w:jc w:val="center"/>
        <w:tblLook w:firstColumn="1" w:firstRow="1" w:lastColumn="0" w:lastRow="0" w:noHBand="0" w:noVBand="1" w:val="04A0"/>
      </w:tblPr>
      <w:tblGrid>
        <w:gridCol w:w="2197"/>
        <w:gridCol w:w="2197"/>
        <w:gridCol w:w="2197"/>
        <w:gridCol w:w="2197"/>
      </w:tblGrid>
      <w:tr>
        <w:trPr>
          <w:tblHeader/>
        </w:trPr>
        <w:tc>
          <w:tcPr>
            <w:tcW w:type="dxa" w:w="2197"/>
          </w:tcPr>
          <w:p>
            <w:pPr>
              <w:keepNext/>
              <w:spacing w:after="40"/>
              <w:jc w:val="center"/>
            </w:pPr>
            <w:r>
              <w:rPr>
                <w:rFonts w:ascii="Times New Roman" w:hAnsi="Times New Roman"/>
                <w:b/>
                <w:sz w:val="20"/>
              </w:rPr>
              <w:t>Правило</w:t>
            </w:r>
          </w:p>
        </w:tc>
        <w:tc>
          <w:tcPr>
            <w:tcW w:type="dxa" w:w="2197"/>
          </w:tcPr>
          <w:p>
            <w:pPr>
              <w:keepNext/>
              <w:spacing w:after="40"/>
              <w:jc w:val="center"/>
            </w:pPr>
            <w:r>
              <w:rPr>
                <w:rFonts w:ascii="Times New Roman" w:hAnsi="Times New Roman"/>
                <w:b/>
                <w:sz w:val="20"/>
              </w:rPr>
              <w:t>Лажних/h</w:t>
            </w:r>
          </w:p>
        </w:tc>
        <w:tc>
          <w:tcPr>
            <w:tcW w:type="dxa" w:w="2197"/>
          </w:tcPr>
          <w:p>
            <w:pPr>
              <w:keepNext/>
              <w:spacing w:after="40"/>
              <w:jc w:val="center"/>
            </w:pPr>
            <w:r>
              <w:rPr>
                <w:rFonts w:ascii="Times New Roman" w:hAnsi="Times New Roman"/>
                <w:b/>
                <w:sz w:val="20"/>
              </w:rPr>
              <w:t>Туђа машина/h</w:t>
            </w:r>
          </w:p>
        </w:tc>
        <w:tc>
          <w:tcPr>
            <w:tcW w:type="dxa" w:w="2197"/>
          </w:tcPr>
          <w:p>
            <w:pPr>
              <w:keepNext/>
              <w:spacing w:after="40"/>
              <w:jc w:val="center"/>
            </w:pPr>
            <w:r>
              <w:rPr>
                <w:rFonts w:ascii="Times New Roman" w:hAnsi="Times New Roman"/>
                <w:b/>
                <w:sz w:val="20"/>
              </w:rPr>
              <w:t>Одзив на побуду од 1 прозора</w:t>
            </w:r>
          </w:p>
        </w:tc>
      </w:tr>
      <w:tr>
        <w:trPr>
          <w:cantSplit/>
        </w:trPr>
        <w:tc>
          <w:tcPr>
            <w:tcW w:type="dxa" w:w="2197"/>
          </w:tcPr>
          <w:p>
            <w:pPr>
              <w:spacing w:after="40"/>
            </w:pPr>
            <w:r>
              <w:rPr>
                <w:rFonts w:ascii="Times New Roman" w:hAnsi="Times New Roman"/>
                <w:b w:val="0"/>
                <w:sz w:val="20"/>
              </w:rPr>
              <w:t>3 узастопна прозора</w:t>
            </w:r>
          </w:p>
        </w:tc>
        <w:tc>
          <w:tcPr>
            <w:tcW w:type="dxa" w:w="2197"/>
          </w:tcPr>
          <w:p>
            <w:pPr>
              <w:spacing w:after="40"/>
              <w:jc w:val="right"/>
            </w:pPr>
            <w:r>
              <w:rPr>
                <w:rFonts w:ascii="Times New Roman" w:hAnsi="Times New Roman"/>
                <w:b w:val="0"/>
                <w:sz w:val="20"/>
              </w:rPr>
              <w:t>0,00</w:t>
            </w:r>
          </w:p>
        </w:tc>
        <w:tc>
          <w:tcPr>
            <w:tcW w:type="dxa" w:w="2197"/>
          </w:tcPr>
          <w:p>
            <w:pPr>
              <w:spacing w:after="40"/>
              <w:jc w:val="right"/>
            </w:pPr>
            <w:r>
              <w:rPr>
                <w:rFonts w:ascii="Times New Roman" w:hAnsi="Times New Roman"/>
                <w:b w:val="0"/>
                <w:sz w:val="20"/>
              </w:rPr>
              <w:t>11,16</w:t>
            </w:r>
          </w:p>
        </w:tc>
        <w:tc>
          <w:tcPr>
            <w:tcW w:type="dxa" w:w="2197"/>
          </w:tcPr>
          <w:p>
            <w:pPr>
              <w:spacing w:after="40"/>
              <w:jc w:val="right"/>
            </w:pPr>
            <w:r>
              <w:rPr>
                <w:rFonts w:ascii="Times New Roman" w:hAnsi="Times New Roman"/>
                <w:b w:val="0"/>
                <w:sz w:val="20"/>
              </w:rPr>
              <w:t>0,004</w:t>
            </w:r>
          </w:p>
        </w:tc>
      </w:tr>
      <w:tr>
        <w:trPr>
          <w:cantSplit/>
        </w:trPr>
        <w:tc>
          <w:tcPr>
            <w:tcW w:type="dxa" w:w="2197"/>
          </w:tcPr>
          <w:p>
            <w:pPr>
              <w:spacing w:after="40"/>
            </w:pPr>
            <w:r>
              <w:rPr>
                <w:rFonts w:ascii="Times New Roman" w:hAnsi="Times New Roman"/>
                <w:b w:val="0"/>
                <w:sz w:val="20"/>
              </w:rPr>
              <w:t>4 узастопна прозора</w:t>
            </w:r>
          </w:p>
        </w:tc>
        <w:tc>
          <w:tcPr>
            <w:tcW w:type="dxa" w:w="2197"/>
          </w:tcPr>
          <w:p>
            <w:pPr>
              <w:spacing w:after="40"/>
              <w:jc w:val="right"/>
            </w:pPr>
            <w:r>
              <w:rPr>
                <w:rFonts w:ascii="Times New Roman" w:hAnsi="Times New Roman"/>
                <w:b w:val="0"/>
                <w:sz w:val="20"/>
              </w:rPr>
              <w:t>0,00</w:t>
            </w:r>
          </w:p>
        </w:tc>
        <w:tc>
          <w:tcPr>
            <w:tcW w:type="dxa" w:w="2197"/>
          </w:tcPr>
          <w:p>
            <w:pPr>
              <w:spacing w:after="40"/>
              <w:jc w:val="right"/>
            </w:pPr>
            <w:r>
              <w:rPr>
                <w:rFonts w:ascii="Times New Roman" w:hAnsi="Times New Roman"/>
                <w:b w:val="0"/>
                <w:sz w:val="20"/>
              </w:rPr>
              <w:t>10,98</w:t>
            </w:r>
          </w:p>
        </w:tc>
        <w:tc>
          <w:tcPr>
            <w:tcW w:type="dxa" w:w="2197"/>
          </w:tcPr>
          <w:p>
            <w:pPr>
              <w:spacing w:after="40"/>
              <w:jc w:val="right"/>
            </w:pPr>
            <w:r>
              <w:rPr>
                <w:rFonts w:ascii="Times New Roman" w:hAnsi="Times New Roman"/>
                <w:b w:val="0"/>
                <w:sz w:val="20"/>
              </w:rPr>
              <w:t>0,000</w:t>
            </w:r>
          </w:p>
        </w:tc>
      </w:tr>
      <w:tr>
        <w:trPr>
          <w:cantSplit/>
        </w:trPr>
        <w:tc>
          <w:tcPr>
            <w:tcW w:type="dxa" w:w="2197"/>
          </w:tcPr>
          <w:p>
            <w:pPr>
              <w:spacing w:after="40"/>
            </w:pPr>
            <w:r>
              <w:rPr>
                <w:rFonts w:ascii="Times New Roman" w:hAnsi="Times New Roman"/>
                <w:b/>
                <w:sz w:val="20"/>
              </w:rPr>
              <w:t>Хистереза + 3 узастопна</w:t>
            </w:r>
          </w:p>
        </w:tc>
        <w:tc>
          <w:tcPr>
            <w:tcW w:type="dxa" w:w="2197"/>
          </w:tcPr>
          <w:p>
            <w:pPr>
              <w:spacing w:after="40"/>
              <w:jc w:val="right"/>
            </w:pPr>
            <w:r>
              <w:rPr>
                <w:rFonts w:ascii="Times New Roman" w:hAnsi="Times New Roman"/>
                <w:b/>
                <w:sz w:val="20"/>
              </w:rPr>
              <w:t>0,00</w:t>
            </w:r>
          </w:p>
        </w:tc>
        <w:tc>
          <w:tcPr>
            <w:tcW w:type="dxa" w:w="2197"/>
          </w:tcPr>
          <w:p>
            <w:pPr>
              <w:spacing w:after="40"/>
              <w:jc w:val="right"/>
            </w:pPr>
            <w:r>
              <w:rPr>
                <w:rFonts w:ascii="Times New Roman" w:hAnsi="Times New Roman"/>
                <w:b/>
                <w:sz w:val="20"/>
              </w:rPr>
              <w:t>5,40</w:t>
            </w:r>
          </w:p>
        </w:tc>
        <w:tc>
          <w:tcPr>
            <w:tcW w:type="dxa" w:w="2197"/>
          </w:tcPr>
          <w:p>
            <w:pPr>
              <w:spacing w:after="40"/>
              <w:jc w:val="right"/>
            </w:pPr>
            <w:r>
              <w:rPr>
                <w:rFonts w:ascii="Times New Roman" w:hAnsi="Times New Roman"/>
                <w:b/>
                <w:sz w:val="20"/>
              </w:rPr>
              <w:t>0,000</w:t>
            </w:r>
          </w:p>
        </w:tc>
      </w:tr>
      <w:tr>
        <w:trPr>
          <w:cantSplit/>
        </w:trPr>
        <w:tc>
          <w:tcPr>
            <w:tcW w:type="dxa" w:w="2197"/>
          </w:tcPr>
          <w:p>
            <w:pPr>
              <w:spacing w:after="40"/>
            </w:pPr>
            <w:r>
              <w:rPr>
                <w:rFonts w:ascii="Times New Roman" w:hAnsi="Times New Roman"/>
                <w:b w:val="0"/>
                <w:sz w:val="20"/>
              </w:rPr>
              <w:t>Експоненцијално усредњавање + 3</w:t>
            </w:r>
          </w:p>
        </w:tc>
        <w:tc>
          <w:tcPr>
            <w:tcW w:type="dxa" w:w="2197"/>
          </w:tcPr>
          <w:p>
            <w:pPr>
              <w:spacing w:after="40"/>
              <w:jc w:val="right"/>
            </w:pPr>
            <w:r>
              <w:rPr>
                <w:rFonts w:ascii="Times New Roman" w:hAnsi="Times New Roman"/>
                <w:b w:val="0"/>
                <w:sz w:val="20"/>
              </w:rPr>
              <w:t>5,40</w:t>
            </w:r>
          </w:p>
        </w:tc>
        <w:tc>
          <w:tcPr>
            <w:tcW w:type="dxa" w:w="2197"/>
          </w:tcPr>
          <w:p>
            <w:pPr>
              <w:spacing w:after="40"/>
              <w:jc w:val="right"/>
            </w:pPr>
            <w:r>
              <w:rPr>
                <w:rFonts w:ascii="Times New Roman" w:hAnsi="Times New Roman"/>
                <w:b w:val="0"/>
                <w:sz w:val="20"/>
              </w:rPr>
              <w:t>6,48</w:t>
            </w:r>
          </w:p>
        </w:tc>
        <w:tc>
          <w:tcPr>
            <w:tcW w:type="dxa" w:w="2197"/>
          </w:tcPr>
          <w:p>
            <w:pPr>
              <w:spacing w:after="40"/>
              <w:jc w:val="right"/>
            </w:pPr>
            <w:r>
              <w:rPr>
                <w:rFonts w:ascii="Times New Roman" w:hAnsi="Times New Roman"/>
                <w:b w:val="0"/>
                <w:sz w:val="20"/>
              </w:rPr>
              <w:t>0,592</w:t>
            </w:r>
          </w:p>
        </w:tc>
      </w:tr>
      <w:tr>
        <w:trPr>
          <w:cantSplit/>
        </w:trPr>
        <w:tc>
          <w:tcPr>
            <w:tcW w:type="dxa" w:w="2197"/>
          </w:tcPr>
          <w:p>
            <w:pPr>
              <w:spacing w:after="40"/>
            </w:pPr>
            <w:r>
              <w:rPr>
                <w:rFonts w:ascii="Times New Roman" w:hAnsi="Times New Roman"/>
                <w:b w:val="0"/>
                <w:sz w:val="20"/>
              </w:rPr>
              <w:t>Кумулативна сума</w:t>
            </w:r>
          </w:p>
        </w:tc>
        <w:tc>
          <w:tcPr>
            <w:tcW w:type="dxa" w:w="2197"/>
          </w:tcPr>
          <w:p>
            <w:pPr>
              <w:spacing w:after="40"/>
              <w:jc w:val="right"/>
            </w:pPr>
            <w:r>
              <w:rPr>
                <w:rFonts w:ascii="Times New Roman" w:hAnsi="Times New Roman"/>
                <w:b w:val="0"/>
                <w:sz w:val="20"/>
              </w:rPr>
              <w:t>5,40</w:t>
            </w:r>
          </w:p>
        </w:tc>
        <w:tc>
          <w:tcPr>
            <w:tcW w:type="dxa" w:w="2197"/>
          </w:tcPr>
          <w:p>
            <w:pPr>
              <w:spacing w:after="40"/>
              <w:jc w:val="right"/>
            </w:pPr>
            <w:r>
              <w:rPr>
                <w:rFonts w:ascii="Times New Roman" w:hAnsi="Times New Roman"/>
                <w:b w:val="0"/>
                <w:sz w:val="20"/>
              </w:rPr>
              <w:t>11,16</w:t>
            </w:r>
          </w:p>
        </w:tc>
        <w:tc>
          <w:tcPr>
            <w:tcW w:type="dxa" w:w="2197"/>
          </w:tcPr>
          <w:p>
            <w:pPr>
              <w:spacing w:after="40"/>
              <w:jc w:val="right"/>
            </w:pPr>
            <w:r>
              <w:rPr>
                <w:rFonts w:ascii="Times New Roman" w:hAnsi="Times New Roman"/>
                <w:b w:val="0"/>
                <w:sz w:val="20"/>
              </w:rPr>
              <w:t>0,721</w:t>
            </w:r>
          </w:p>
        </w:tc>
      </w:tr>
    </w:tbl>
    <w:p>
      <w:pPr>
        <w:spacing w:after="80"/>
      </w:pPr>
    </w:p>
    <w:p>
      <w:pPr>
        <w:pStyle w:val="BodyText"/>
        <w:ind w:firstLine="0"/>
      </w:pPr>
      <w:r>
        <w:rPr>
          <w:rFonts w:ascii="Times New Roman" w:hAnsi="Times New Roman"/>
          <w:b w:val="0"/>
          <w:sz w:val="22"/>
        </w:rPr>
        <w:t xml:space="preserve">Измјерено је супротно од очекиваног. Обје стандардне технике по конструкцији преносе информацију кроз вријеме: код експоненцијалног усредњавања побуда од једног прозора остаје у статистици неколико прозора и сама допуни низ од три, а код кумулативне суме се акумулира. Обје су направљене да ухвате </w:t>
      </w:r>
      <w:r>
        <w:rPr>
          <w:rFonts w:ascii="Times New Roman" w:hAnsi="Times New Roman"/>
          <w:b/>
          <w:sz w:val="22"/>
        </w:rPr>
        <w:t>мали трајни</w:t>
      </w:r>
      <w:r>
        <w:rPr>
          <w:rFonts w:ascii="Times New Roman" w:hAnsi="Times New Roman"/>
          <w:b w:val="0"/>
          <w:sz w:val="22"/>
        </w:rPr>
        <w:t xml:space="preserve"> помјерај у шуму, а овдје је задатак обрнут: треба одбацити </w:t>
      </w:r>
      <w:r>
        <w:rPr>
          <w:rFonts w:ascii="Times New Roman" w:hAnsi="Times New Roman"/>
          <w:b/>
          <w:sz w:val="22"/>
        </w:rPr>
        <w:t>велику кратку</w:t>
      </w:r>
      <w:r>
        <w:rPr>
          <w:rFonts w:ascii="Times New Roman" w:hAnsi="Times New Roman"/>
          <w:b w:val="0"/>
          <w:sz w:val="22"/>
        </w:rPr>
        <w:t xml:space="preserve"> побуду.</w:t>
      </w:r>
    </w:p>
    <w:p>
      <w:pPr>
        <w:pStyle w:val="BodyText"/>
      </w:pPr>
      <w:r>
        <w:rPr>
          <w:rFonts w:ascii="Times New Roman" w:hAnsi="Times New Roman"/>
          <w:b w:val="0"/>
          <w:sz w:val="22"/>
        </w:rPr>
        <w:t>У овој ранијој симулацији хистереза смањује број епизода на другој машини са 11,16 на 5,40 на сат. Поређење не мјери детекцију физичких кварова. Завршни firmware користи засебно изведене апсолутне прагове уласка и изласка; ранији фактор изласка 0,7 није његова коначна поставка.</w:t>
      </w:r>
    </w:p>
    <w:p>
      <w:pPr>
        <w:pStyle w:val="Heading2"/>
      </w:pPr>
      <w:r>
        <w:rPr>
          <w:rFonts w:ascii="Arial" w:hAnsi="Arial"/>
          <w:b/>
          <w:sz w:val="28"/>
        </w:rPr>
        <w:t>4.9. Сажетак напретка</w:t>
      </w:r>
    </w:p>
    <w:p>
      <w:pPr>
        <w:pStyle w:val="BodyText"/>
        <w:ind w:firstLine="0"/>
      </w:pPr>
      <w:r>
        <w:rPr>
          <w:rFonts w:ascii="Times New Roman" w:hAnsi="Times New Roman"/>
          <w:b w:val="0"/>
          <w:sz w:val="22"/>
        </w:rPr>
        <w:t>Табела 4.9 сажима напредак кроз фазе развоја, а Слика 4.2 исти напредак приказује графички.</w:t>
      </w:r>
    </w:p>
    <w:p>
      <w:pPr>
        <w:pStyle w:val="Potpistabele"/>
        <w:keepNext/>
        <w:spacing w:before="200" w:after="60"/>
        <w:jc w:val="center"/>
      </w:pPr>
      <w:r>
        <w:rPr>
          <w:rFonts w:ascii="Times New Roman" w:hAnsi="Times New Roman"/>
          <w:b w:val="0"/>
          <w:sz w:val="22"/>
        </w:rPr>
        <w:t>Табела 4.9. Напредак кроз фазе развоја</w:t>
      </w:r>
    </w:p>
    <w:tbl>
      <w:tblPr>
        <w:tblStyle w:val="TableGrid"/>
        <w:tblW w:type="auto" w:w="0"/>
        <w:jc w:val="center"/>
        <w:tblLook w:firstColumn="1" w:firstRow="1" w:lastColumn="0" w:lastRow="0" w:noHBand="0" w:noVBand="1" w:val="04A0"/>
      </w:tblPr>
      <w:tblGrid>
        <w:gridCol w:w="2929"/>
        <w:gridCol w:w="2929"/>
        <w:gridCol w:w="2929"/>
      </w:tblGrid>
      <w:tr>
        <w:trPr>
          <w:tblHeader/>
        </w:trPr>
        <w:tc>
          <w:tcPr>
            <w:tcW w:type="dxa" w:w="2929"/>
          </w:tcPr>
          <w:p>
            <w:pPr>
              <w:keepNext/>
              <w:spacing w:after="40"/>
              <w:jc w:val="center"/>
            </w:pPr>
            <w:r>
              <w:rPr>
                <w:rFonts w:ascii="Times New Roman" w:hAnsi="Times New Roman"/>
                <w:b/>
                <w:sz w:val="20"/>
              </w:rPr>
              <w:t>Фаза</w:t>
            </w:r>
          </w:p>
        </w:tc>
        <w:tc>
          <w:tcPr>
            <w:tcW w:type="dxa" w:w="2929"/>
          </w:tcPr>
          <w:p>
            <w:pPr>
              <w:keepNext/>
              <w:spacing w:after="40"/>
              <w:jc w:val="center"/>
            </w:pPr>
            <w:r>
              <w:rPr>
                <w:rFonts w:ascii="Times New Roman" w:hAnsi="Times New Roman"/>
                <w:b/>
                <w:sz w:val="20"/>
              </w:rPr>
              <w:t>Најбољи AUC</w:t>
            </w:r>
          </w:p>
        </w:tc>
        <w:tc>
          <w:tcPr>
            <w:tcW w:type="dxa" w:w="2929"/>
          </w:tcPr>
          <w:p>
            <w:pPr>
              <w:keepNext/>
              <w:spacing w:after="40"/>
              <w:jc w:val="center"/>
            </w:pPr>
            <w:r>
              <w:rPr>
                <w:rFonts w:ascii="Times New Roman" w:hAnsi="Times New Roman"/>
                <w:b/>
                <w:sz w:val="20"/>
              </w:rPr>
              <w:t>Права препрека</w:t>
            </w:r>
          </w:p>
        </w:tc>
      </w:tr>
      <w:tr>
        <w:trPr>
          <w:cantSplit/>
        </w:trPr>
        <w:tc>
          <w:tcPr>
            <w:tcW w:type="dxa" w:w="2929"/>
          </w:tcPr>
          <w:p>
            <w:pPr>
              <w:spacing w:after="40"/>
            </w:pPr>
            <w:r>
              <w:rPr>
                <w:rFonts w:ascii="Times New Roman" w:hAnsi="Times New Roman"/>
                <w:b w:val="0"/>
                <w:sz w:val="20"/>
              </w:rPr>
              <w:t>1. Неуронске мреже</w:t>
            </w:r>
          </w:p>
        </w:tc>
        <w:tc>
          <w:tcPr>
            <w:tcW w:type="dxa" w:w="2929"/>
          </w:tcPr>
          <w:p>
            <w:pPr>
              <w:spacing w:after="40"/>
              <w:jc w:val="right"/>
            </w:pPr>
            <w:r>
              <w:rPr>
                <w:rFonts w:ascii="Times New Roman" w:hAnsi="Times New Roman"/>
                <w:b w:val="0"/>
                <w:sz w:val="20"/>
              </w:rPr>
              <w:t>0,530</w:t>
            </w:r>
          </w:p>
        </w:tc>
        <w:tc>
          <w:tcPr>
            <w:tcW w:type="dxa" w:w="2929"/>
          </w:tcPr>
          <w:p>
            <w:pPr>
              <w:spacing w:after="40"/>
            </w:pPr>
            <w:r>
              <w:rPr>
                <w:rFonts w:ascii="Times New Roman" w:hAnsi="Times New Roman"/>
                <w:b w:val="0"/>
                <w:sz w:val="20"/>
              </w:rPr>
              <w:t>задатак учења не одговара задатку детекције</w:t>
            </w:r>
          </w:p>
        </w:tc>
      </w:tr>
      <w:tr>
        <w:trPr>
          <w:cantSplit/>
        </w:trPr>
        <w:tc>
          <w:tcPr>
            <w:tcW w:type="dxa" w:w="2929"/>
          </w:tcPr>
          <w:p>
            <w:pPr>
              <w:spacing w:after="40"/>
            </w:pPr>
            <w:r>
              <w:rPr>
                <w:rFonts w:ascii="Times New Roman" w:hAnsi="Times New Roman"/>
                <w:b w:val="0"/>
                <w:sz w:val="20"/>
              </w:rPr>
              <w:t>2. Статистика над мел сажетком</w:t>
            </w:r>
          </w:p>
        </w:tc>
        <w:tc>
          <w:tcPr>
            <w:tcW w:type="dxa" w:w="2929"/>
          </w:tcPr>
          <w:p>
            <w:pPr>
              <w:spacing w:after="40"/>
              <w:jc w:val="right"/>
            </w:pPr>
            <w:r>
              <w:rPr>
                <w:rFonts w:ascii="Times New Roman" w:hAnsi="Times New Roman"/>
                <w:b w:val="0"/>
                <w:sz w:val="20"/>
              </w:rPr>
              <w:t>0,674</w:t>
            </w:r>
          </w:p>
        </w:tc>
        <w:tc>
          <w:tcPr>
            <w:tcW w:type="dxa" w:w="2929"/>
          </w:tcPr>
          <w:p>
            <w:pPr>
              <w:spacing w:after="40"/>
            </w:pPr>
            <w:r>
              <w:rPr>
                <w:rFonts w:ascii="Times New Roman" w:hAnsi="Times New Roman"/>
                <w:b w:val="0"/>
                <w:sz w:val="20"/>
              </w:rPr>
              <w:t>/</w:t>
            </w:r>
          </w:p>
        </w:tc>
      </w:tr>
      <w:tr>
        <w:trPr>
          <w:cantSplit/>
        </w:trPr>
        <w:tc>
          <w:tcPr>
            <w:tcW w:type="dxa" w:w="2929"/>
          </w:tcPr>
          <w:p>
            <w:pPr>
              <w:spacing w:after="40"/>
            </w:pPr>
            <w:r>
              <w:rPr>
                <w:rFonts w:ascii="Times New Roman" w:hAnsi="Times New Roman"/>
                <w:b w:val="0"/>
                <w:sz w:val="20"/>
              </w:rPr>
              <w:t>3. Оцјењивач</w:t>
            </w:r>
          </w:p>
        </w:tc>
        <w:tc>
          <w:tcPr>
            <w:tcW w:type="dxa" w:w="2929"/>
          </w:tcPr>
          <w:p>
            <w:pPr>
              <w:spacing w:after="40"/>
              <w:jc w:val="right"/>
            </w:pPr>
            <w:r>
              <w:rPr>
                <w:rFonts w:ascii="Times New Roman" w:hAnsi="Times New Roman"/>
                <w:b w:val="0"/>
                <w:sz w:val="20"/>
              </w:rPr>
              <w:t>0,716</w:t>
            </w:r>
          </w:p>
        </w:tc>
        <w:tc>
          <w:tcPr>
            <w:tcW w:type="dxa" w:w="2929"/>
          </w:tcPr>
          <w:p>
            <w:pPr>
              <w:spacing w:after="40"/>
            </w:pPr>
            <w:r>
              <w:rPr>
                <w:rFonts w:ascii="Times New Roman" w:hAnsi="Times New Roman"/>
                <w:b w:val="0"/>
                <w:sz w:val="20"/>
              </w:rPr>
              <w:t>условљеност коваријансе, па плато</w:t>
            </w:r>
          </w:p>
        </w:tc>
      </w:tr>
      <w:tr>
        <w:trPr>
          <w:cantSplit/>
        </w:trPr>
        <w:tc>
          <w:tcPr>
            <w:tcW w:type="dxa" w:w="2929"/>
          </w:tcPr>
          <w:p>
            <w:pPr>
              <w:spacing w:after="40"/>
            </w:pPr>
            <w:r>
              <w:rPr>
                <w:rFonts w:ascii="Times New Roman" w:hAnsi="Times New Roman"/>
                <w:b w:val="0"/>
                <w:sz w:val="20"/>
              </w:rPr>
              <w:t xml:space="preserve">4. </w:t>
            </w:r>
            <w:r>
              <w:rPr>
                <w:rFonts w:ascii="Times New Roman" w:hAnsi="Times New Roman"/>
                <w:b/>
                <w:sz w:val="20"/>
              </w:rPr>
              <w:t>Обиљежје</w:t>
            </w:r>
          </w:p>
        </w:tc>
        <w:tc>
          <w:tcPr>
            <w:tcW w:type="dxa" w:w="2929"/>
          </w:tcPr>
          <w:p>
            <w:pPr>
              <w:spacing w:after="40"/>
              <w:jc w:val="right"/>
            </w:pPr>
            <w:r>
              <w:rPr>
                <w:rFonts w:ascii="Times New Roman" w:hAnsi="Times New Roman"/>
                <w:b/>
                <w:sz w:val="20"/>
              </w:rPr>
              <w:t>0,864</w:t>
            </w:r>
          </w:p>
        </w:tc>
        <w:tc>
          <w:tcPr>
            <w:tcW w:type="dxa" w:w="2929"/>
          </w:tcPr>
          <w:p>
            <w:pPr>
              <w:spacing w:after="40"/>
            </w:pPr>
            <w:r>
              <w:rPr>
                <w:rFonts w:ascii="Times New Roman" w:hAnsi="Times New Roman"/>
                <w:b/>
                <w:sz w:val="20"/>
              </w:rPr>
              <w:t>резолуција по фреквенцији</w:t>
            </w:r>
          </w:p>
        </w:tc>
      </w:tr>
      <w:tr>
        <w:trPr>
          <w:cantSplit/>
        </w:trPr>
        <w:tc>
          <w:tcPr>
            <w:tcW w:type="dxa" w:w="2929"/>
          </w:tcPr>
          <w:p>
            <w:pPr>
              <w:spacing w:after="40"/>
            </w:pPr>
            <w:r>
              <w:rPr>
                <w:rFonts w:ascii="Times New Roman" w:hAnsi="Times New Roman"/>
                <w:b w:val="0"/>
                <w:sz w:val="20"/>
              </w:rPr>
              <w:t>5. Седам алтернатива</w:t>
            </w:r>
          </w:p>
        </w:tc>
        <w:tc>
          <w:tcPr>
            <w:tcW w:type="dxa" w:w="2929"/>
          </w:tcPr>
          <w:p>
            <w:pPr>
              <w:spacing w:after="40"/>
              <w:jc w:val="right"/>
            </w:pPr>
            <w:r>
              <w:rPr>
                <w:rFonts w:ascii="Times New Roman" w:hAnsi="Times New Roman"/>
                <w:b w:val="0"/>
                <w:sz w:val="20"/>
              </w:rPr>
              <w:t>0,857</w:t>
            </w:r>
          </w:p>
        </w:tc>
        <w:tc>
          <w:tcPr>
            <w:tcW w:type="dxa" w:w="2929"/>
          </w:tcPr>
          <w:p>
            <w:pPr>
              <w:spacing w:after="40"/>
            </w:pPr>
            <w:r>
              <w:rPr>
                <w:rFonts w:ascii="Times New Roman" w:hAnsi="Times New Roman"/>
                <w:b w:val="0"/>
                <w:sz w:val="20"/>
              </w:rPr>
              <w:t>ниједна не побјеђује, препрека није обиљежје</w:t>
            </w:r>
          </w:p>
        </w:tc>
      </w:tr>
      <w:tr>
        <w:trPr>
          <w:cantSplit/>
        </w:trPr>
        <w:tc>
          <w:tcPr>
            <w:tcW w:type="dxa" w:w="2929"/>
          </w:tcPr>
          <w:p>
            <w:pPr>
              <w:spacing w:after="40"/>
            </w:pPr>
            <w:r>
              <w:rPr>
                <w:rFonts w:ascii="Times New Roman" w:hAnsi="Times New Roman"/>
                <w:b w:val="0"/>
                <w:sz w:val="20"/>
              </w:rPr>
              <w:t>6. Временско правило</w:t>
            </w:r>
          </w:p>
        </w:tc>
        <w:tc>
          <w:tcPr>
            <w:tcW w:type="dxa" w:w="2929"/>
          </w:tcPr>
          <w:p>
            <w:pPr>
              <w:spacing w:after="40"/>
              <w:jc w:val="right"/>
            </w:pPr>
            <w:r>
              <w:rPr>
                <w:rFonts w:ascii="Times New Roman" w:hAnsi="Times New Roman"/>
                <w:b w:val="0"/>
                <w:sz w:val="20"/>
              </w:rPr>
              <w:t>/</w:t>
            </w:r>
          </w:p>
        </w:tc>
        <w:tc>
          <w:tcPr>
            <w:tcW w:type="dxa" w:w="2929"/>
          </w:tcPr>
          <w:p>
            <w:pPr>
              <w:spacing w:after="40"/>
            </w:pPr>
            <w:r>
              <w:rPr>
                <w:rFonts w:ascii="Times New Roman" w:hAnsi="Times New Roman"/>
                <w:b w:val="0"/>
                <w:sz w:val="20"/>
              </w:rPr>
              <w:t>правило аларма; усвојена хистереза</w:t>
            </w:r>
          </w:p>
        </w:tc>
      </w:tr>
    </w:tbl>
    <w:p>
      <w:pPr>
        <w:spacing w:after="80"/>
      </w:pPr>
    </w:p>
    <w:p>
      <w:pPr>
        <w:keepNext/>
        <w:spacing w:before="160"/>
        <w:jc w:val="center"/>
      </w:pPr>
      <w:r>
        <w:drawing>
          <wp:inline xmlns:a="http://schemas.openxmlformats.org/drawingml/2006/main" xmlns:pic="http://schemas.openxmlformats.org/drawingml/2006/picture">
            <wp:extent cx="5040000" cy="2173066"/>
            <wp:docPr id="3" name="Picture 3"/>
            <wp:cNvGraphicFramePr>
              <a:graphicFrameLocks noChangeAspect="1"/>
            </wp:cNvGraphicFramePr>
            <a:graphic>
              <a:graphicData uri="http://schemas.openxmlformats.org/drawingml/2006/picture">
                <pic:pic>
                  <pic:nvPicPr>
                    <pic:cNvPr id="0" name="sl_napredak.png"/>
                    <pic:cNvPicPr/>
                  </pic:nvPicPr>
                  <pic:blipFill>
                    <a:blip r:embed="rId13"/>
                    <a:stretch>
                      <a:fillRect/>
                    </a:stretch>
                  </pic:blipFill>
                  <pic:spPr>
                    <a:xfrm>
                      <a:off x="0" y="0"/>
                      <a:ext cx="5040000" cy="2173066"/>
                    </a:xfrm>
                    <a:prstGeom prst="rect"/>
                  </pic:spPr>
                </pic:pic>
              </a:graphicData>
            </a:graphic>
          </wp:inline>
        </w:drawing>
      </w:r>
    </w:p>
    <w:p>
      <w:pPr>
        <w:pStyle w:val="Potpisslike"/>
        <w:spacing w:after="200"/>
        <w:jc w:val="center"/>
      </w:pPr>
      <w:r>
        <w:rPr>
          <w:rFonts w:ascii="Times New Roman" w:hAnsi="Times New Roman"/>
          <w:b w:val="0"/>
          <w:sz w:val="22"/>
        </w:rPr>
        <w:t>Слика 4.2. Најбољи развојни AUC по фазама; различити протоколи ограничавају директно поређење</w:t>
      </w:r>
    </w:p>
    <w:p>
      <w:pPr>
        <w:pStyle w:val="BodyText"/>
        <w:ind w:firstLine="0"/>
      </w:pPr>
      <w:r>
        <w:rPr>
          <w:rFonts w:ascii="Times New Roman" w:hAnsi="Times New Roman"/>
          <w:b w:val="0"/>
          <w:sz w:val="22"/>
        </w:rPr>
        <w:t>Развој показује значај избора обиљежја, регуларизације и засебне провјере прага. Најбоље вриједности појединих фаза потичу из различитих подјела и конфигурација. Због тога њихов хронолошки раст описује истраживачки пут, а не контролисани ефекат једне промјене.</w:t>
      </w:r>
    </w:p>
    <w:p>
      <w:pPr>
        <w:spacing w:before="0" w:after="0" w:line="20" w:lineRule="exact"/>
      </w:pPr>
      <w:r>
        <w:rPr>
          <w:sz w:val="2"/>
        </w:rPr>
        <w:br w:type="page"/>
      </w:r>
    </w:p>
    <w:p>
      <w:pPr>
        <w:pStyle w:val="Heading1"/>
      </w:pPr>
      <w:r>
        <w:rPr>
          <w:rFonts w:ascii="Arial" w:hAnsi="Arial"/>
          <w:b/>
          <w:sz w:val="32"/>
        </w:rPr>
        <w:t>5. РЕАЛИЗАЦИЈА НА ПЛАТФОРМИ ESP32-S3</w:t>
      </w:r>
    </w:p>
    <w:p>
      <w:pPr>
        <w:pStyle w:val="BodyText"/>
      </w:pPr>
      <w:r>
        <w:rPr>
          <w:rFonts w:ascii="Times New Roman" w:hAnsi="Times New Roman"/>
          <w:b w:val="0"/>
          <w:sz w:val="22"/>
        </w:rPr>
        <w:t>У овом поглављу описана је реализација на циљној платформи: повезивање микрофона, прихват звука, израчунавање обиљежја, организација меморије и структура фирмвера. Приказана су и мјерења времена извршавања и тачности у односу на референтну имплементацију на рачунару.</w:t>
      </w:r>
    </w:p>
    <w:p>
      <w:pPr>
        <w:pStyle w:val="Heading2"/>
      </w:pPr>
      <w:r>
        <w:rPr>
          <w:rFonts w:ascii="Arial" w:hAnsi="Arial"/>
          <w:b/>
          <w:sz w:val="28"/>
        </w:rPr>
        <w:t>5.1. Повезивање и распоред пинова</w:t>
      </w:r>
    </w:p>
    <w:p>
      <w:pPr>
        <w:pStyle w:val="BodyText"/>
      </w:pPr>
      <w:r>
        <w:rPr>
          <w:rFonts w:ascii="Times New Roman" w:hAnsi="Times New Roman"/>
          <w:b w:val="0"/>
          <w:sz w:val="22"/>
        </w:rPr>
        <w:t>Микрофон INMP441 повезује се на сабирницу I2S са три сигналне линије и напајањем. Линија за избор канала везује се на масу, чиме се бира лијеви канал који фирмвер чита; ако та линија остане неповезана, уређај прима тишину, што је грешка која се лако превиди јер систем наставља да ради. Распоред пинова дат је у Табели 5.1.</w:t>
      </w:r>
    </w:p>
    <w:p>
      <w:pPr>
        <w:pStyle w:val="Potpistabele"/>
        <w:keepNext/>
        <w:spacing w:before="200" w:after="60"/>
        <w:jc w:val="center"/>
      </w:pPr>
      <w:r>
        <w:rPr>
          <w:rFonts w:ascii="Times New Roman" w:hAnsi="Times New Roman"/>
          <w:b w:val="0"/>
          <w:sz w:val="22"/>
        </w:rPr>
        <w:t>Табела 5.1. Повезивање микрофона INMP441</w:t>
      </w:r>
    </w:p>
    <w:tbl>
      <w:tblPr>
        <w:tblStyle w:val="TableGrid"/>
        <w:tblW w:type="auto" w:w="0"/>
        <w:jc w:val="center"/>
        <w:tblLook w:firstColumn="1" w:firstRow="1" w:lastColumn="0" w:lastRow="0" w:noHBand="0" w:noVBand="1" w:val="04A0"/>
      </w:tblPr>
      <w:tblGrid>
        <w:gridCol w:w="2929"/>
        <w:gridCol w:w="2929"/>
        <w:gridCol w:w="2929"/>
      </w:tblGrid>
      <w:tr>
        <w:trPr>
          <w:tblHeader/>
        </w:trPr>
        <w:tc>
          <w:tcPr>
            <w:tcW w:type="dxa" w:w="2929"/>
          </w:tcPr>
          <w:p>
            <w:pPr>
              <w:keepNext/>
              <w:spacing w:after="40"/>
              <w:jc w:val="center"/>
            </w:pPr>
            <w:r>
              <w:rPr>
                <w:rFonts w:ascii="Times New Roman" w:hAnsi="Times New Roman"/>
                <w:b/>
                <w:sz w:val="20"/>
              </w:rPr>
              <w:t>Пин микрофона</w:t>
            </w:r>
          </w:p>
        </w:tc>
        <w:tc>
          <w:tcPr>
            <w:tcW w:type="dxa" w:w="2929"/>
          </w:tcPr>
          <w:p>
            <w:pPr>
              <w:keepNext/>
              <w:spacing w:after="40"/>
              <w:jc w:val="center"/>
            </w:pPr>
            <w:r>
              <w:rPr>
                <w:rFonts w:ascii="Times New Roman" w:hAnsi="Times New Roman"/>
                <w:b/>
                <w:sz w:val="20"/>
              </w:rPr>
              <w:t>Пин ESP32-S3</w:t>
            </w:r>
          </w:p>
        </w:tc>
        <w:tc>
          <w:tcPr>
            <w:tcW w:type="dxa" w:w="2929"/>
          </w:tcPr>
          <w:p>
            <w:pPr>
              <w:keepNext/>
              <w:spacing w:after="40"/>
              <w:jc w:val="center"/>
            </w:pPr>
            <w:r>
              <w:rPr>
                <w:rFonts w:ascii="Times New Roman" w:hAnsi="Times New Roman"/>
                <w:b/>
                <w:sz w:val="20"/>
              </w:rPr>
              <w:t>Напомена</w:t>
            </w:r>
          </w:p>
        </w:tc>
      </w:tr>
      <w:tr>
        <w:trPr>
          <w:cantSplit/>
        </w:trPr>
        <w:tc>
          <w:tcPr>
            <w:tcW w:type="dxa" w:w="2929"/>
          </w:tcPr>
          <w:p>
            <w:pPr>
              <w:spacing w:after="40"/>
            </w:pPr>
            <w:r>
              <w:rPr>
                <w:rFonts w:ascii="Times New Roman" w:hAnsi="Times New Roman"/>
                <w:b w:val="0"/>
                <w:sz w:val="20"/>
              </w:rPr>
              <w:t>VDD</w:t>
            </w:r>
          </w:p>
        </w:tc>
        <w:tc>
          <w:tcPr>
            <w:tcW w:type="dxa" w:w="2929"/>
          </w:tcPr>
          <w:p>
            <w:pPr>
              <w:spacing w:after="40"/>
            </w:pPr>
            <w:r>
              <w:rPr>
                <w:rFonts w:ascii="Times New Roman" w:hAnsi="Times New Roman"/>
                <w:b w:val="0"/>
                <w:sz w:val="20"/>
              </w:rPr>
              <w:t>3V3</w:t>
            </w:r>
          </w:p>
        </w:tc>
        <w:tc>
          <w:tcPr>
            <w:tcW w:type="dxa" w:w="2929"/>
          </w:tcPr>
          <w:p>
            <w:pPr>
              <w:spacing w:after="40"/>
            </w:pPr>
            <w:r>
              <w:rPr>
                <w:rFonts w:ascii="Times New Roman" w:hAnsi="Times New Roman"/>
                <w:b w:val="0"/>
                <w:sz w:val="20"/>
              </w:rPr>
              <w:t>уз 100 nF и 10 µФ што ближе микрофону</w:t>
            </w:r>
          </w:p>
        </w:tc>
      </w:tr>
      <w:tr>
        <w:trPr>
          <w:cantSplit/>
        </w:trPr>
        <w:tc>
          <w:tcPr>
            <w:tcW w:type="dxa" w:w="2929"/>
          </w:tcPr>
          <w:p>
            <w:pPr>
              <w:spacing w:after="40"/>
            </w:pPr>
            <w:r>
              <w:rPr>
                <w:rFonts w:ascii="Times New Roman" w:hAnsi="Times New Roman"/>
                <w:b w:val="0"/>
                <w:sz w:val="20"/>
              </w:rPr>
              <w:t>GND</w:t>
            </w:r>
          </w:p>
        </w:tc>
        <w:tc>
          <w:tcPr>
            <w:tcW w:type="dxa" w:w="2929"/>
          </w:tcPr>
          <w:p>
            <w:pPr>
              <w:spacing w:after="40"/>
            </w:pPr>
            <w:r>
              <w:rPr>
                <w:rFonts w:ascii="Times New Roman" w:hAnsi="Times New Roman"/>
                <w:b w:val="0"/>
                <w:sz w:val="20"/>
              </w:rPr>
              <w:t>GND</w:t>
            </w:r>
          </w:p>
        </w:tc>
        <w:tc>
          <w:tcPr>
            <w:tcW w:type="dxa" w:w="2929"/>
          </w:tcPr>
          <w:p>
            <w:pPr>
              <w:spacing w:after="40"/>
            </w:pPr>
            <w:r>
              <w:rPr>
                <w:rFonts w:ascii="Times New Roman" w:hAnsi="Times New Roman"/>
                <w:b w:val="0"/>
                <w:sz w:val="20"/>
              </w:rPr>
              <w:t>заједничка маса</w:t>
            </w:r>
          </w:p>
        </w:tc>
      </w:tr>
      <w:tr>
        <w:trPr>
          <w:cantSplit/>
        </w:trPr>
        <w:tc>
          <w:tcPr>
            <w:tcW w:type="dxa" w:w="2929"/>
          </w:tcPr>
          <w:p>
            <w:pPr>
              <w:spacing w:after="40"/>
            </w:pPr>
            <w:r>
              <w:rPr>
                <w:rFonts w:ascii="Times New Roman" w:hAnsi="Times New Roman"/>
                <w:b w:val="0"/>
                <w:sz w:val="20"/>
              </w:rPr>
              <w:t>SCK</w:t>
            </w:r>
          </w:p>
        </w:tc>
        <w:tc>
          <w:tcPr>
            <w:tcW w:type="dxa" w:w="2929"/>
          </w:tcPr>
          <w:p>
            <w:pPr>
              <w:spacing w:after="40"/>
            </w:pPr>
            <w:r>
              <w:rPr>
                <w:rFonts w:ascii="Times New Roman" w:hAnsi="Times New Roman"/>
                <w:b w:val="0"/>
                <w:sz w:val="20"/>
              </w:rPr>
              <w:t>GPIO 4</w:t>
            </w:r>
          </w:p>
        </w:tc>
        <w:tc>
          <w:tcPr>
            <w:tcW w:type="dxa" w:w="2929"/>
          </w:tcPr>
          <w:p>
            <w:pPr>
              <w:spacing w:after="40"/>
            </w:pPr>
            <w:r>
              <w:rPr>
                <w:rFonts w:ascii="Times New Roman" w:hAnsi="Times New Roman"/>
                <w:b w:val="0"/>
                <w:sz w:val="20"/>
              </w:rPr>
              <w:t>бит такт сабирнице I2S</w:t>
            </w:r>
          </w:p>
        </w:tc>
      </w:tr>
      <w:tr>
        <w:trPr>
          <w:cantSplit/>
        </w:trPr>
        <w:tc>
          <w:tcPr>
            <w:tcW w:type="dxa" w:w="2929"/>
          </w:tcPr>
          <w:p>
            <w:pPr>
              <w:spacing w:after="40"/>
            </w:pPr>
            <w:r>
              <w:rPr>
                <w:rFonts w:ascii="Times New Roman" w:hAnsi="Times New Roman"/>
                <w:b w:val="0"/>
                <w:sz w:val="20"/>
              </w:rPr>
              <w:t>WS</w:t>
            </w:r>
          </w:p>
        </w:tc>
        <w:tc>
          <w:tcPr>
            <w:tcW w:type="dxa" w:w="2929"/>
          </w:tcPr>
          <w:p>
            <w:pPr>
              <w:spacing w:after="40"/>
            </w:pPr>
            <w:r>
              <w:rPr>
                <w:rFonts w:ascii="Times New Roman" w:hAnsi="Times New Roman"/>
                <w:b w:val="0"/>
                <w:sz w:val="20"/>
              </w:rPr>
              <w:t>GPIO 5</w:t>
            </w:r>
          </w:p>
        </w:tc>
        <w:tc>
          <w:tcPr>
            <w:tcW w:type="dxa" w:w="2929"/>
          </w:tcPr>
          <w:p>
            <w:pPr>
              <w:spacing w:after="40"/>
            </w:pPr>
            <w:r>
              <w:rPr>
                <w:rFonts w:ascii="Times New Roman" w:hAnsi="Times New Roman"/>
                <w:b w:val="0"/>
                <w:sz w:val="20"/>
              </w:rPr>
              <w:t>избор ријечи</w:t>
            </w:r>
          </w:p>
        </w:tc>
      </w:tr>
      <w:tr>
        <w:trPr>
          <w:cantSplit/>
        </w:trPr>
        <w:tc>
          <w:tcPr>
            <w:tcW w:type="dxa" w:w="2929"/>
          </w:tcPr>
          <w:p>
            <w:pPr>
              <w:spacing w:after="40"/>
            </w:pPr>
            <w:r>
              <w:rPr>
                <w:rFonts w:ascii="Times New Roman" w:hAnsi="Times New Roman"/>
                <w:b w:val="0"/>
                <w:sz w:val="20"/>
              </w:rPr>
              <w:t>SD</w:t>
            </w:r>
          </w:p>
        </w:tc>
        <w:tc>
          <w:tcPr>
            <w:tcW w:type="dxa" w:w="2929"/>
          </w:tcPr>
          <w:p>
            <w:pPr>
              <w:spacing w:after="40"/>
            </w:pPr>
            <w:r>
              <w:rPr>
                <w:rFonts w:ascii="Times New Roman" w:hAnsi="Times New Roman"/>
                <w:b w:val="0"/>
                <w:sz w:val="20"/>
              </w:rPr>
              <w:t>GPIO 6</w:t>
            </w:r>
          </w:p>
        </w:tc>
        <w:tc>
          <w:tcPr>
            <w:tcW w:type="dxa" w:w="2929"/>
          </w:tcPr>
          <w:p>
            <w:pPr>
              <w:spacing w:after="40"/>
            </w:pPr>
            <w:r>
              <w:rPr>
                <w:rFonts w:ascii="Times New Roman" w:hAnsi="Times New Roman"/>
                <w:b w:val="0"/>
                <w:sz w:val="20"/>
              </w:rPr>
              <w:t>податак, ка микроконтролеру</w:t>
            </w:r>
          </w:p>
        </w:tc>
      </w:tr>
      <w:tr>
        <w:trPr>
          <w:cantSplit/>
        </w:trPr>
        <w:tc>
          <w:tcPr>
            <w:tcW w:type="dxa" w:w="2929"/>
          </w:tcPr>
          <w:p>
            <w:pPr>
              <w:spacing w:after="40"/>
            </w:pPr>
            <w:r>
              <w:rPr>
                <w:rFonts w:ascii="Courier New" w:hAnsi="Courier New"/>
                <w:sz w:val="18"/>
              </w:rPr>
              <w:t>L/R</w:t>
            </w:r>
          </w:p>
        </w:tc>
        <w:tc>
          <w:tcPr>
            <w:tcW w:type="dxa" w:w="2929"/>
          </w:tcPr>
          <w:p>
            <w:pPr>
              <w:spacing w:after="40"/>
            </w:pPr>
            <w:r>
              <w:rPr>
                <w:rFonts w:ascii="Times New Roman" w:hAnsi="Times New Roman"/>
                <w:b w:val="0"/>
                <w:sz w:val="20"/>
              </w:rPr>
              <w:t>GND</w:t>
            </w:r>
          </w:p>
        </w:tc>
        <w:tc>
          <w:tcPr>
            <w:tcW w:type="dxa" w:w="2929"/>
          </w:tcPr>
          <w:p>
            <w:pPr>
              <w:spacing w:after="40"/>
            </w:pPr>
            <w:r>
              <w:rPr>
                <w:rFonts w:ascii="Times New Roman" w:hAnsi="Times New Roman"/>
                <w:b w:val="0"/>
                <w:sz w:val="20"/>
              </w:rPr>
              <w:t>избор лијевог канала</w:t>
            </w:r>
          </w:p>
        </w:tc>
      </w:tr>
    </w:tbl>
    <w:p>
      <w:pPr>
        <w:spacing w:after="80"/>
      </w:pPr>
    </w:p>
    <w:p>
      <w:pPr>
        <w:pStyle w:val="BodyText"/>
        <w:ind w:firstLine="0"/>
      </w:pPr>
      <w:r>
        <w:rPr>
          <w:rFonts w:ascii="Times New Roman" w:hAnsi="Times New Roman"/>
          <w:b w:val="0"/>
          <w:sz w:val="22"/>
        </w:rPr>
        <w:t xml:space="preserve">Препоручене су кратке сигналне везе до микрофона. Предвиђен је тастер између GPIO 10 и масе, уз унутрашњи </w:t>
      </w:r>
      <w:r>
        <w:rPr>
          <w:rFonts w:ascii="Times New Roman" w:hAnsi="Times New Roman"/>
          <w:i/>
          <w:sz w:val="22"/>
        </w:rPr>
        <w:t>pull-up</w:t>
      </w:r>
      <w:r>
        <w:rPr>
          <w:rFonts w:ascii="Times New Roman" w:hAnsi="Times New Roman"/>
          <w:b w:val="0"/>
          <w:sz w:val="22"/>
        </w:rPr>
        <w:t>, зелена диода на GPIO 2 преко 100 Ω и црвена на GPIO 11 преко 330 Ω. Уређај остаје на протоборду MB-102 према одлуци од 2. септембра. Завршно повезивање тастера и диода није потврђено мјерењем; у сачуваним тестовима коришћен је виртуелни тастер преко исте оператерске логике. Шема је дата на Слици 5.1.</w:t>
      </w:r>
    </w:p>
    <w:p>
      <w:pPr>
        <w:keepNext/>
        <w:spacing w:before="160"/>
        <w:jc w:val="center"/>
      </w:pPr>
      <w:r>
        <w:drawing>
          <wp:inline xmlns:a="http://schemas.openxmlformats.org/drawingml/2006/main" xmlns:pic="http://schemas.openxmlformats.org/drawingml/2006/picture">
            <wp:extent cx="5040000" cy="2168293"/>
            <wp:docPr id="4" name="Picture 4"/>
            <wp:cNvGraphicFramePr>
              <a:graphicFrameLocks noChangeAspect="1"/>
            </wp:cNvGraphicFramePr>
            <a:graphic>
              <a:graphicData uri="http://schemas.openxmlformats.org/drawingml/2006/picture">
                <pic:pic>
                  <pic:nvPicPr>
                    <pic:cNvPr id="0" name="sl_sema.png"/>
                    <pic:cNvPicPr/>
                  </pic:nvPicPr>
                  <pic:blipFill>
                    <a:blip r:embed="rId14"/>
                    <a:stretch>
                      <a:fillRect/>
                    </a:stretch>
                  </pic:blipFill>
                  <pic:spPr>
                    <a:xfrm>
                      <a:off x="0" y="0"/>
                      <a:ext cx="5040000" cy="2168293"/>
                    </a:xfrm>
                    <a:prstGeom prst="rect"/>
                  </pic:spPr>
                </pic:pic>
              </a:graphicData>
            </a:graphic>
          </wp:inline>
        </w:drawing>
      </w:r>
    </w:p>
    <w:p>
      <w:pPr>
        <w:pStyle w:val="Potpisslike"/>
        <w:spacing w:after="200"/>
        <w:jc w:val="center"/>
      </w:pPr>
      <w:r>
        <w:rPr>
          <w:rFonts w:ascii="Times New Roman" w:hAnsi="Times New Roman"/>
          <w:b w:val="0"/>
          <w:sz w:val="22"/>
        </w:rPr>
        <w:t>Слика 5.1. Шема повезивања микрофона, тастера и сигналних диода на модул ESP32-S3</w:t>
      </w:r>
    </w:p>
    <w:p>
      <w:pPr>
        <w:pStyle w:val="Heading2"/>
      </w:pPr>
      <w:r>
        <w:rPr>
          <w:rFonts w:ascii="Arial" w:hAnsi="Arial"/>
          <w:b/>
          <w:sz w:val="28"/>
        </w:rPr>
        <w:t>5.2. Прихват звука</w:t>
      </w:r>
    </w:p>
    <w:p>
      <w:pPr>
        <w:pStyle w:val="BodyText"/>
      </w:pPr>
      <w:r>
        <w:rPr>
          <w:rFonts w:ascii="Times New Roman" w:hAnsi="Times New Roman"/>
          <w:b w:val="0"/>
          <w:sz w:val="22"/>
        </w:rPr>
        <w:t>Звук се прихвата преко сабирнице I2S са преносом преко директног приступа меморији, у кружни бафер. Читање је ограничено временски: ако подаци не стигну у очекиваном року, ток се зауставља са изричитим разлогом умјесто да блокира или тихо врати празан бафер. Уз сваки прозор пријављује се и број изгубљених узорака у односу на претходни прозор.</w:t>
      </w:r>
    </w:p>
    <w:p>
      <w:pPr>
        <w:pStyle w:val="BodyText"/>
      </w:pPr>
      <w:r>
        <w:rPr>
          <w:rFonts w:ascii="Times New Roman" w:hAnsi="Times New Roman"/>
          <w:b w:val="0"/>
          <w:sz w:val="22"/>
        </w:rPr>
        <w:t>У старијим мјерењима кумулативни бројач укључивао је узорке одбачене док уређај чека оператера. Актуелни фирмвер празни бафер и ресетује бројач на почетку сесије. За прозоре мјерења провјерава се и разлика бројача, која је у два завршна записа нула. То је доказ одсуства пријављених губитака, а не независна провјера сваког I2S узорка.</w:t>
      </w:r>
    </w:p>
    <w:p>
      <w:pPr>
        <w:pStyle w:val="Heading2"/>
      </w:pPr>
      <w:r>
        <w:rPr>
          <w:rFonts w:ascii="Arial" w:hAnsi="Arial"/>
          <w:b/>
          <w:sz w:val="28"/>
        </w:rPr>
        <w:t>5.3. Израчунавање обиљежја</w:t>
      </w:r>
    </w:p>
    <w:p>
      <w:pPr>
        <w:pStyle w:val="BodyText"/>
      </w:pPr>
      <w:r>
        <w:rPr>
          <w:rFonts w:ascii="Times New Roman" w:hAnsi="Times New Roman"/>
          <w:b w:val="0"/>
          <w:sz w:val="22"/>
        </w:rPr>
        <w:t>Прозор од 10 s покрива се са 38 потпуних преклапајућих сегмената дужине 8192 узорка, са кораком 4096. Преосталих 256 узорака не улази у нови потпуни сегмент. Примјењује се периодични Ханов прозор, а усредњени спектар снаге сажима се у 96 логаритамских трака од 10 до 4000 Hz. Користи се логаритам основе десет и одузима средња вриједност вектора.</w:t>
      </w:r>
    </w:p>
    <w:p>
      <w:pPr>
        <w:pStyle w:val="BodyText"/>
      </w:pPr>
      <w:r>
        <w:rPr>
          <w:rFonts w:ascii="Times New Roman" w:hAnsi="Times New Roman"/>
          <w:b w:val="0"/>
          <w:sz w:val="22"/>
        </w:rPr>
        <w:t>Добијени вектор се стандардизује параметрима наученим на рачунару, послије чега се рачуна квадрирана Махаланобисова удаљеност од локалног центра према изразу (2). Сав рачун је у покретном зарезу једноструке тачности. Измјерена времена израчунавања даје Табела 5.2.</w:t>
      </w:r>
    </w:p>
    <w:p>
      <w:pPr>
        <w:pStyle w:val="Potpistabele"/>
        <w:keepNext/>
        <w:spacing w:before="200" w:after="60"/>
        <w:jc w:val="center"/>
      </w:pPr>
      <w:r>
        <w:rPr>
          <w:rFonts w:ascii="Times New Roman" w:hAnsi="Times New Roman"/>
          <w:b w:val="0"/>
          <w:sz w:val="22"/>
        </w:rPr>
        <w:t>Табела 5.2. Мјерења израчунавања обиљежја на уређају</w:t>
      </w:r>
    </w:p>
    <w:tbl>
      <w:tblPr>
        <w:tblStyle w:val="TableGrid"/>
        <w:tblW w:type="auto" w:w="0"/>
        <w:jc w:val="center"/>
        <w:tblLook w:firstColumn="1" w:firstRow="1" w:lastColumn="0" w:lastRow="0" w:noHBand="0" w:noVBand="1" w:val="04A0"/>
      </w:tblPr>
      <w:tblGrid>
        <w:gridCol w:w="4394"/>
        <w:gridCol w:w="4394"/>
      </w:tblGrid>
      <w:tr>
        <w:trPr>
          <w:tblHeader/>
        </w:trPr>
        <w:tc>
          <w:tcPr>
            <w:tcW w:type="dxa" w:w="4394"/>
          </w:tcPr>
          <w:p>
            <w:pPr>
              <w:keepNext/>
              <w:spacing w:after="40"/>
              <w:jc w:val="center"/>
            </w:pPr>
            <w:r>
              <w:rPr>
                <w:rFonts w:ascii="Times New Roman" w:hAnsi="Times New Roman"/>
                <w:b/>
                <w:sz w:val="20"/>
              </w:rPr>
              <w:t>Величина</w:t>
            </w:r>
          </w:p>
        </w:tc>
        <w:tc>
          <w:tcPr>
            <w:tcW w:type="dxa" w:w="4394"/>
          </w:tcPr>
          <w:p>
            <w:pPr>
              <w:keepNext/>
              <w:spacing w:after="40"/>
              <w:jc w:val="center"/>
            </w:pPr>
            <w:r>
              <w:rPr>
                <w:rFonts w:ascii="Times New Roman" w:hAnsi="Times New Roman"/>
                <w:b/>
                <w:sz w:val="20"/>
              </w:rPr>
              <w:t>Вриједност</w:t>
            </w:r>
          </w:p>
        </w:tc>
      </w:tr>
      <w:tr>
        <w:trPr>
          <w:cantSplit/>
        </w:trPr>
        <w:tc>
          <w:tcPr>
            <w:tcW w:type="dxa" w:w="4394"/>
          </w:tcPr>
          <w:p>
            <w:pPr>
              <w:spacing w:after="40"/>
            </w:pPr>
            <w:r>
              <w:rPr>
                <w:rFonts w:ascii="Times New Roman" w:hAnsi="Times New Roman"/>
                <w:b w:val="0"/>
                <w:sz w:val="20"/>
              </w:rPr>
              <w:t>Вријеме обраде по прозору од 10 s</w:t>
            </w:r>
          </w:p>
        </w:tc>
        <w:tc>
          <w:tcPr>
            <w:tcW w:type="dxa" w:w="4394"/>
          </w:tcPr>
          <w:p>
            <w:pPr>
              <w:spacing w:after="40"/>
              <w:jc w:val="right"/>
            </w:pPr>
            <w:r>
              <w:rPr>
                <w:rFonts w:ascii="Times New Roman" w:hAnsi="Times New Roman"/>
                <w:b w:val="0"/>
                <w:sz w:val="20"/>
              </w:rPr>
              <w:t>716 ms</w:t>
            </w:r>
          </w:p>
        </w:tc>
      </w:tr>
      <w:tr>
        <w:trPr>
          <w:cantSplit/>
        </w:trPr>
        <w:tc>
          <w:tcPr>
            <w:tcW w:type="dxa" w:w="4394"/>
          </w:tcPr>
          <w:p>
            <w:pPr>
              <w:spacing w:after="40"/>
            </w:pPr>
            <w:r>
              <w:rPr>
                <w:rFonts w:ascii="Times New Roman" w:hAnsi="Times New Roman"/>
                <w:b w:val="0"/>
                <w:sz w:val="20"/>
              </w:rPr>
              <w:t>Резерва у реалном времену</w:t>
            </w:r>
          </w:p>
        </w:tc>
        <w:tc>
          <w:tcPr>
            <w:tcW w:type="dxa" w:w="4394"/>
          </w:tcPr>
          <w:p>
            <w:pPr>
              <w:spacing w:after="40"/>
              <w:jc w:val="right"/>
            </w:pPr>
            <w:r>
              <w:rPr>
                <w:rFonts w:ascii="Times New Roman" w:hAnsi="Times New Roman"/>
                <w:b w:val="0"/>
                <w:sz w:val="20"/>
              </w:rPr>
              <w:t>око 14 пута</w:t>
            </w:r>
          </w:p>
        </w:tc>
      </w:tr>
      <w:tr>
        <w:trPr>
          <w:cantSplit/>
        </w:trPr>
        <w:tc>
          <w:tcPr>
            <w:tcW w:type="dxa" w:w="4394"/>
          </w:tcPr>
          <w:p>
            <w:pPr>
              <w:spacing w:after="40"/>
            </w:pPr>
            <w:r>
              <w:rPr>
                <w:rFonts w:ascii="Times New Roman" w:hAnsi="Times New Roman"/>
                <w:b w:val="0"/>
                <w:sz w:val="20"/>
              </w:rPr>
              <w:t>Разлика рачунар–уређај, дигитални улаз</w:t>
            </w:r>
          </w:p>
        </w:tc>
        <w:tc>
          <w:tcPr>
            <w:tcW w:type="dxa" w:w="4394"/>
          </w:tcPr>
          <w:p>
            <w:pPr>
              <w:spacing w:after="40"/>
              <w:jc w:val="right"/>
            </w:pPr>
            <w:r>
              <w:rPr>
                <w:rFonts w:ascii="Times New Roman" w:hAnsi="Times New Roman"/>
                <w:b w:val="0"/>
                <w:sz w:val="20"/>
              </w:rPr>
              <w:t>9,5 · 10⁻⁷</w:t>
            </w:r>
          </w:p>
        </w:tc>
      </w:tr>
      <w:tr>
        <w:trPr>
          <w:cantSplit/>
        </w:trPr>
        <w:tc>
          <w:tcPr>
            <w:tcW w:type="dxa" w:w="4394"/>
          </w:tcPr>
          <w:p>
            <w:pPr>
              <w:spacing w:after="40"/>
            </w:pPr>
            <w:r>
              <w:rPr>
                <w:rFonts w:ascii="Times New Roman" w:hAnsi="Times New Roman"/>
                <w:b w:val="0"/>
                <w:sz w:val="20"/>
              </w:rPr>
              <w:t>Разлика рачунар–уређај, живи микрофон</w:t>
            </w:r>
          </w:p>
        </w:tc>
        <w:tc>
          <w:tcPr>
            <w:tcW w:type="dxa" w:w="4394"/>
          </w:tcPr>
          <w:p>
            <w:pPr>
              <w:spacing w:after="40"/>
              <w:jc w:val="right"/>
            </w:pPr>
            <w:r>
              <w:rPr>
                <w:rFonts w:ascii="Times New Roman" w:hAnsi="Times New Roman"/>
                <w:b w:val="0"/>
                <w:sz w:val="20"/>
              </w:rPr>
              <w:t>1,7 · 10⁻⁶</w:t>
            </w:r>
          </w:p>
        </w:tc>
      </w:tr>
      <w:tr>
        <w:trPr>
          <w:cantSplit/>
        </w:trPr>
        <w:tc>
          <w:tcPr>
            <w:tcW w:type="dxa" w:w="4394"/>
          </w:tcPr>
          <w:p>
            <w:pPr>
              <w:spacing w:after="40"/>
            </w:pPr>
            <w:r>
              <w:rPr>
                <w:rFonts w:ascii="Times New Roman" w:hAnsi="Times New Roman"/>
                <w:b w:val="0"/>
                <w:sz w:val="20"/>
              </w:rPr>
              <w:t>Изгубљених узорака по прозору</w:t>
            </w:r>
          </w:p>
        </w:tc>
        <w:tc>
          <w:tcPr>
            <w:tcW w:type="dxa" w:w="4394"/>
          </w:tcPr>
          <w:p>
            <w:pPr>
              <w:spacing w:after="40"/>
              <w:jc w:val="right"/>
            </w:pPr>
            <w:r>
              <w:rPr>
                <w:rFonts w:ascii="Times New Roman" w:hAnsi="Times New Roman"/>
                <w:b w:val="0"/>
                <w:sz w:val="20"/>
              </w:rPr>
              <w:t>0</w:t>
            </w:r>
          </w:p>
        </w:tc>
      </w:tr>
    </w:tbl>
    <w:p>
      <w:pPr>
        <w:spacing w:after="80"/>
      </w:pPr>
    </w:p>
    <w:p>
      <w:pPr>
        <w:pStyle w:val="BodyText"/>
        <w:ind w:firstLine="0"/>
      </w:pPr>
      <w:r>
        <w:rPr>
          <w:rFonts w:ascii="Times New Roman" w:hAnsi="Times New Roman"/>
          <w:b w:val="0"/>
          <w:sz w:val="22"/>
        </w:rPr>
        <w:t>Измјерених 716 ms односи се на рачунање обиљежја и оцјене, а не на укупно вријеме аквизиције, истраживачке телеметрије и доношења аларма. Око 14 пута краћа обрада од трајања прозора потврђује изводљивост тог рачуна, али није мјерење најгорег времена извршавања цијелог система. Наведена поклапања са референцом односе се на конкретне испитане улазе.</w:t>
      </w:r>
    </w:p>
    <w:p>
      <w:pPr>
        <w:pStyle w:val="BodyText"/>
      </w:pPr>
      <w:r>
        <w:rPr>
          <w:rFonts w:ascii="Times New Roman" w:hAnsi="Times New Roman"/>
          <w:b w:val="0"/>
          <w:sz w:val="22"/>
        </w:rPr>
        <w:t>Осам трака не садржи ниједну FFT тачку и прије центрирања добија фиксну вриједност −20. Због тога одузимање средине не уклања потпуно утицај појачања. На синтетичком широкопојасном сигналу, удвостручавање амплитуде у неизмијењеном C коду помјера попуњене траке за приближно 0,05, а празне за −0,55 јединица обиљежја. Ова рачунарска провјера не мјери утицај на физичку детекцију.</w:t>
      </w:r>
    </w:p>
    <w:p>
      <w:pPr>
        <w:pStyle w:val="Heading2"/>
      </w:pPr>
      <w:r>
        <w:rPr>
          <w:rFonts w:ascii="Arial" w:hAnsi="Arial"/>
          <w:b/>
          <w:sz w:val="28"/>
        </w:rPr>
        <w:t>5.4. Организација меморије</w:t>
      </w:r>
    </w:p>
    <w:p>
      <w:pPr>
        <w:pStyle w:val="BodyText"/>
      </w:pPr>
      <w:r>
        <w:rPr>
          <w:rFonts w:ascii="Times New Roman" w:hAnsi="Times New Roman"/>
          <w:b w:val="0"/>
          <w:sz w:val="22"/>
        </w:rPr>
        <w:t>Матрица прецизности од 96×96 вриједности у покретном зарезу заузима 36 864 B и смјештена је у флеш меморију као константна табела, заједно са параметрима стандардизације. Локални центар од 96 вриједности заузима 384 B и држи се у радној меморији. Бафери за спектар и међурезултате трансформације смјештени су у интерну статичку меморију због брзине приступа, док кружни бафер за звук користи псеудостатичку меморију.</w:t>
      </w:r>
    </w:p>
    <w:p>
      <w:pPr>
        <w:pStyle w:val="BodyText"/>
      </w:pPr>
      <w:r>
        <w:rPr>
          <w:rFonts w:ascii="Times New Roman" w:hAnsi="Times New Roman"/>
          <w:b w:val="0"/>
          <w:sz w:val="22"/>
        </w:rPr>
        <w:t>Коначни бинарни фајл фирмвера, у конфигурацији са истраживачком телеметријом, заузима 354 784 B. То је мали дио расположиве флеш партиције, па меморија није ограничавајући чинилац овог рјешења.</w:t>
      </w:r>
    </w:p>
    <w:p>
      <w:pPr>
        <w:pStyle w:val="Heading2"/>
      </w:pPr>
      <w:r>
        <w:rPr>
          <w:rFonts w:ascii="Arial" w:hAnsi="Arial"/>
          <w:b/>
          <w:sz w:val="28"/>
        </w:rPr>
        <w:t>5.5. Структура фирмвера</w:t>
      </w:r>
    </w:p>
    <w:p>
      <w:pPr>
        <w:pStyle w:val="BodyText"/>
      </w:pPr>
      <w:r>
        <w:rPr>
          <w:rFonts w:ascii="Times New Roman" w:hAnsi="Times New Roman"/>
          <w:b w:val="0"/>
          <w:sz w:val="22"/>
        </w:rPr>
        <w:t>Фирмвер је организован тако да је сваки дио политике одлучивања засебан модул са јасним улазом и излазом, што је омогућило да се исти модули провјеравају на рачунару без плочице. Коначни ток обухвата модуле за прихват звука, провјеру квалитета сигнала, израчунавање обиљежја, калибрацију, извођење прага, капију поузданости, временску одлуку и оператерски интерфејс. Улога сваког модула дата је у Табели 5.3.</w:t>
      </w:r>
    </w:p>
    <w:p>
      <w:pPr>
        <w:pStyle w:val="Potpistabele"/>
        <w:keepNext/>
        <w:spacing w:before="200" w:after="60"/>
        <w:jc w:val="center"/>
      </w:pPr>
      <w:r>
        <w:rPr>
          <w:rFonts w:ascii="Times New Roman" w:hAnsi="Times New Roman"/>
          <w:b w:val="0"/>
          <w:sz w:val="22"/>
        </w:rPr>
        <w:t>Табела 5.3. Модули коначног тока</w:t>
      </w:r>
    </w:p>
    <w:tbl>
      <w:tblPr>
        <w:tblStyle w:val="TableGrid"/>
        <w:tblW w:type="auto" w:w="0"/>
        <w:jc w:val="center"/>
        <w:tblLook w:firstColumn="1" w:firstRow="1" w:lastColumn="0" w:lastRow="0" w:noHBand="0" w:noVBand="1" w:val="04A0"/>
      </w:tblPr>
      <w:tblGrid>
        <w:gridCol w:w="4394"/>
        <w:gridCol w:w="4394"/>
      </w:tblGrid>
      <w:tr>
        <w:trPr>
          <w:tblHeader/>
        </w:trPr>
        <w:tc>
          <w:tcPr>
            <w:tcW w:type="dxa" w:w="4394"/>
          </w:tcPr>
          <w:p>
            <w:pPr>
              <w:keepNext/>
              <w:spacing w:after="40"/>
              <w:jc w:val="center"/>
            </w:pPr>
            <w:r>
              <w:rPr>
                <w:rFonts w:ascii="Times New Roman" w:hAnsi="Times New Roman"/>
                <w:b/>
                <w:sz w:val="20"/>
              </w:rPr>
              <w:t>Модул</w:t>
            </w:r>
          </w:p>
        </w:tc>
        <w:tc>
          <w:tcPr>
            <w:tcW w:type="dxa" w:w="4394"/>
          </w:tcPr>
          <w:p>
            <w:pPr>
              <w:keepNext/>
              <w:spacing w:after="40"/>
              <w:jc w:val="center"/>
            </w:pPr>
            <w:r>
              <w:rPr>
                <w:rFonts w:ascii="Times New Roman" w:hAnsi="Times New Roman"/>
                <w:b/>
                <w:sz w:val="20"/>
              </w:rPr>
              <w:t>Улога</w:t>
            </w:r>
          </w:p>
        </w:tc>
      </w:tr>
      <w:tr>
        <w:trPr>
          <w:cantSplit/>
        </w:trPr>
        <w:tc>
          <w:tcPr>
            <w:tcW w:type="dxa" w:w="4394"/>
          </w:tcPr>
          <w:p>
            <w:pPr>
              <w:spacing w:after="40"/>
            </w:pPr>
            <w:r>
              <w:rPr>
                <w:rFonts w:ascii="Courier New" w:hAnsi="Courier New"/>
                <w:sz w:val="18"/>
              </w:rPr>
              <w:t>audio_i2s.c</w:t>
            </w:r>
          </w:p>
        </w:tc>
        <w:tc>
          <w:tcPr>
            <w:tcW w:type="dxa" w:w="4394"/>
          </w:tcPr>
          <w:p>
            <w:pPr>
              <w:spacing w:after="40"/>
            </w:pPr>
            <w:r>
              <w:rPr>
                <w:rFonts w:ascii="Times New Roman" w:hAnsi="Times New Roman"/>
                <w:b w:val="0"/>
                <w:sz w:val="20"/>
              </w:rPr>
              <w:t>прихват звука са временским ограничењем</w:t>
            </w:r>
          </w:p>
        </w:tc>
      </w:tr>
      <w:tr>
        <w:trPr>
          <w:cantSplit/>
        </w:trPr>
        <w:tc>
          <w:tcPr>
            <w:tcW w:type="dxa" w:w="4394"/>
          </w:tcPr>
          <w:p>
            <w:pPr>
              <w:spacing w:after="40"/>
            </w:pPr>
            <w:r>
              <w:rPr>
                <w:rFonts w:ascii="Courier New" w:hAnsi="Courier New"/>
                <w:sz w:val="18"/>
              </w:rPr>
              <w:t>audio_quality_state.c</w:t>
            </w:r>
          </w:p>
        </w:tc>
        <w:tc>
          <w:tcPr>
            <w:tcW w:type="dxa" w:w="4394"/>
          </w:tcPr>
          <w:p>
            <w:pPr>
              <w:spacing w:after="40"/>
            </w:pPr>
            <w:r>
              <w:rPr>
                <w:rFonts w:ascii="Times New Roman" w:hAnsi="Times New Roman"/>
                <w:b w:val="0"/>
                <w:sz w:val="20"/>
              </w:rPr>
              <w:t>провјере исправности сигнала</w:t>
            </w:r>
          </w:p>
        </w:tc>
      </w:tr>
      <w:tr>
        <w:trPr>
          <w:cantSplit/>
        </w:trPr>
        <w:tc>
          <w:tcPr>
            <w:tcW w:type="dxa" w:w="4394"/>
          </w:tcPr>
          <w:p>
            <w:pPr>
              <w:spacing w:after="40"/>
            </w:pPr>
            <w:r>
              <w:rPr>
                <w:rFonts w:ascii="Courier New" w:hAnsi="Courier New"/>
                <w:sz w:val="18"/>
              </w:rPr>
              <w:t>psd_features_c.c</w:t>
            </w:r>
          </w:p>
        </w:tc>
        <w:tc>
          <w:tcPr>
            <w:tcW w:type="dxa" w:w="4394"/>
          </w:tcPr>
          <w:p>
            <w:pPr>
              <w:spacing w:after="40"/>
            </w:pPr>
            <w:r>
              <w:rPr>
                <w:rFonts w:ascii="Times New Roman" w:hAnsi="Times New Roman"/>
                <w:b w:val="0"/>
                <w:sz w:val="20"/>
              </w:rPr>
              <w:t>израчунавање спектралног обиљежја</w:t>
            </w:r>
          </w:p>
        </w:tc>
      </w:tr>
      <w:tr>
        <w:trPr>
          <w:cantSplit/>
        </w:trPr>
        <w:tc>
          <w:tcPr>
            <w:tcW w:type="dxa" w:w="4394"/>
          </w:tcPr>
          <w:p>
            <w:pPr>
              <w:spacing w:after="40"/>
            </w:pPr>
            <w:r>
              <w:rPr>
                <w:rFonts w:ascii="Courier New" w:hAnsi="Courier New"/>
                <w:sz w:val="18"/>
              </w:rPr>
              <w:t>psd_live.c</w:t>
            </w:r>
          </w:p>
        </w:tc>
        <w:tc>
          <w:tcPr>
            <w:tcW w:type="dxa" w:w="4394"/>
          </w:tcPr>
          <w:p>
            <w:pPr>
              <w:spacing w:after="40"/>
            </w:pPr>
            <w:r>
              <w:rPr>
                <w:rFonts w:ascii="Times New Roman" w:hAnsi="Times New Roman"/>
                <w:b w:val="0"/>
                <w:sz w:val="20"/>
              </w:rPr>
              <w:t>главни ток, калибрација и извођење прага</w:t>
            </w:r>
          </w:p>
        </w:tc>
      </w:tr>
      <w:tr>
        <w:trPr>
          <w:cantSplit/>
        </w:trPr>
        <w:tc>
          <w:tcPr>
            <w:tcW w:type="dxa" w:w="4394"/>
          </w:tcPr>
          <w:p>
            <w:pPr>
              <w:spacing w:after="40"/>
            </w:pPr>
            <w:r>
              <w:rPr>
                <w:rFonts w:ascii="Courier New" w:hAnsi="Courier New"/>
                <w:sz w:val="18"/>
              </w:rPr>
              <w:t>asd_calibration_quality.c</w:t>
            </w:r>
          </w:p>
        </w:tc>
        <w:tc>
          <w:tcPr>
            <w:tcW w:type="dxa" w:w="4394"/>
          </w:tcPr>
          <w:p>
            <w:pPr>
              <w:spacing w:after="40"/>
            </w:pPr>
            <w:r>
              <w:rPr>
                <w:rFonts w:ascii="Times New Roman" w:hAnsi="Times New Roman"/>
                <w:b w:val="0"/>
                <w:sz w:val="20"/>
              </w:rPr>
              <w:t>капија квалитета калибрације</w:t>
            </w:r>
          </w:p>
        </w:tc>
      </w:tr>
      <w:tr>
        <w:trPr>
          <w:cantSplit/>
        </w:trPr>
        <w:tc>
          <w:tcPr>
            <w:tcW w:type="dxa" w:w="4394"/>
          </w:tcPr>
          <w:p>
            <w:pPr>
              <w:spacing w:after="40"/>
            </w:pPr>
            <w:r>
              <w:rPr>
                <w:rFonts w:ascii="Courier New" w:hAnsi="Courier New"/>
                <w:sz w:val="18"/>
              </w:rPr>
              <w:t>asd_commissioning.c</w:t>
            </w:r>
          </w:p>
        </w:tc>
        <w:tc>
          <w:tcPr>
            <w:tcW w:type="dxa" w:w="4394"/>
          </w:tcPr>
          <w:p>
            <w:pPr>
              <w:spacing w:after="40"/>
            </w:pPr>
            <w:r>
              <w:rPr>
                <w:rFonts w:ascii="Times New Roman" w:hAnsi="Times New Roman"/>
                <w:b w:val="0"/>
                <w:sz w:val="20"/>
              </w:rPr>
              <w:t>фазе извођења и провјере прага</w:t>
            </w:r>
          </w:p>
        </w:tc>
      </w:tr>
      <w:tr>
        <w:trPr>
          <w:cantSplit/>
        </w:trPr>
        <w:tc>
          <w:tcPr>
            <w:tcW w:type="dxa" w:w="4394"/>
          </w:tcPr>
          <w:p>
            <w:pPr>
              <w:spacing w:after="40"/>
            </w:pPr>
            <w:r>
              <w:rPr>
                <w:rFonts w:ascii="Courier New" w:hAnsi="Courier New"/>
                <w:sz w:val="18"/>
              </w:rPr>
              <w:t>asd_interference.c</w:t>
            </w:r>
          </w:p>
        </w:tc>
        <w:tc>
          <w:tcPr>
            <w:tcW w:type="dxa" w:w="4394"/>
          </w:tcPr>
          <w:p>
            <w:pPr>
              <w:spacing w:after="40"/>
            </w:pPr>
            <w:r>
              <w:rPr>
                <w:rFonts w:ascii="Times New Roman" w:hAnsi="Times New Roman"/>
                <w:b w:val="0"/>
                <w:sz w:val="20"/>
              </w:rPr>
              <w:t>капија поузданости прозора</w:t>
            </w:r>
          </w:p>
        </w:tc>
      </w:tr>
      <w:tr>
        <w:trPr>
          <w:cantSplit/>
        </w:trPr>
        <w:tc>
          <w:tcPr>
            <w:tcW w:type="dxa" w:w="4394"/>
          </w:tcPr>
          <w:p>
            <w:pPr>
              <w:spacing w:after="40"/>
            </w:pPr>
            <w:r>
              <w:rPr>
                <w:rFonts w:ascii="Courier New" w:hAnsi="Courier New"/>
                <w:sz w:val="18"/>
              </w:rPr>
              <w:t>asd_temporal.c</w:t>
            </w:r>
          </w:p>
        </w:tc>
        <w:tc>
          <w:tcPr>
            <w:tcW w:type="dxa" w:w="4394"/>
          </w:tcPr>
          <w:p>
            <w:pPr>
              <w:spacing w:after="40"/>
            </w:pPr>
            <w:r>
              <w:rPr>
                <w:rFonts w:ascii="Times New Roman" w:hAnsi="Times New Roman"/>
                <w:b w:val="0"/>
                <w:sz w:val="20"/>
              </w:rPr>
              <w:t>временско правило одлучивања</w:t>
            </w:r>
          </w:p>
        </w:tc>
      </w:tr>
      <w:tr>
        <w:trPr>
          <w:cantSplit/>
        </w:trPr>
        <w:tc>
          <w:tcPr>
            <w:tcW w:type="dxa" w:w="4394"/>
          </w:tcPr>
          <w:p>
            <w:pPr>
              <w:spacing w:after="40"/>
            </w:pPr>
            <w:r>
              <w:rPr>
                <w:rFonts w:ascii="Courier New" w:hAnsi="Courier New"/>
                <w:sz w:val="18"/>
              </w:rPr>
              <w:t>asd_events.c</w:t>
            </w:r>
          </w:p>
        </w:tc>
        <w:tc>
          <w:tcPr>
            <w:tcW w:type="dxa" w:w="4394"/>
          </w:tcPr>
          <w:p>
            <w:pPr>
              <w:spacing w:after="40"/>
            </w:pPr>
            <w:r>
              <w:rPr>
                <w:rFonts w:ascii="Times New Roman" w:hAnsi="Times New Roman"/>
                <w:b w:val="0"/>
                <w:sz w:val="20"/>
              </w:rPr>
              <w:t>семантика догађаја и стања</w:t>
            </w:r>
          </w:p>
        </w:tc>
      </w:tr>
      <w:tr>
        <w:trPr>
          <w:cantSplit/>
        </w:trPr>
        <w:tc>
          <w:tcPr>
            <w:tcW w:type="dxa" w:w="4394"/>
          </w:tcPr>
          <w:p>
            <w:pPr>
              <w:spacing w:after="40"/>
            </w:pPr>
            <w:r>
              <w:rPr>
                <w:rFonts w:ascii="Courier New" w:hAnsi="Courier New"/>
                <w:sz w:val="18"/>
              </w:rPr>
              <w:t>asd_operator.c</w:t>
            </w:r>
          </w:p>
        </w:tc>
        <w:tc>
          <w:tcPr>
            <w:tcW w:type="dxa" w:w="4394"/>
          </w:tcPr>
          <w:p>
            <w:pPr>
              <w:spacing w:after="40"/>
            </w:pPr>
            <w:r>
              <w:rPr>
                <w:rFonts w:ascii="Times New Roman" w:hAnsi="Times New Roman"/>
                <w:b w:val="0"/>
                <w:sz w:val="20"/>
              </w:rPr>
              <w:t>тастер, диоде и оператерски ток</w:t>
            </w:r>
          </w:p>
        </w:tc>
      </w:tr>
    </w:tbl>
    <w:p>
      <w:pPr>
        <w:spacing w:after="80"/>
      </w:pPr>
    </w:p>
    <w:p>
      <w:pPr>
        <w:pStyle w:val="BodyText"/>
        <w:ind w:firstLine="0"/>
      </w:pPr>
      <w:r>
        <w:rPr>
          <w:rFonts w:ascii="Times New Roman" w:hAnsi="Times New Roman"/>
          <w:b w:val="0"/>
          <w:sz w:val="22"/>
        </w:rPr>
        <w:t>Фирмвер је писан за окружење ESP-IDF [9]. Сваки модул који доноси одлуку има парњака у тестовима на рачунару, који се преко сучеља за позивање функција из дијељене библиотеке пореди са референтном имплементацијом у Pythonu. Тиме се избјегава ситуација у којој се иста логика непримјетно разилази између двије имплементације.</w:t>
      </w:r>
    </w:p>
    <w:p>
      <w:pPr>
        <w:pStyle w:val="Heading2"/>
      </w:pPr>
      <w:r>
        <w:rPr>
          <w:rFonts w:ascii="Arial" w:hAnsi="Arial"/>
          <w:b/>
          <w:sz w:val="28"/>
        </w:rPr>
        <w:t>5.6. Телеметрија и запис мјерења</w:t>
      </w:r>
    </w:p>
    <w:p>
      <w:pPr>
        <w:pStyle w:val="BodyText"/>
      </w:pPr>
      <w:r>
        <w:rPr>
          <w:rFonts w:ascii="Times New Roman" w:hAnsi="Times New Roman"/>
          <w:b w:val="0"/>
          <w:sz w:val="22"/>
        </w:rPr>
        <w:t>Уређај током рада преко серијске везе емитује структурисане записе са изричитом ознаком верзије протокола. Записи покривају квалитет сигнала, стање и прелазе између стања, догађаје, присуство машине, временску одлуку, капију поузданости и сажетак калибрације. Рачунар те записе само прима и провјерава; он не учествује у одлучивању.</w:t>
      </w:r>
    </w:p>
    <w:p>
      <w:pPr>
        <w:pStyle w:val="BodyText"/>
      </w:pPr>
      <w:r>
        <w:rPr>
          <w:rFonts w:ascii="Times New Roman" w:hAnsi="Times New Roman"/>
          <w:b w:val="0"/>
          <w:sz w:val="22"/>
        </w:rPr>
        <w:t>Недостајуће обавезно поље, неисправна вриједност или редослијед парсираних протоколарних записа обарају валидност мјерења. Дијагностички текст изван тог уговора може остати непарсиран, као запис CALTRIM. Зато празан списак грешака не доказује провјеру сваке линије серијског излаза.</w:t>
      </w:r>
    </w:p>
    <w:p>
      <w:pPr>
        <w:pStyle w:val="BodyText"/>
      </w:pPr>
      <w:r>
        <w:rPr>
          <w:rFonts w:ascii="Times New Roman" w:hAnsi="Times New Roman"/>
          <w:b w:val="0"/>
          <w:sz w:val="22"/>
        </w:rPr>
        <w:t>Ти подаци омогућавају накнадну анализу обиљежја без новог снимања, уз провјеру потпуности манифеста. Не замјењују сирови звук при измјени фронтенда, нити представљају ново физичко мјерење.</w:t>
      </w:r>
    </w:p>
    <w:p>
      <w:pPr>
        <w:spacing w:before="0" w:after="0" w:line="20" w:lineRule="exact"/>
      </w:pPr>
      <w:r>
        <w:rPr>
          <w:sz w:val="2"/>
        </w:rPr>
        <w:br w:type="page"/>
      </w:r>
    </w:p>
    <w:p>
      <w:pPr>
        <w:pStyle w:val="Heading1"/>
      </w:pPr>
      <w:r>
        <w:rPr>
          <w:rFonts w:ascii="Arial" w:hAnsi="Arial"/>
          <w:b/>
          <w:sz w:val="32"/>
        </w:rPr>
        <w:t>6. ПРОТОКОЛ МЈЕРЕЊА И ПОЛИТИКЕ ОДЛУЧИВАЊА</w:t>
      </w:r>
    </w:p>
    <w:p>
      <w:pPr>
        <w:pStyle w:val="BodyText"/>
      </w:pPr>
      <w:r>
        <w:rPr>
          <w:rFonts w:ascii="Times New Roman" w:hAnsi="Times New Roman"/>
          <w:b w:val="0"/>
          <w:sz w:val="22"/>
        </w:rPr>
        <w:t>Ово поглавље описује правила по којима уређај доноси одлуке и правила по којима се мјерења проглашавају валидним. Она су настала као одговор на конкретне измјерене проблеме, па је уз свако правило наведен и разлог његовог постојања.</w:t>
      </w:r>
    </w:p>
    <w:p>
      <w:pPr>
        <w:pStyle w:val="Heading2"/>
      </w:pPr>
      <w:r>
        <w:rPr>
          <w:rFonts w:ascii="Arial" w:hAnsi="Arial"/>
          <w:b/>
          <w:sz w:val="28"/>
        </w:rPr>
        <w:t>6.1. Зашто је политика прага постала главни проблем</w:t>
      </w:r>
    </w:p>
    <w:p>
      <w:pPr>
        <w:pStyle w:val="BodyText"/>
      </w:pPr>
      <w:r>
        <w:rPr>
          <w:rFonts w:ascii="Times New Roman" w:hAnsi="Times New Roman"/>
          <w:b w:val="0"/>
          <w:sz w:val="22"/>
        </w:rPr>
        <w:t>Први тест на стварном вентилатору показао је раздвајање између изазване промјене протока и нормалног рада са AUC 0,999, дакле скоро савршено рангирање. Истовремено је 54 од 60 прозора нормалног рада било изнад прага, дакле 90 % лажних узбуна. Рангирање и политика прага су двије различите ствари, и то мјерење их је први пут раздвојило.</w:t>
      </w:r>
    </w:p>
    <w:p>
      <w:pPr>
        <w:pStyle w:val="BodyText"/>
      </w:pPr>
      <w:r>
        <w:rPr>
          <w:rFonts w:ascii="Times New Roman" w:hAnsi="Times New Roman"/>
          <w:b w:val="0"/>
          <w:sz w:val="22"/>
        </w:rPr>
        <w:t>Калибрација је обухватила 100 s звука, а каснији нормални прозори прелазе тако изведен праг. Анализе биљеже осјетљивост уских спектралних трака и разлику прагова до шеснаест пута између понављања. Промјенљив звук, положај поставке и коваријанса могу доприносити тој осјетљивости; експерименти не издвајају јединствен физички узрок.</w:t>
      </w:r>
    </w:p>
    <w:p>
      <w:pPr>
        <w:pStyle w:val="BodyText"/>
      </w:pPr>
      <w:r>
        <w:rPr>
          <w:rFonts w:ascii="Times New Roman" w:hAnsi="Times New Roman"/>
          <w:b w:val="0"/>
          <w:sz w:val="22"/>
        </w:rPr>
        <w:t xml:space="preserve">Из тога слиједи правило које је усвојено и није се мијењало: праг се изводи из одвојеног, довољно дугог периода у којем су присутна само нормална стања, замрзава се прије било каквог излагања изазваној промјени, и </w:t>
      </w:r>
      <w:r>
        <w:rPr>
          <w:rFonts w:ascii="Times New Roman" w:hAnsi="Times New Roman"/>
          <w:b/>
          <w:sz w:val="22"/>
        </w:rPr>
        <w:t>не подешава се накнадно</w:t>
      </w:r>
      <w:r>
        <w:rPr>
          <w:rFonts w:ascii="Times New Roman" w:hAnsi="Times New Roman"/>
          <w:b w:val="0"/>
          <w:sz w:val="22"/>
        </w:rPr>
        <w:t>. Ако провјера падне, мјерење се одбацује, а не праг.</w:t>
      </w:r>
    </w:p>
    <w:p>
      <w:pPr>
        <w:pStyle w:val="Heading2"/>
      </w:pPr>
      <w:r>
        <w:rPr>
          <w:rFonts w:ascii="Arial" w:hAnsi="Arial"/>
          <w:b/>
          <w:sz w:val="28"/>
        </w:rPr>
        <w:t>6.2. Капија квалитета калибрације</w:t>
      </w:r>
    </w:p>
    <w:p>
      <w:pPr>
        <w:pStyle w:val="BodyText"/>
      </w:pPr>
      <w:r>
        <w:rPr>
          <w:rFonts w:ascii="Times New Roman" w:hAnsi="Times New Roman"/>
          <w:b w:val="0"/>
          <w:sz w:val="22"/>
        </w:rPr>
        <w:t>Први филтер примјењује се на саму калибрацију. Над десет калибрационих исјечака рачуна се оцјена сваког исјечка у односу на центар добијен из преосталих девет, чиме се добија мјера унутрашње усаглашености. Ако је коефицијент варијације тих оцјена већи од 0,6, калибрација се одбија.</w:t>
      </w:r>
    </w:p>
    <w:p>
      <w:pPr>
        <w:pStyle w:val="BodyText"/>
      </w:pPr>
      <w:r>
        <w:rPr>
          <w:rFonts w:ascii="Times New Roman" w:hAnsi="Times New Roman"/>
          <w:b w:val="0"/>
          <w:sz w:val="22"/>
        </w:rPr>
        <w:t>У анализираним одбијеним калибрацијама највећи допринос долази из једног исјечка и уске траке око 66–75 Hz. Расипање те траке износи око 0,08 јединица обиљежја у прихваћеном, а 0,23–0,33 у одбијеним записима. Одступање од приближно 0,7 прати велики пораст оцјене. Без тахометра тај појас не треба изједначити са потврђеном фреквенцијом обртања, нити опажено одступање тумачити као општи праг осјетљивости.</w:t>
      </w:r>
    </w:p>
    <w:p>
      <w:pPr>
        <w:pStyle w:val="BodyText"/>
      </w:pPr>
      <w:r>
        <w:rPr>
          <w:rFonts w:ascii="Times New Roman" w:hAnsi="Times New Roman"/>
          <w:b w:val="0"/>
          <w:sz w:val="22"/>
        </w:rPr>
        <w:t>Разлог те осјетљивости је што је коваријанса научена на другим вентилаторима и у тој траци има врло малу варијансу, па Махаланобисова удаљеност тамо кажњава несразмјерно. То је својство методе и тако се и пријављује.</w:t>
      </w:r>
    </w:p>
    <w:p>
      <w:pPr>
        <w:pStyle w:val="BodyText"/>
      </w:pPr>
      <w:r>
        <w:rPr>
          <w:rFonts w:ascii="Times New Roman" w:hAnsi="Times New Roman"/>
          <w:b w:val="0"/>
          <w:sz w:val="22"/>
        </w:rPr>
        <w:t xml:space="preserve">Рјешење није било помјерање границе, јер би то укинуло заштиту од тога да центар научи нешто што није нормално стање. Умјесто тога, капији је дозвољено да избаци </w:t>
      </w:r>
      <w:r>
        <w:rPr>
          <w:rFonts w:ascii="Times New Roman" w:hAnsi="Times New Roman"/>
          <w:b/>
          <w:sz w:val="22"/>
        </w:rPr>
        <w:t>највише два</w:t>
      </w:r>
      <w:r>
        <w:rPr>
          <w:rFonts w:ascii="Times New Roman" w:hAnsi="Times New Roman"/>
          <w:b w:val="0"/>
          <w:sz w:val="22"/>
        </w:rPr>
        <w:t xml:space="preserve"> најгора калибрациона исјечка, уз поновно рачунање центра и свих оцјена послије сваког избацивања. Преостали исјечци морају проћи исту, непромијењену границу. Трећа нестабилност обара калибрацију као и раније, а свако избацивање се записује у телеметрију.</w:t>
      </w:r>
    </w:p>
    <w:p>
      <w:pPr>
        <w:pStyle w:val="Heading2"/>
      </w:pPr>
      <w:r>
        <w:rPr>
          <w:rFonts w:ascii="Arial" w:hAnsi="Arial"/>
          <w:b/>
          <w:sz w:val="28"/>
        </w:rPr>
        <w:t>6.3. Извођење и провјера прага</w:t>
      </w:r>
    </w:p>
    <w:p>
      <w:pPr>
        <w:pStyle w:val="BodyText"/>
      </w:pPr>
      <w:r>
        <w:rPr>
          <w:rFonts w:ascii="Times New Roman" w:hAnsi="Times New Roman"/>
          <w:b w:val="0"/>
          <w:sz w:val="22"/>
        </w:rPr>
        <w:t>Послије прихваћене калибрације уређај прикупља 44 прозора у којима су присутна само нормална стања. Из расподјеле оцјена тих прозора изводе се два прага: праг уласка у аларм као емпиријски 99. перцентил, и праг изласка као 95. перцентил, ограничен одоздо медијаном а одозго на половину прага уласка. Центар остаје онај који је капија квалитета прихватила; не мијења се у овој фази.</w:t>
      </w:r>
    </w:p>
    <w:p>
      <w:pPr>
        <w:pStyle w:val="BodyText"/>
      </w:pPr>
      <w:r>
        <w:rPr>
          <w:rFonts w:ascii="Times New Roman" w:hAnsi="Times New Roman"/>
          <w:b w:val="0"/>
          <w:sz w:val="22"/>
        </w:rPr>
        <w:t>Ограничење излазног прага утиче на задржавање аларма: нижи излазни праг отежава излазак и може продужити епизоду. Ако медијана DERIVE оцјена премаши половину улазног прага, фирмвер одбија некомпатибилне границе. У завршном тесту тоном опоравак није измјерен, па ово правило није потврда опоравка послије сваке промјене.</w:t>
      </w:r>
    </w:p>
    <w:p>
      <w:pPr>
        <w:pStyle w:val="BodyText"/>
      </w:pPr>
      <w:r>
        <w:rPr>
          <w:rFonts w:ascii="Times New Roman" w:hAnsi="Times New Roman"/>
          <w:b w:val="0"/>
          <w:sz w:val="22"/>
        </w:rPr>
        <w:t xml:space="preserve">Изведени праг се затим провјерава на 22 додатна, </w:t>
      </w:r>
      <w:r>
        <w:rPr>
          <w:rFonts w:ascii="Times New Roman" w:hAnsi="Times New Roman"/>
          <w:b/>
          <w:sz w:val="22"/>
        </w:rPr>
        <w:t>временски каснија</w:t>
      </w:r>
      <w:r>
        <w:rPr>
          <w:rFonts w:ascii="Times New Roman" w:hAnsi="Times New Roman"/>
          <w:b w:val="0"/>
          <w:sz w:val="22"/>
        </w:rPr>
        <w:t xml:space="preserve"> нормална прозора. Провјера је строга: ниједан аларм није дозвољен. Ако се аларм појави, калибрација се одбија са изричитим разлогом и уређај не прелази у надзор.</w:t>
      </w:r>
    </w:p>
    <w:p>
      <w:pPr>
        <w:pStyle w:val="BodyText"/>
      </w:pPr>
      <w:r>
        <w:rPr>
          <w:rFonts w:ascii="Times New Roman" w:hAnsi="Times New Roman"/>
          <w:b w:val="0"/>
          <w:sz w:val="22"/>
        </w:rPr>
        <w:t>Та провјера није формалност. Током развоја је испробано робусније правило прага, засновано на медијани и медијани апсолутног одступања, са емпиријским перцентилом као горњом границом. На плочици је то правило дало праг од 791, док су нормални прозори у истој сесији били између 2083 и 7766. Провјера је калибрацију одбила прије него што је настао иједан прозор надзора. Узрок је што медијана апсолутног одступања описује само тијело расподјеле, а реп расподјеле код овог вентилатора је знатно дужи од троструке робусне девијације, па робусна граница сјече испод нормалног радног опсега. Емпиријски перцентил тај реп поштује јер се рачуна из стварних вриједности.</w:t>
      </w:r>
    </w:p>
    <w:p>
      <w:pPr>
        <w:pStyle w:val="BodyText"/>
      </w:pPr>
      <w:r>
        <w:rPr>
          <w:rFonts w:ascii="Times New Roman" w:hAnsi="Times New Roman"/>
          <w:b w:val="0"/>
          <w:sz w:val="22"/>
        </w:rPr>
        <w:t>Робусно правило је послије тога уклоњено из коначног тока, али је задржано у спремишту са својим тестом, да би овај негативан резултат могао да се понови.</w:t>
      </w:r>
    </w:p>
    <w:p>
      <w:pPr>
        <w:pStyle w:val="Heading2"/>
      </w:pPr>
      <w:r>
        <w:rPr>
          <w:rFonts w:ascii="Arial" w:hAnsi="Arial"/>
          <w:b/>
          <w:sz w:val="28"/>
        </w:rPr>
        <w:t>6.4. Капија поузданости</w:t>
      </w:r>
    </w:p>
    <w:p>
      <w:pPr>
        <w:pStyle w:val="BodyText"/>
      </w:pPr>
      <w:r>
        <w:rPr>
          <w:rFonts w:ascii="Times New Roman" w:hAnsi="Times New Roman"/>
          <w:b w:val="0"/>
          <w:sz w:val="22"/>
        </w:rPr>
        <w:t>Прозор од 10 s дијели се на пет потпрозора са сопственим обиљежјима. Када укупна оцјена премаши улазни праг и потпрозори се превише разликују, капија означава прозор као непоуздан. HOLD прекида низ узастопних прекорачења. За оцјене испод или на улазном прагу ова капија не уводи HOLD, па није општи филтер свих нестабилних прозора.</w:t>
      </w:r>
    </w:p>
    <w:p>
      <w:pPr>
        <w:pStyle w:val="BodyText"/>
      </w:pPr>
      <w:r>
        <w:rPr>
          <w:rFonts w:ascii="Times New Roman" w:hAnsi="Times New Roman"/>
          <w:b w:val="0"/>
          <w:sz w:val="22"/>
        </w:rPr>
        <w:t>Граница те нестабилности изводи се по сесији, као највећа измјерена нестабилност међу десет калибрационих прозора помножена са 1,25. Ранији покушај са апсолутном границом није радио, јер је граница носила скалу претходног положаја микрофона и престајала да важи чим се поставка промијени.</w:t>
      </w:r>
    </w:p>
    <w:p>
      <w:pPr>
        <w:pStyle w:val="BodyText"/>
      </w:pPr>
      <w:r>
        <w:rPr>
          <w:rFonts w:ascii="Times New Roman" w:hAnsi="Times New Roman"/>
          <w:b w:val="0"/>
          <w:sz w:val="22"/>
        </w:rPr>
        <w:t xml:space="preserve">Ово стање има јасно одређено значење и једнако јасно одређена ограничења. Оно суспендује грађење аларма, али </w:t>
      </w:r>
      <w:r>
        <w:rPr>
          <w:rFonts w:ascii="Times New Roman" w:hAnsi="Times New Roman"/>
          <w:b/>
          <w:sz w:val="22"/>
        </w:rPr>
        <w:t>не брише</w:t>
      </w:r>
      <w:r>
        <w:rPr>
          <w:rFonts w:ascii="Times New Roman" w:hAnsi="Times New Roman"/>
          <w:b w:val="0"/>
          <w:sz w:val="22"/>
        </w:rPr>
        <w:t xml:space="preserve"> већ активан аларм и </w:t>
      </w:r>
      <w:r>
        <w:rPr>
          <w:rFonts w:ascii="Times New Roman" w:hAnsi="Times New Roman"/>
          <w:b/>
          <w:sz w:val="22"/>
        </w:rPr>
        <w:t>не мијења</w:t>
      </w:r>
      <w:r>
        <w:rPr>
          <w:rFonts w:ascii="Times New Roman" w:hAnsi="Times New Roman"/>
          <w:b w:val="0"/>
          <w:sz w:val="22"/>
        </w:rPr>
        <w:t xml:space="preserve"> научени центар ни праг. Уређај притом не тврди шта је изазвало нестабилност. Један микрофон не може разликовати говор од ударца или од промјене на машини, и систем који би то тврдио давао би дијагнозу без доказа. Ако нестабилност потраје шест узастопних прозора, издаје се упозорење да надзор дуже вријеме није поуздан, што је тврдња коју један микрофон јесте у стању да подржи.</w:t>
      </w:r>
    </w:p>
    <w:p>
      <w:pPr>
        <w:pStyle w:val="Heading2"/>
      </w:pPr>
      <w:r>
        <w:rPr>
          <w:rFonts w:ascii="Arial" w:hAnsi="Arial"/>
          <w:b/>
          <w:sz w:val="28"/>
        </w:rPr>
        <w:t>6.5. Временско правило и семантика догађаја</w:t>
      </w:r>
    </w:p>
    <w:p>
      <w:pPr>
        <w:pStyle w:val="BodyText"/>
      </w:pPr>
      <w:r>
        <w:rPr>
          <w:rFonts w:ascii="Times New Roman" w:hAnsi="Times New Roman"/>
          <w:b w:val="0"/>
          <w:sz w:val="22"/>
        </w:rPr>
        <w:t>Аларм се подиже послије три узастопне поуздане оцјене строго веће од улазног прага, а гаси се када оцјена буде мања или једнака излазном прагу. Трајно одступање пријављује се на дванаестом мјереном алармном прозору, укључујући прозор уласка. HOLD паузира бројач, па дванаест прозора није нужно два минута непрекидног зидног времена.</w:t>
      </w:r>
    </w:p>
    <w:p>
      <w:pPr>
        <w:pStyle w:val="BodyText"/>
      </w:pPr>
      <w:r>
        <w:rPr>
          <w:rFonts w:ascii="Times New Roman" w:hAnsi="Times New Roman"/>
          <w:b w:val="0"/>
          <w:sz w:val="22"/>
        </w:rPr>
        <w:t>Намјерно се разликује трајно акустичко одступање од терминалног проблема. Терминално стање резервисано је за грешку сензора или тока: истекло вријеме чекања на звук, вриједност која није коначан број, губитак присуства машине или одбијена калибрација. Дуготрајна акустичка промјена пријављује се као аномалија са ознаком непознате промјене.</w:t>
      </w:r>
    </w:p>
    <w:p>
      <w:pPr>
        <w:pStyle w:val="BodyText"/>
      </w:pPr>
      <w:r>
        <w:rPr>
          <w:rFonts w:ascii="Times New Roman" w:hAnsi="Times New Roman"/>
          <w:b w:val="0"/>
          <w:sz w:val="22"/>
        </w:rPr>
        <w:t>Разлог за ту подјелу је принципијелан. Један микрофон може потврдити да се промјена одржава, али не може доказати да је узрок механички квар. Уређај који би лампицу „квар“ палио на основу звука тврдио би више него што је измјерио.</w:t>
      </w:r>
    </w:p>
    <w:p>
      <w:pPr>
        <w:pStyle w:val="Heading2"/>
      </w:pPr>
      <w:r>
        <w:rPr>
          <w:rFonts w:ascii="Arial" w:hAnsi="Arial"/>
          <w:b/>
          <w:sz w:val="28"/>
        </w:rPr>
        <w:t>6.6. Протокол физичког мјерења</w:t>
      </w:r>
    </w:p>
    <w:p>
      <w:pPr>
        <w:pStyle w:val="BodyText"/>
      </w:pPr>
      <w:r>
        <w:rPr>
          <w:rFonts w:ascii="Times New Roman" w:hAnsi="Times New Roman"/>
          <w:b w:val="0"/>
          <w:sz w:val="22"/>
        </w:rPr>
        <w:t>Физичка мјерења изводе се по унапријед закључаном протоколу. Оператер потврђује поставку, покреће мјерење, а затим редом означава услове: нормалну основу, изазвану промјену, опоравак, амбијенталне сметње и завршни опоравак. Ознаке услова уписују се на рачунару у тренутку када оператер унесе команду.</w:t>
      </w:r>
    </w:p>
    <w:p>
      <w:pPr>
        <w:pStyle w:val="BodyText"/>
      </w:pPr>
      <w:r>
        <w:rPr>
          <w:rFonts w:ascii="Times New Roman" w:hAnsi="Times New Roman"/>
          <w:b w:val="0"/>
          <w:sz w:val="22"/>
        </w:rPr>
        <w:t>Хост означава наредни DET запис послије сваке промјене услова као прелазни. Такви прозори, непотврђени услови и невалидни протоколарни записи изостављају се из метрика. Не одбацују се аутоматски и први и посљедњи прозор сваког блока. Ознаке се везују за вријеме пријема телеметрије, па остаје несигурност синхронизације са стварном побудом.</w:t>
      </w:r>
    </w:p>
    <w:p>
      <w:pPr>
        <w:pStyle w:val="BodyText"/>
      </w:pPr>
      <w:r>
        <w:rPr>
          <w:rFonts w:ascii="Times New Roman" w:hAnsi="Times New Roman"/>
          <w:b w:val="0"/>
          <w:sz w:val="22"/>
        </w:rPr>
        <w:t>Уз свако мјерење чува се потпуна евиденција поријекла: идентификатор измјене изворног кода, контролна сума разлике у односу на ту измјену, контролна сума сваког изворног фајла који учествује у одлуци, контролна сума бинарног фајла фирмвера, сирови бајтови са серијске везе и изведене табеле. Тиме се свако мјерење може накнадно везати за тачно одређено стање система.</w:t>
      </w:r>
    </w:p>
    <w:p>
      <w:pPr>
        <w:spacing w:before="0" w:after="0" w:line="20" w:lineRule="exact"/>
      </w:pPr>
      <w:r>
        <w:rPr>
          <w:sz w:val="2"/>
        </w:rPr>
        <w:br w:type="page"/>
      </w:r>
    </w:p>
    <w:p>
      <w:pPr>
        <w:pStyle w:val="Heading1"/>
      </w:pPr>
      <w:r>
        <w:rPr>
          <w:rFonts w:ascii="Arial" w:hAnsi="Arial"/>
          <w:b/>
          <w:sz w:val="32"/>
        </w:rPr>
        <w:t>7. РЕЗУЛТАТИ</w:t>
      </w:r>
    </w:p>
    <w:p>
      <w:pPr>
        <w:pStyle w:val="BodyText"/>
      </w:pPr>
      <w:r>
        <w:rPr>
          <w:rFonts w:ascii="Times New Roman" w:hAnsi="Times New Roman"/>
          <w:b w:val="0"/>
          <w:sz w:val="22"/>
        </w:rPr>
        <w:t>Резултати се пријављују у три одвојена нивоа: на референтном скупу података, на уређају уз репродукцију звука преко звучника, и на стварном вентилатору. Та три нивоа се не смију мијешати јер мјере различите ствари, а разлике међу њима су саме по себи налаз.</w:t>
      </w:r>
    </w:p>
    <w:p>
      <w:pPr>
        <w:pStyle w:val="Heading2"/>
      </w:pPr>
      <w:r>
        <w:rPr>
          <w:rFonts w:ascii="Arial" w:hAnsi="Arial"/>
          <w:b/>
          <w:sz w:val="28"/>
        </w:rPr>
        <w:t>7.1. Референтни скуп података</w:t>
      </w:r>
    </w:p>
    <w:p>
      <w:pPr>
        <w:pStyle w:val="BodyText"/>
      </w:pPr>
      <w:r>
        <w:rPr>
          <w:rFonts w:ascii="Times New Roman" w:hAnsi="Times New Roman"/>
          <w:b w:val="0"/>
          <w:sz w:val="22"/>
        </w:rPr>
        <w:t>Развојни скуп DCASE 2026 састављен је од снимака стварних индустријских машина [3] и минијатурних машина из скупа ToyADMOS2 [6], па обухвата и доменски помак који се у раду мјери. Обрада на рачунару ослања се на библиотеке SciPy [12] за спектралну процјену и сцикит-леарн [11] за процјену коваријансе. Канонска евалуација пореди три обиљежја под истим оцјењивачем, на сто унапријед одређених подјела, са 20 исјечака за локалну калибрацију. Аномални исјечци се учитавају тек у завршној фази, послије замрзавања листе метода, подјела и модела. Поступак се прекида ако открије аномалију у кохорти за обуку или преклапање калибрационих и оцјењиваних исјечака. Резултати су у Табели 7.1.</w:t>
      </w:r>
    </w:p>
    <w:p>
      <w:pPr>
        <w:pStyle w:val="Potpistabele"/>
        <w:keepNext/>
        <w:spacing w:before="200" w:after="60"/>
        <w:jc w:val="center"/>
      </w:pPr>
      <w:r>
        <w:rPr>
          <w:rFonts w:ascii="Times New Roman" w:hAnsi="Times New Roman"/>
          <w:b w:val="0"/>
          <w:sz w:val="22"/>
        </w:rPr>
        <w:t>Табела 7.1. Канонска евалуација: AUC по машини и обиљежју (</w:t>
      </w:r>
      <w:r>
        <w:rPr>
          <w:rFonts w:ascii="Times New Roman" w:hAnsi="Times New Roman"/>
          <w:i/>
          <w:sz w:val="22"/>
        </w:rPr>
        <w:t>k</w:t>
      </w:r>
      <w:r>
        <w:rPr>
          <w:rFonts w:ascii="Times New Roman" w:hAnsi="Times New Roman"/>
          <w:b w:val="0"/>
          <w:sz w:val="22"/>
        </w:rPr>
        <w:t xml:space="preserve"> = 20, 100 подјела)</w:t>
      </w:r>
    </w:p>
    <w:tbl>
      <w:tblPr>
        <w:tblStyle w:val="TableGrid"/>
        <w:tblW w:type="auto" w:w="0"/>
        <w:jc w:val="center"/>
        <w:tblLook w:firstColumn="1" w:firstRow="1" w:lastColumn="0" w:lastRow="0" w:noHBand="0" w:noVBand="1" w:val="04A0"/>
      </w:tblPr>
      <w:tblGrid>
        <w:gridCol w:w="2197"/>
        <w:gridCol w:w="2197"/>
        <w:gridCol w:w="2197"/>
        <w:gridCol w:w="2197"/>
      </w:tblGrid>
      <w:tr>
        <w:trPr>
          <w:tblHeader/>
        </w:trPr>
        <w:tc>
          <w:tcPr>
            <w:tcW w:type="dxa" w:w="2197"/>
          </w:tcPr>
          <w:p>
            <w:pPr>
              <w:keepNext/>
              <w:spacing w:after="40"/>
              <w:jc w:val="center"/>
            </w:pPr>
            <w:r>
              <w:rPr>
                <w:rFonts w:ascii="Times New Roman" w:hAnsi="Times New Roman"/>
                <w:b/>
                <w:sz w:val="20"/>
              </w:rPr>
              <w:t>Машина</w:t>
            </w:r>
          </w:p>
        </w:tc>
        <w:tc>
          <w:tcPr>
            <w:tcW w:type="dxa" w:w="2197"/>
          </w:tcPr>
          <w:p>
            <w:pPr>
              <w:keepNext/>
              <w:spacing w:after="40"/>
              <w:jc w:val="center"/>
            </w:pPr>
            <w:r>
              <w:rPr>
                <w:rFonts w:ascii="Courier New" w:hAnsi="Courier New"/>
                <w:sz w:val="18"/>
              </w:rPr>
              <w:t>psd_shape</w:t>
            </w:r>
          </w:p>
        </w:tc>
        <w:tc>
          <w:tcPr>
            <w:tcW w:type="dxa" w:w="2197"/>
          </w:tcPr>
          <w:p>
            <w:pPr>
              <w:keepNext/>
              <w:spacing w:after="40"/>
              <w:jc w:val="center"/>
            </w:pPr>
            <w:r>
              <w:rPr>
                <w:rFonts w:ascii="Courier New" w:hAnsi="Courier New"/>
                <w:sz w:val="18"/>
              </w:rPr>
              <w:t>mel1280</w:t>
            </w:r>
          </w:p>
        </w:tc>
        <w:tc>
          <w:tcPr>
            <w:tcW w:type="dxa" w:w="2197"/>
          </w:tcPr>
          <w:p>
            <w:pPr>
              <w:keepNext/>
              <w:spacing w:after="40"/>
              <w:jc w:val="center"/>
            </w:pPr>
            <w:r>
              <w:rPr>
                <w:rFonts w:ascii="Courier New" w:hAnsi="Courier New"/>
                <w:sz w:val="18"/>
              </w:rPr>
              <w:t>mel256</w:t>
            </w:r>
          </w:p>
        </w:tc>
      </w:tr>
      <w:tr>
        <w:trPr>
          <w:cantSplit/>
        </w:trPr>
        <w:tc>
          <w:tcPr>
            <w:tcW w:type="dxa" w:w="2197"/>
          </w:tcPr>
          <w:p>
            <w:pPr>
              <w:spacing w:after="40"/>
            </w:pPr>
            <w:r>
              <w:rPr>
                <w:rFonts w:ascii="Times New Roman" w:hAnsi="Times New Roman"/>
                <w:b/>
                <w:sz w:val="20"/>
              </w:rPr>
              <w:t>fan</w:t>
            </w:r>
          </w:p>
        </w:tc>
        <w:tc>
          <w:tcPr>
            <w:tcW w:type="dxa" w:w="2197"/>
          </w:tcPr>
          <w:p>
            <w:pPr>
              <w:spacing w:after="40"/>
              <w:jc w:val="right"/>
            </w:pPr>
            <w:r>
              <w:rPr>
                <w:rFonts w:ascii="Times New Roman" w:hAnsi="Times New Roman"/>
                <w:b/>
                <w:sz w:val="20"/>
              </w:rPr>
              <w:t>0,867 ± 0,027</w:t>
            </w:r>
          </w:p>
        </w:tc>
        <w:tc>
          <w:tcPr>
            <w:tcW w:type="dxa" w:w="2197"/>
          </w:tcPr>
          <w:p>
            <w:pPr>
              <w:spacing w:after="40"/>
              <w:jc w:val="right"/>
            </w:pPr>
            <w:r>
              <w:rPr>
                <w:rFonts w:ascii="Times New Roman" w:hAnsi="Times New Roman"/>
                <w:b w:val="0"/>
                <w:sz w:val="20"/>
              </w:rPr>
              <w:t>0,627 ± 0,035</w:t>
            </w:r>
          </w:p>
        </w:tc>
        <w:tc>
          <w:tcPr>
            <w:tcW w:type="dxa" w:w="2197"/>
          </w:tcPr>
          <w:p>
            <w:pPr>
              <w:spacing w:after="40"/>
              <w:jc w:val="right"/>
            </w:pPr>
            <w:r>
              <w:rPr>
                <w:rFonts w:ascii="Times New Roman" w:hAnsi="Times New Roman"/>
                <w:b w:val="0"/>
                <w:sz w:val="20"/>
              </w:rPr>
              <w:t>0,590 ± 0,034</w:t>
            </w:r>
          </w:p>
        </w:tc>
      </w:tr>
      <w:tr>
        <w:trPr>
          <w:cantSplit/>
        </w:trPr>
        <w:tc>
          <w:tcPr>
            <w:tcW w:type="dxa" w:w="2197"/>
          </w:tcPr>
          <w:p>
            <w:pPr>
              <w:spacing w:after="40"/>
            </w:pPr>
            <w:r>
              <w:rPr>
                <w:rFonts w:ascii="Times New Roman" w:hAnsi="Times New Roman"/>
                <w:b w:val="0"/>
                <w:sz w:val="20"/>
              </w:rPr>
              <w:t>valveEmu</w:t>
            </w:r>
          </w:p>
        </w:tc>
        <w:tc>
          <w:tcPr>
            <w:tcW w:type="dxa" w:w="2197"/>
          </w:tcPr>
          <w:p>
            <w:pPr>
              <w:spacing w:after="40"/>
              <w:jc w:val="right"/>
            </w:pPr>
            <w:r>
              <w:rPr>
                <w:rFonts w:ascii="Times New Roman" w:hAnsi="Times New Roman"/>
                <w:b w:val="0"/>
                <w:sz w:val="20"/>
              </w:rPr>
              <w:t>0,738 ± 0,041</w:t>
            </w:r>
          </w:p>
        </w:tc>
        <w:tc>
          <w:tcPr>
            <w:tcW w:type="dxa" w:w="2197"/>
          </w:tcPr>
          <w:p>
            <w:pPr>
              <w:spacing w:after="40"/>
              <w:jc w:val="right"/>
            </w:pPr>
            <w:r>
              <w:rPr>
                <w:rFonts w:ascii="Times New Roman" w:hAnsi="Times New Roman"/>
                <w:b w:val="0"/>
                <w:sz w:val="20"/>
              </w:rPr>
              <w:t>0,765 ± 0,031</w:t>
            </w:r>
          </w:p>
        </w:tc>
        <w:tc>
          <w:tcPr>
            <w:tcW w:type="dxa" w:w="2197"/>
          </w:tcPr>
          <w:p>
            <w:pPr>
              <w:spacing w:after="40"/>
              <w:jc w:val="right"/>
            </w:pPr>
            <w:r>
              <w:rPr>
                <w:rFonts w:ascii="Times New Roman" w:hAnsi="Times New Roman"/>
                <w:b w:val="0"/>
                <w:sz w:val="20"/>
              </w:rPr>
              <w:t>0,770 ± 0,032</w:t>
            </w:r>
          </w:p>
        </w:tc>
      </w:tr>
      <w:tr>
        <w:trPr>
          <w:cantSplit/>
        </w:trPr>
        <w:tc>
          <w:tcPr>
            <w:tcW w:type="dxa" w:w="2197"/>
          </w:tcPr>
          <w:p>
            <w:pPr>
              <w:spacing w:after="40"/>
            </w:pPr>
            <w:r>
              <w:rPr>
                <w:rFonts w:ascii="Times New Roman" w:hAnsi="Times New Roman"/>
                <w:b w:val="0"/>
                <w:sz w:val="20"/>
              </w:rPr>
              <w:t>sliderEmu</w:t>
            </w:r>
          </w:p>
        </w:tc>
        <w:tc>
          <w:tcPr>
            <w:tcW w:type="dxa" w:w="2197"/>
          </w:tcPr>
          <w:p>
            <w:pPr>
              <w:spacing w:after="40"/>
              <w:jc w:val="right"/>
            </w:pPr>
            <w:r>
              <w:rPr>
                <w:rFonts w:ascii="Times New Roman" w:hAnsi="Times New Roman"/>
                <w:b w:val="0"/>
                <w:sz w:val="20"/>
              </w:rPr>
              <w:t>0,585 ± 0,030</w:t>
            </w:r>
          </w:p>
        </w:tc>
        <w:tc>
          <w:tcPr>
            <w:tcW w:type="dxa" w:w="2197"/>
          </w:tcPr>
          <w:p>
            <w:pPr>
              <w:spacing w:after="40"/>
              <w:jc w:val="right"/>
            </w:pPr>
            <w:r>
              <w:rPr>
                <w:rFonts w:ascii="Times New Roman" w:hAnsi="Times New Roman"/>
                <w:b w:val="0"/>
                <w:sz w:val="20"/>
              </w:rPr>
              <w:t>0,559 ± 0,030</w:t>
            </w:r>
          </w:p>
        </w:tc>
        <w:tc>
          <w:tcPr>
            <w:tcW w:type="dxa" w:w="2197"/>
          </w:tcPr>
          <w:p>
            <w:pPr>
              <w:spacing w:after="40"/>
              <w:jc w:val="right"/>
            </w:pPr>
            <w:r>
              <w:rPr>
                <w:rFonts w:ascii="Times New Roman" w:hAnsi="Times New Roman"/>
                <w:b w:val="0"/>
                <w:sz w:val="20"/>
              </w:rPr>
              <w:t>0,563 ± 0,028</w:t>
            </w:r>
          </w:p>
        </w:tc>
      </w:tr>
      <w:tr>
        <w:trPr>
          <w:cantSplit/>
        </w:trPr>
        <w:tc>
          <w:tcPr>
            <w:tcW w:type="dxa" w:w="2197"/>
          </w:tcPr>
          <w:p>
            <w:pPr>
              <w:spacing w:after="40"/>
            </w:pPr>
            <w:r>
              <w:rPr>
                <w:rFonts w:ascii="Times New Roman" w:hAnsi="Times New Roman"/>
                <w:b w:val="0"/>
                <w:sz w:val="20"/>
              </w:rPr>
              <w:t>gearboxEmu</w:t>
            </w:r>
          </w:p>
        </w:tc>
        <w:tc>
          <w:tcPr>
            <w:tcW w:type="dxa" w:w="2197"/>
          </w:tcPr>
          <w:p>
            <w:pPr>
              <w:spacing w:after="40"/>
              <w:jc w:val="right"/>
            </w:pPr>
            <w:r>
              <w:rPr>
                <w:rFonts w:ascii="Times New Roman" w:hAnsi="Times New Roman"/>
                <w:b w:val="0"/>
                <w:sz w:val="20"/>
              </w:rPr>
              <w:t>0,544 ± 0,040</w:t>
            </w:r>
          </w:p>
        </w:tc>
        <w:tc>
          <w:tcPr>
            <w:tcW w:type="dxa" w:w="2197"/>
          </w:tcPr>
          <w:p>
            <w:pPr>
              <w:spacing w:after="40"/>
              <w:jc w:val="right"/>
            </w:pPr>
            <w:r>
              <w:rPr>
                <w:rFonts w:ascii="Times New Roman" w:hAnsi="Times New Roman"/>
                <w:b w:val="0"/>
                <w:sz w:val="20"/>
              </w:rPr>
              <w:t>0,611 ± 0,048</w:t>
            </w:r>
          </w:p>
        </w:tc>
        <w:tc>
          <w:tcPr>
            <w:tcW w:type="dxa" w:w="2197"/>
          </w:tcPr>
          <w:p>
            <w:pPr>
              <w:spacing w:after="40"/>
              <w:jc w:val="right"/>
            </w:pPr>
            <w:r>
              <w:rPr>
                <w:rFonts w:ascii="Times New Roman" w:hAnsi="Times New Roman"/>
                <w:b w:val="0"/>
                <w:sz w:val="20"/>
              </w:rPr>
              <w:t>0,581 ± 0,047</w:t>
            </w:r>
          </w:p>
        </w:tc>
      </w:tr>
      <w:tr>
        <w:trPr>
          <w:cantSplit/>
        </w:trPr>
        <w:tc>
          <w:tcPr>
            <w:tcW w:type="dxa" w:w="2197"/>
          </w:tcPr>
          <w:p>
            <w:pPr>
              <w:spacing w:after="40"/>
            </w:pPr>
            <w:r>
              <w:rPr>
                <w:rFonts w:ascii="Times New Roman" w:hAnsi="Times New Roman"/>
                <w:b w:val="0"/>
                <w:sz w:val="20"/>
              </w:rPr>
              <w:t>bearingEmu</w:t>
            </w:r>
          </w:p>
        </w:tc>
        <w:tc>
          <w:tcPr>
            <w:tcW w:type="dxa" w:w="2197"/>
          </w:tcPr>
          <w:p>
            <w:pPr>
              <w:spacing w:after="40"/>
              <w:jc w:val="right"/>
            </w:pPr>
            <w:r>
              <w:rPr>
                <w:rFonts w:ascii="Times New Roman" w:hAnsi="Times New Roman"/>
                <w:b w:val="0"/>
                <w:sz w:val="20"/>
              </w:rPr>
              <w:t>0,506 ± 0,027</w:t>
            </w:r>
          </w:p>
        </w:tc>
        <w:tc>
          <w:tcPr>
            <w:tcW w:type="dxa" w:w="2197"/>
          </w:tcPr>
          <w:p>
            <w:pPr>
              <w:spacing w:after="40"/>
              <w:jc w:val="right"/>
            </w:pPr>
            <w:r>
              <w:rPr>
                <w:rFonts w:ascii="Times New Roman" w:hAnsi="Times New Roman"/>
                <w:b w:val="0"/>
                <w:sz w:val="20"/>
              </w:rPr>
              <w:t>0,576 ± 0,026</w:t>
            </w:r>
          </w:p>
        </w:tc>
        <w:tc>
          <w:tcPr>
            <w:tcW w:type="dxa" w:w="2197"/>
          </w:tcPr>
          <w:p>
            <w:pPr>
              <w:spacing w:after="40"/>
              <w:jc w:val="right"/>
            </w:pPr>
            <w:r>
              <w:rPr>
                <w:rFonts w:ascii="Times New Roman" w:hAnsi="Times New Roman"/>
                <w:b w:val="0"/>
                <w:sz w:val="20"/>
              </w:rPr>
              <w:t>0,569 ± 0,026</w:t>
            </w:r>
          </w:p>
        </w:tc>
      </w:tr>
      <w:tr>
        <w:trPr>
          <w:cantSplit/>
        </w:trPr>
        <w:tc>
          <w:tcPr>
            <w:tcW w:type="dxa" w:w="2197"/>
          </w:tcPr>
          <w:p>
            <w:pPr>
              <w:spacing w:after="40"/>
            </w:pPr>
            <w:r>
              <w:rPr>
                <w:rFonts w:ascii="Times New Roman" w:hAnsi="Times New Roman"/>
                <w:b w:val="0"/>
                <w:sz w:val="20"/>
              </w:rPr>
              <w:t>ToyCar</w:t>
            </w:r>
          </w:p>
        </w:tc>
        <w:tc>
          <w:tcPr>
            <w:tcW w:type="dxa" w:w="2197"/>
          </w:tcPr>
          <w:p>
            <w:pPr>
              <w:spacing w:after="40"/>
              <w:jc w:val="right"/>
            </w:pPr>
            <w:r>
              <w:rPr>
                <w:rFonts w:ascii="Times New Roman" w:hAnsi="Times New Roman"/>
                <w:b w:val="0"/>
                <w:sz w:val="20"/>
              </w:rPr>
              <w:t>0,448 ± 0,031</w:t>
            </w:r>
          </w:p>
        </w:tc>
        <w:tc>
          <w:tcPr>
            <w:tcW w:type="dxa" w:w="2197"/>
          </w:tcPr>
          <w:p>
            <w:pPr>
              <w:spacing w:after="40"/>
              <w:jc w:val="right"/>
            </w:pPr>
            <w:r>
              <w:rPr>
                <w:rFonts w:ascii="Times New Roman" w:hAnsi="Times New Roman"/>
                <w:b w:val="0"/>
                <w:sz w:val="20"/>
              </w:rPr>
              <w:t>0,539 ± 0,026</w:t>
            </w:r>
          </w:p>
        </w:tc>
        <w:tc>
          <w:tcPr>
            <w:tcW w:type="dxa" w:w="2197"/>
          </w:tcPr>
          <w:p>
            <w:pPr>
              <w:spacing w:after="40"/>
              <w:jc w:val="right"/>
            </w:pPr>
            <w:r>
              <w:rPr>
                <w:rFonts w:ascii="Times New Roman" w:hAnsi="Times New Roman"/>
                <w:b w:val="0"/>
                <w:sz w:val="20"/>
              </w:rPr>
              <w:t>0,536 ± 0,026</w:t>
            </w:r>
          </w:p>
        </w:tc>
      </w:tr>
      <w:tr>
        <w:trPr>
          <w:cantSplit/>
        </w:trPr>
        <w:tc>
          <w:tcPr>
            <w:tcW w:type="dxa" w:w="2197"/>
          </w:tcPr>
          <w:p>
            <w:pPr>
              <w:spacing w:after="40"/>
            </w:pPr>
            <w:r>
              <w:rPr>
                <w:rFonts w:ascii="Times New Roman" w:hAnsi="Times New Roman"/>
                <w:b w:val="0"/>
                <w:sz w:val="20"/>
              </w:rPr>
              <w:t>ToyCarEmu</w:t>
            </w:r>
          </w:p>
        </w:tc>
        <w:tc>
          <w:tcPr>
            <w:tcW w:type="dxa" w:w="2197"/>
          </w:tcPr>
          <w:p>
            <w:pPr>
              <w:spacing w:after="40"/>
              <w:jc w:val="right"/>
            </w:pPr>
            <w:r>
              <w:rPr>
                <w:rFonts w:ascii="Times New Roman" w:hAnsi="Times New Roman"/>
                <w:b w:val="0"/>
                <w:sz w:val="20"/>
              </w:rPr>
              <w:t>0,376 ± 0,066</w:t>
            </w:r>
          </w:p>
        </w:tc>
        <w:tc>
          <w:tcPr>
            <w:tcW w:type="dxa" w:w="2197"/>
          </w:tcPr>
          <w:p>
            <w:pPr>
              <w:spacing w:after="40"/>
              <w:jc w:val="right"/>
            </w:pPr>
            <w:r>
              <w:rPr>
                <w:rFonts w:ascii="Times New Roman" w:hAnsi="Times New Roman"/>
                <w:b w:val="0"/>
                <w:sz w:val="20"/>
              </w:rPr>
              <w:t>0,552 ± 0,094</w:t>
            </w:r>
          </w:p>
        </w:tc>
        <w:tc>
          <w:tcPr>
            <w:tcW w:type="dxa" w:w="2197"/>
          </w:tcPr>
          <w:p>
            <w:pPr>
              <w:spacing w:after="40"/>
              <w:jc w:val="right"/>
            </w:pPr>
            <w:r>
              <w:rPr>
                <w:rFonts w:ascii="Times New Roman" w:hAnsi="Times New Roman"/>
                <w:b w:val="0"/>
                <w:sz w:val="20"/>
              </w:rPr>
              <w:t>0,518 ± 0,094</w:t>
            </w:r>
          </w:p>
        </w:tc>
      </w:tr>
    </w:tbl>
    <w:p>
      <w:pPr>
        <w:spacing w:after="80"/>
      </w:pPr>
    </w:p>
    <w:p>
      <w:pPr>
        <w:pStyle w:val="BodyText"/>
        <w:ind w:firstLine="0"/>
      </w:pPr>
      <w:r>
        <w:rPr>
          <w:rFonts w:ascii="Times New Roman" w:hAnsi="Times New Roman"/>
          <w:b w:val="0"/>
          <w:sz w:val="22"/>
        </w:rPr>
        <w:t>У овој развојној евалуацији fan постиже AUC 0,867 и стандардизовани pAUC 0,667, изнад постављеног циља AUC 0,80. Конфигурација са десет прозора даје 0,856 ± 0,024 на другом скупу од 20 подјела. Разлика се не може приписати искључиво броју калибрационих прозора јер протоколи нису идентични. Расипање преко подјела мјери осјетљивост на избор калибрације; подјеле поново користе исте снимке и нису независни физички експерименти.</w:t>
      </w:r>
    </w:p>
    <w:p>
      <w:pPr>
        <w:pStyle w:val="Heading2"/>
      </w:pPr>
      <w:r>
        <w:rPr>
          <w:rFonts w:ascii="Arial" w:hAnsi="Arial"/>
          <w:b/>
          <w:sz w:val="28"/>
        </w:rPr>
        <w:t>7.2. Мјерење на уређају преко звучника</w:t>
      </w:r>
    </w:p>
    <w:p>
      <w:pPr>
        <w:pStyle w:val="BodyText"/>
      </w:pPr>
      <w:r>
        <w:rPr>
          <w:rFonts w:ascii="Times New Roman" w:hAnsi="Times New Roman"/>
          <w:b w:val="0"/>
          <w:sz w:val="22"/>
        </w:rPr>
        <w:t>Прије мјерења физичког вентилатора изведене су пробе репродукцијом DCASE снимака преко звучника. Добијен је AUC око 0,716, док је развојна дигитална евалуација давала око 0,864. Поставке нису идентичне, па разлика није изолована процјена грешке микрофона или фирмвера. Табела 7.2 приказује забиљежене оцјене у два пута сигнала.</w:t>
      </w:r>
    </w:p>
    <w:p>
      <w:pPr>
        <w:pStyle w:val="Potpistabele"/>
        <w:keepNext/>
        <w:spacing w:before="200" w:after="60"/>
        <w:jc w:val="center"/>
      </w:pPr>
      <w:r>
        <w:rPr>
          <w:rFonts w:ascii="Times New Roman" w:hAnsi="Times New Roman"/>
          <w:b w:val="0"/>
          <w:sz w:val="22"/>
        </w:rPr>
        <w:t>Табела 7.2. Расипање оцјена кроз акустички канал</w:t>
      </w:r>
    </w:p>
    <w:tbl>
      <w:tblPr>
        <w:tblStyle w:val="TableGrid"/>
        <w:tblW w:type="auto" w:w="0"/>
        <w:jc w:val="center"/>
        <w:tblLook w:firstColumn="1" w:firstRow="1" w:lastColumn="0" w:lastRow="0" w:noHBand="0" w:noVBand="1" w:val="04A0"/>
      </w:tblPr>
      <w:tblGrid>
        <w:gridCol w:w="2929"/>
        <w:gridCol w:w="2929"/>
        <w:gridCol w:w="2929"/>
      </w:tblGrid>
      <w:tr>
        <w:trPr>
          <w:tblHeader/>
        </w:trPr>
        <w:tc>
          <w:tcPr>
            <w:tcW w:type="dxa" w:w="2929"/>
          </w:tcPr>
          <w:p>
            <w:pPr>
              <w:keepNext/>
              <w:spacing w:after="40"/>
              <w:jc w:val="center"/>
            </w:pPr>
            <w:r>
              <w:rPr>
                <w:rFonts w:ascii="Times New Roman" w:hAnsi="Times New Roman"/>
                <w:b/>
                <w:sz w:val="20"/>
              </w:rPr>
              <w:t>Пут сигнала</w:t>
            </w:r>
          </w:p>
        </w:tc>
        <w:tc>
          <w:tcPr>
            <w:tcW w:type="dxa" w:w="2929"/>
          </w:tcPr>
          <w:p>
            <w:pPr>
              <w:keepNext/>
              <w:spacing w:after="40"/>
              <w:jc w:val="center"/>
            </w:pPr>
            <w:r>
              <w:rPr>
                <w:rFonts w:ascii="Times New Roman" w:hAnsi="Times New Roman"/>
                <w:b/>
                <w:sz w:val="20"/>
              </w:rPr>
              <w:t>Оцјена нормалног</w:t>
            </w:r>
          </w:p>
        </w:tc>
        <w:tc>
          <w:tcPr>
            <w:tcW w:type="dxa" w:w="2929"/>
          </w:tcPr>
          <w:p>
            <w:pPr>
              <w:keepNext/>
              <w:spacing w:after="40"/>
              <w:jc w:val="center"/>
            </w:pPr>
            <w:r>
              <w:rPr>
                <w:rFonts w:ascii="Times New Roman" w:hAnsi="Times New Roman"/>
                <w:b/>
                <w:sz w:val="20"/>
              </w:rPr>
              <w:t>Оцјена аномалије</w:t>
            </w:r>
          </w:p>
        </w:tc>
      </w:tr>
      <w:tr>
        <w:trPr>
          <w:cantSplit/>
        </w:trPr>
        <w:tc>
          <w:tcPr>
            <w:tcW w:type="dxa" w:w="2929"/>
          </w:tcPr>
          <w:p>
            <w:pPr>
              <w:spacing w:after="40"/>
            </w:pPr>
            <w:r>
              <w:rPr>
                <w:rFonts w:ascii="Times New Roman" w:hAnsi="Times New Roman"/>
                <w:b w:val="0"/>
                <w:sz w:val="20"/>
              </w:rPr>
              <w:t>Рачунар, дигитални звук</w:t>
            </w:r>
          </w:p>
        </w:tc>
        <w:tc>
          <w:tcPr>
            <w:tcW w:type="dxa" w:w="2929"/>
          </w:tcPr>
          <w:p>
            <w:pPr>
              <w:spacing w:after="40"/>
              <w:jc w:val="right"/>
            </w:pPr>
            <w:r>
              <w:rPr>
                <w:rFonts w:ascii="Times New Roman" w:hAnsi="Times New Roman"/>
                <w:b w:val="0"/>
                <w:sz w:val="20"/>
              </w:rPr>
              <w:t>79</w:t>
            </w:r>
          </w:p>
        </w:tc>
        <w:tc>
          <w:tcPr>
            <w:tcW w:type="dxa" w:w="2929"/>
          </w:tcPr>
          <w:p>
            <w:pPr>
              <w:spacing w:after="40"/>
              <w:jc w:val="right"/>
            </w:pPr>
            <w:r>
              <w:rPr>
                <w:rFonts w:ascii="Times New Roman" w:hAnsi="Times New Roman"/>
                <w:b w:val="0"/>
                <w:sz w:val="20"/>
              </w:rPr>
              <w:t>117</w:t>
            </w:r>
          </w:p>
        </w:tc>
      </w:tr>
      <w:tr>
        <w:trPr>
          <w:cantSplit/>
        </w:trPr>
        <w:tc>
          <w:tcPr>
            <w:tcW w:type="dxa" w:w="2929"/>
          </w:tcPr>
          <w:p>
            <w:pPr>
              <w:spacing w:after="40"/>
            </w:pPr>
            <w:r>
              <w:rPr>
                <w:rFonts w:ascii="Times New Roman" w:hAnsi="Times New Roman"/>
                <w:b w:val="0"/>
                <w:sz w:val="20"/>
              </w:rPr>
              <w:t>Уређај, преко звучника</w:t>
            </w:r>
          </w:p>
        </w:tc>
        <w:tc>
          <w:tcPr>
            <w:tcW w:type="dxa" w:w="2929"/>
          </w:tcPr>
          <w:p>
            <w:pPr>
              <w:spacing w:after="40"/>
              <w:jc w:val="right"/>
            </w:pPr>
            <w:r>
              <w:rPr>
                <w:rFonts w:ascii="Times New Roman" w:hAnsi="Times New Roman"/>
                <w:b w:val="0"/>
                <w:sz w:val="20"/>
              </w:rPr>
              <w:t>1 300–4 000</w:t>
            </w:r>
          </w:p>
        </w:tc>
        <w:tc>
          <w:tcPr>
            <w:tcW w:type="dxa" w:w="2929"/>
          </w:tcPr>
          <w:p>
            <w:pPr>
              <w:spacing w:after="40"/>
              <w:jc w:val="right"/>
            </w:pPr>
            <w:r>
              <w:rPr>
                <w:rFonts w:ascii="Times New Roman" w:hAnsi="Times New Roman"/>
                <w:b w:val="0"/>
                <w:sz w:val="20"/>
              </w:rPr>
              <w:t>2 500–4 100</w:t>
            </w:r>
          </w:p>
        </w:tc>
      </w:tr>
    </w:tbl>
    <w:p>
      <w:pPr>
        <w:spacing w:after="80"/>
      </w:pPr>
    </w:p>
    <w:p>
      <w:pPr>
        <w:pStyle w:val="BodyText"/>
        <w:ind w:firstLine="0"/>
      </w:pPr>
      <w:r>
        <w:rPr>
          <w:rFonts w:ascii="Times New Roman" w:hAnsi="Times New Roman"/>
          <w:b w:val="0"/>
          <w:sz w:val="22"/>
        </w:rPr>
        <w:t>Аномалија из скупа података помјера оцјену за око 48 %, а акустички канал прави расипање за ред величине веће. Сигнал није нестао него је затрпан. Исти уређај заустављену машину препознаје без грешке, јер је та промјена много грубља од шума канала.</w:t>
      </w:r>
    </w:p>
    <w:p>
      <w:pPr>
        <w:pStyle w:val="BodyText"/>
      </w:pPr>
      <w:r>
        <w:rPr>
          <w:rFonts w:ascii="Times New Roman" w:hAnsi="Times New Roman"/>
          <w:b w:val="0"/>
          <w:sz w:val="22"/>
        </w:rPr>
        <w:t>Додатна проба користила је синтетичку акустичку побуду различите јачине. У тој поставци израженији алармни одзив добијен је приближно на −15 dB, наспрам ранијег поређења око −30 dB. То су односи јачина у генерисаној побуди, а не физичка јачина квара или апсолутна осјетљивост у dB SPL. Без калибрисаног акустичког извора не преносе се на друге машине.</w:t>
      </w:r>
    </w:p>
    <w:p>
      <w:pPr>
        <w:pStyle w:val="BodyText"/>
      </w:pPr>
      <w:r>
        <w:rPr>
          <w:rFonts w:ascii="Times New Roman" w:hAnsi="Times New Roman"/>
          <w:b w:val="0"/>
          <w:sz w:val="22"/>
        </w:rPr>
        <w:t>Репродукција звучником је конфаунд којег у стварној примјени нема, јер уређај тамо слуша машину директно, без двоструког пролаза кроз електроакустику. Због тога се овај резултат пријављује одвојено и не користи се као оцјена квалитета модела.</w:t>
      </w:r>
    </w:p>
    <w:p>
      <w:pPr>
        <w:pStyle w:val="Heading2"/>
      </w:pPr>
      <w:r>
        <w:rPr>
          <w:rFonts w:ascii="Arial" w:hAnsi="Arial"/>
          <w:b/>
          <w:sz w:val="28"/>
        </w:rPr>
        <w:t>7.3. Први тест на стварном вентилатору</w:t>
      </w:r>
    </w:p>
    <w:p>
      <w:pPr>
        <w:pStyle w:val="BodyText"/>
      </w:pPr>
      <w:r>
        <w:rPr>
          <w:rFonts w:ascii="Times New Roman" w:hAnsi="Times New Roman"/>
          <w:b w:val="0"/>
          <w:sz w:val="22"/>
        </w:rPr>
        <w:t>Први тест у којем микрофон слуша стварни вентилатор изведен је са микрофоном на 20 cm од осовине, под углом од 90° у односу на осу дувања. Бочни положај је изабран јер у струји ваздуха турбуленција на мембрани надјача звук машине. Изазвана промјена је папирић уз усисну страну решетке, без контакта са лопатицама, поновљен три пута. Оцјене по блоковима дате су у Табели 7.3.</w:t>
      </w:r>
    </w:p>
    <w:p>
      <w:pPr>
        <w:pStyle w:val="Potpistabele"/>
        <w:keepNext/>
        <w:spacing w:before="200" w:after="60"/>
        <w:jc w:val="center"/>
      </w:pPr>
      <w:r>
        <w:rPr>
          <w:rFonts w:ascii="Times New Roman" w:hAnsi="Times New Roman"/>
          <w:b w:val="0"/>
          <w:sz w:val="22"/>
        </w:rPr>
        <w:t>Табела 7.3. Први физички тест: оцјене по блоковима</w:t>
      </w:r>
    </w:p>
    <w:tbl>
      <w:tblPr>
        <w:tblStyle w:val="TableGrid"/>
        <w:tblW w:type="auto" w:w="0"/>
        <w:jc w:val="center"/>
        <w:tblLook w:firstColumn="1" w:firstRow="1" w:lastColumn="0" w:lastRow="0" w:noHBand="0" w:noVBand="1" w:val="04A0"/>
      </w:tblPr>
      <w:tblGrid>
        <w:gridCol w:w="1758"/>
        <w:gridCol w:w="1758"/>
        <w:gridCol w:w="1758"/>
        <w:gridCol w:w="1758"/>
        <w:gridCol w:w="1758"/>
      </w:tblGrid>
      <w:tr>
        <w:trPr>
          <w:tblHeader/>
        </w:trPr>
        <w:tc>
          <w:tcPr>
            <w:tcW w:type="dxa" w:w="1758"/>
          </w:tcPr>
          <w:p>
            <w:pPr>
              <w:keepNext/>
              <w:spacing w:after="40"/>
              <w:jc w:val="center"/>
            </w:pPr>
            <w:r>
              <w:rPr>
                <w:rFonts w:ascii="Times New Roman" w:hAnsi="Times New Roman"/>
                <w:b/>
                <w:sz w:val="20"/>
              </w:rPr>
              <w:t>Блок</w:t>
            </w:r>
          </w:p>
        </w:tc>
        <w:tc>
          <w:tcPr>
            <w:tcW w:type="dxa" w:w="1758"/>
          </w:tcPr>
          <w:p>
            <w:pPr>
              <w:keepNext/>
              <w:spacing w:after="40"/>
              <w:jc w:val="center"/>
            </w:pPr>
            <w:r>
              <w:rPr>
                <w:rFonts w:ascii="Times New Roman" w:hAnsi="Times New Roman"/>
                <w:b/>
                <w:sz w:val="20"/>
              </w:rPr>
              <w:t>Прозора</w:t>
            </w:r>
          </w:p>
        </w:tc>
        <w:tc>
          <w:tcPr>
            <w:tcW w:type="dxa" w:w="1758"/>
          </w:tcPr>
          <w:p>
            <w:pPr>
              <w:keepNext/>
              <w:spacing w:after="40"/>
              <w:jc w:val="center"/>
            </w:pPr>
            <w:r>
              <w:rPr>
                <w:rFonts w:ascii="Times New Roman" w:hAnsi="Times New Roman"/>
                <w:b/>
                <w:sz w:val="20"/>
              </w:rPr>
              <w:t>Медијана</w:t>
            </w:r>
          </w:p>
        </w:tc>
        <w:tc>
          <w:tcPr>
            <w:tcW w:type="dxa" w:w="1758"/>
          </w:tcPr>
          <w:p>
            <w:pPr>
              <w:keepNext/>
              <w:spacing w:after="40"/>
              <w:jc w:val="center"/>
            </w:pPr>
            <w:r>
              <w:rPr>
                <w:rFonts w:ascii="Times New Roman" w:hAnsi="Times New Roman"/>
                <w:b/>
                <w:sz w:val="20"/>
              </w:rPr>
              <w:t>Мин</w:t>
            </w:r>
          </w:p>
        </w:tc>
        <w:tc>
          <w:tcPr>
            <w:tcW w:type="dxa" w:w="1758"/>
          </w:tcPr>
          <w:p>
            <w:pPr>
              <w:keepNext/>
              <w:spacing w:after="40"/>
              <w:jc w:val="center"/>
            </w:pPr>
            <w:r>
              <w:rPr>
                <w:rFonts w:ascii="Times New Roman" w:hAnsi="Times New Roman"/>
                <w:b/>
                <w:sz w:val="20"/>
              </w:rPr>
              <w:t>Макс</w:t>
            </w:r>
          </w:p>
        </w:tc>
      </w:tr>
      <w:tr>
        <w:trPr>
          <w:cantSplit/>
        </w:trPr>
        <w:tc>
          <w:tcPr>
            <w:tcW w:type="dxa" w:w="1758"/>
          </w:tcPr>
          <w:p>
            <w:pPr>
              <w:spacing w:after="40"/>
            </w:pPr>
            <w:r>
              <w:rPr>
                <w:rFonts w:ascii="Times New Roman" w:hAnsi="Times New Roman"/>
                <w:b w:val="0"/>
                <w:sz w:val="20"/>
              </w:rPr>
              <w:t>Нормална основа</w:t>
            </w:r>
          </w:p>
        </w:tc>
        <w:tc>
          <w:tcPr>
            <w:tcW w:type="dxa" w:w="1758"/>
          </w:tcPr>
          <w:p>
            <w:pPr>
              <w:spacing w:after="40"/>
              <w:jc w:val="right"/>
            </w:pPr>
            <w:r>
              <w:rPr>
                <w:rFonts w:ascii="Times New Roman" w:hAnsi="Times New Roman"/>
                <w:b w:val="0"/>
                <w:sz w:val="20"/>
              </w:rPr>
              <w:t>60</w:t>
            </w:r>
          </w:p>
        </w:tc>
        <w:tc>
          <w:tcPr>
            <w:tcW w:type="dxa" w:w="1758"/>
          </w:tcPr>
          <w:p>
            <w:pPr>
              <w:spacing w:after="40"/>
              <w:jc w:val="right"/>
            </w:pPr>
            <w:r>
              <w:rPr>
                <w:rFonts w:ascii="Times New Roman" w:hAnsi="Times New Roman"/>
                <w:b w:val="0"/>
                <w:sz w:val="20"/>
              </w:rPr>
              <w:t>876</w:t>
            </w:r>
          </w:p>
        </w:tc>
        <w:tc>
          <w:tcPr>
            <w:tcW w:type="dxa" w:w="1758"/>
          </w:tcPr>
          <w:p>
            <w:pPr>
              <w:spacing w:after="40"/>
              <w:jc w:val="right"/>
            </w:pPr>
            <w:r>
              <w:rPr>
                <w:rFonts w:ascii="Times New Roman" w:hAnsi="Times New Roman"/>
                <w:b w:val="0"/>
                <w:sz w:val="20"/>
              </w:rPr>
              <w:t>180</w:t>
            </w:r>
          </w:p>
        </w:tc>
        <w:tc>
          <w:tcPr>
            <w:tcW w:type="dxa" w:w="1758"/>
          </w:tcPr>
          <w:p>
            <w:pPr>
              <w:spacing w:after="40"/>
              <w:jc w:val="right"/>
            </w:pPr>
            <w:r>
              <w:rPr>
                <w:rFonts w:ascii="Times New Roman" w:hAnsi="Times New Roman"/>
                <w:b w:val="0"/>
                <w:sz w:val="20"/>
              </w:rPr>
              <w:t>16 152</w:t>
            </w:r>
          </w:p>
        </w:tc>
      </w:tr>
      <w:tr>
        <w:trPr>
          <w:cantSplit/>
        </w:trPr>
        <w:tc>
          <w:tcPr>
            <w:tcW w:type="dxa" w:w="1758"/>
          </w:tcPr>
          <w:p>
            <w:pPr>
              <w:spacing w:after="40"/>
            </w:pPr>
            <w:r>
              <w:rPr>
                <w:rFonts w:ascii="Times New Roman" w:hAnsi="Times New Roman"/>
                <w:b w:val="0"/>
                <w:sz w:val="20"/>
              </w:rPr>
              <w:t>Изазвана промјена 1</w:t>
            </w:r>
          </w:p>
        </w:tc>
        <w:tc>
          <w:tcPr>
            <w:tcW w:type="dxa" w:w="1758"/>
          </w:tcPr>
          <w:p>
            <w:pPr>
              <w:spacing w:after="40"/>
              <w:jc w:val="right"/>
            </w:pPr>
            <w:r>
              <w:rPr>
                <w:rFonts w:ascii="Times New Roman" w:hAnsi="Times New Roman"/>
                <w:b w:val="0"/>
                <w:sz w:val="20"/>
              </w:rPr>
              <w:t>6</w:t>
            </w:r>
          </w:p>
        </w:tc>
        <w:tc>
          <w:tcPr>
            <w:tcW w:type="dxa" w:w="1758"/>
          </w:tcPr>
          <w:p>
            <w:pPr>
              <w:spacing w:after="40"/>
              <w:jc w:val="right"/>
            </w:pPr>
            <w:r>
              <w:rPr>
                <w:rFonts w:ascii="Times New Roman" w:hAnsi="Times New Roman"/>
                <w:b w:val="0"/>
                <w:sz w:val="20"/>
              </w:rPr>
              <w:t>29 899</w:t>
            </w:r>
          </w:p>
        </w:tc>
        <w:tc>
          <w:tcPr>
            <w:tcW w:type="dxa" w:w="1758"/>
          </w:tcPr>
          <w:p>
            <w:pPr>
              <w:spacing w:after="40"/>
              <w:jc w:val="right"/>
            </w:pPr>
            <w:r>
              <w:rPr>
                <w:rFonts w:ascii="Times New Roman" w:hAnsi="Times New Roman"/>
                <w:b w:val="0"/>
                <w:sz w:val="20"/>
              </w:rPr>
              <w:t>2 197</w:t>
            </w:r>
          </w:p>
        </w:tc>
        <w:tc>
          <w:tcPr>
            <w:tcW w:type="dxa" w:w="1758"/>
          </w:tcPr>
          <w:p>
            <w:pPr>
              <w:spacing w:after="40"/>
              <w:jc w:val="right"/>
            </w:pPr>
            <w:r>
              <w:rPr>
                <w:rFonts w:ascii="Times New Roman" w:hAnsi="Times New Roman"/>
                <w:b w:val="0"/>
                <w:sz w:val="20"/>
              </w:rPr>
              <w:t>40 812</w:t>
            </w:r>
          </w:p>
        </w:tc>
      </w:tr>
      <w:tr>
        <w:trPr>
          <w:cantSplit/>
        </w:trPr>
        <w:tc>
          <w:tcPr>
            <w:tcW w:type="dxa" w:w="1758"/>
          </w:tcPr>
          <w:p>
            <w:pPr>
              <w:spacing w:after="40"/>
            </w:pPr>
            <w:r>
              <w:rPr>
                <w:rFonts w:ascii="Times New Roman" w:hAnsi="Times New Roman"/>
                <w:b w:val="0"/>
                <w:sz w:val="20"/>
              </w:rPr>
              <w:t>Опоравак 1</w:t>
            </w:r>
          </w:p>
        </w:tc>
        <w:tc>
          <w:tcPr>
            <w:tcW w:type="dxa" w:w="1758"/>
          </w:tcPr>
          <w:p>
            <w:pPr>
              <w:spacing w:after="40"/>
              <w:jc w:val="right"/>
            </w:pPr>
            <w:r>
              <w:rPr>
                <w:rFonts w:ascii="Times New Roman" w:hAnsi="Times New Roman"/>
                <w:b w:val="0"/>
                <w:sz w:val="20"/>
              </w:rPr>
              <w:t>9</w:t>
            </w:r>
          </w:p>
        </w:tc>
        <w:tc>
          <w:tcPr>
            <w:tcW w:type="dxa" w:w="1758"/>
          </w:tcPr>
          <w:p>
            <w:pPr>
              <w:spacing w:after="40"/>
              <w:jc w:val="right"/>
            </w:pPr>
            <w:r>
              <w:rPr>
                <w:rFonts w:ascii="Times New Roman" w:hAnsi="Times New Roman"/>
                <w:b w:val="0"/>
                <w:sz w:val="20"/>
              </w:rPr>
              <w:t>2 883</w:t>
            </w:r>
          </w:p>
        </w:tc>
        <w:tc>
          <w:tcPr>
            <w:tcW w:type="dxa" w:w="1758"/>
          </w:tcPr>
          <w:p>
            <w:pPr>
              <w:spacing w:after="40"/>
              <w:jc w:val="right"/>
            </w:pPr>
            <w:r>
              <w:rPr>
                <w:rFonts w:ascii="Times New Roman" w:hAnsi="Times New Roman"/>
                <w:b w:val="0"/>
                <w:sz w:val="20"/>
              </w:rPr>
              <w:t>553</w:t>
            </w:r>
          </w:p>
        </w:tc>
        <w:tc>
          <w:tcPr>
            <w:tcW w:type="dxa" w:w="1758"/>
          </w:tcPr>
          <w:p>
            <w:pPr>
              <w:spacing w:after="40"/>
              <w:jc w:val="right"/>
            </w:pPr>
            <w:r>
              <w:rPr>
                <w:rFonts w:ascii="Times New Roman" w:hAnsi="Times New Roman"/>
                <w:b w:val="0"/>
                <w:sz w:val="20"/>
              </w:rPr>
              <w:t>27 200</w:t>
            </w:r>
          </w:p>
        </w:tc>
      </w:tr>
      <w:tr>
        <w:trPr>
          <w:cantSplit/>
        </w:trPr>
        <w:tc>
          <w:tcPr>
            <w:tcW w:type="dxa" w:w="1758"/>
          </w:tcPr>
          <w:p>
            <w:pPr>
              <w:spacing w:after="40"/>
            </w:pPr>
            <w:r>
              <w:rPr>
                <w:rFonts w:ascii="Times New Roman" w:hAnsi="Times New Roman"/>
                <w:b w:val="0"/>
                <w:sz w:val="20"/>
              </w:rPr>
              <w:t>Изазвана промјена 2</w:t>
            </w:r>
          </w:p>
        </w:tc>
        <w:tc>
          <w:tcPr>
            <w:tcW w:type="dxa" w:w="1758"/>
          </w:tcPr>
          <w:p>
            <w:pPr>
              <w:spacing w:after="40"/>
              <w:jc w:val="right"/>
            </w:pPr>
            <w:r>
              <w:rPr>
                <w:rFonts w:ascii="Times New Roman" w:hAnsi="Times New Roman"/>
                <w:b w:val="0"/>
                <w:sz w:val="20"/>
              </w:rPr>
              <w:t>6</w:t>
            </w:r>
          </w:p>
        </w:tc>
        <w:tc>
          <w:tcPr>
            <w:tcW w:type="dxa" w:w="1758"/>
          </w:tcPr>
          <w:p>
            <w:pPr>
              <w:spacing w:after="40"/>
              <w:jc w:val="right"/>
            </w:pPr>
            <w:r>
              <w:rPr>
                <w:rFonts w:ascii="Times New Roman" w:hAnsi="Times New Roman"/>
                <w:b w:val="0"/>
                <w:sz w:val="20"/>
              </w:rPr>
              <w:t>30 050</w:t>
            </w:r>
          </w:p>
        </w:tc>
        <w:tc>
          <w:tcPr>
            <w:tcW w:type="dxa" w:w="1758"/>
          </w:tcPr>
          <w:p>
            <w:pPr>
              <w:spacing w:after="40"/>
              <w:jc w:val="right"/>
            </w:pPr>
            <w:r>
              <w:rPr>
                <w:rFonts w:ascii="Times New Roman" w:hAnsi="Times New Roman"/>
                <w:b w:val="0"/>
                <w:sz w:val="20"/>
              </w:rPr>
              <w:t>953</w:t>
            </w:r>
          </w:p>
        </w:tc>
        <w:tc>
          <w:tcPr>
            <w:tcW w:type="dxa" w:w="1758"/>
          </w:tcPr>
          <w:p>
            <w:pPr>
              <w:spacing w:after="40"/>
              <w:jc w:val="right"/>
            </w:pPr>
            <w:r>
              <w:rPr>
                <w:rFonts w:ascii="Times New Roman" w:hAnsi="Times New Roman"/>
                <w:b w:val="0"/>
                <w:sz w:val="20"/>
              </w:rPr>
              <w:t>40 217</w:t>
            </w:r>
          </w:p>
        </w:tc>
      </w:tr>
      <w:tr>
        <w:trPr>
          <w:cantSplit/>
        </w:trPr>
        <w:tc>
          <w:tcPr>
            <w:tcW w:type="dxa" w:w="1758"/>
          </w:tcPr>
          <w:p>
            <w:pPr>
              <w:spacing w:after="40"/>
            </w:pPr>
            <w:r>
              <w:rPr>
                <w:rFonts w:ascii="Times New Roman" w:hAnsi="Times New Roman"/>
                <w:b w:val="0"/>
                <w:sz w:val="20"/>
              </w:rPr>
              <w:t>Опоравак 2</w:t>
            </w:r>
          </w:p>
        </w:tc>
        <w:tc>
          <w:tcPr>
            <w:tcW w:type="dxa" w:w="1758"/>
          </w:tcPr>
          <w:p>
            <w:pPr>
              <w:spacing w:after="40"/>
              <w:jc w:val="right"/>
            </w:pPr>
            <w:r>
              <w:rPr>
                <w:rFonts w:ascii="Times New Roman" w:hAnsi="Times New Roman"/>
                <w:b w:val="0"/>
                <w:sz w:val="20"/>
              </w:rPr>
              <w:t>9</w:t>
            </w:r>
          </w:p>
        </w:tc>
        <w:tc>
          <w:tcPr>
            <w:tcW w:type="dxa" w:w="1758"/>
          </w:tcPr>
          <w:p>
            <w:pPr>
              <w:spacing w:after="40"/>
              <w:jc w:val="right"/>
            </w:pPr>
            <w:r>
              <w:rPr>
                <w:rFonts w:ascii="Times New Roman" w:hAnsi="Times New Roman"/>
                <w:b w:val="0"/>
                <w:sz w:val="20"/>
              </w:rPr>
              <w:t>624</w:t>
            </w:r>
          </w:p>
        </w:tc>
        <w:tc>
          <w:tcPr>
            <w:tcW w:type="dxa" w:w="1758"/>
          </w:tcPr>
          <w:p>
            <w:pPr>
              <w:spacing w:after="40"/>
              <w:jc w:val="right"/>
            </w:pPr>
            <w:r>
              <w:rPr>
                <w:rFonts w:ascii="Times New Roman" w:hAnsi="Times New Roman"/>
                <w:b w:val="0"/>
                <w:sz w:val="20"/>
              </w:rPr>
              <w:t>409</w:t>
            </w:r>
          </w:p>
        </w:tc>
        <w:tc>
          <w:tcPr>
            <w:tcW w:type="dxa" w:w="1758"/>
          </w:tcPr>
          <w:p>
            <w:pPr>
              <w:spacing w:after="40"/>
              <w:jc w:val="right"/>
            </w:pPr>
            <w:r>
              <w:rPr>
                <w:rFonts w:ascii="Times New Roman" w:hAnsi="Times New Roman"/>
                <w:b w:val="0"/>
                <w:sz w:val="20"/>
              </w:rPr>
              <w:t>28 173</w:t>
            </w:r>
          </w:p>
        </w:tc>
      </w:tr>
      <w:tr>
        <w:trPr>
          <w:cantSplit/>
        </w:trPr>
        <w:tc>
          <w:tcPr>
            <w:tcW w:type="dxa" w:w="1758"/>
          </w:tcPr>
          <w:p>
            <w:pPr>
              <w:spacing w:after="40"/>
            </w:pPr>
            <w:r>
              <w:rPr>
                <w:rFonts w:ascii="Times New Roman" w:hAnsi="Times New Roman"/>
                <w:b w:val="0"/>
                <w:sz w:val="20"/>
              </w:rPr>
              <w:t>Изазвана промјена 3</w:t>
            </w:r>
          </w:p>
        </w:tc>
        <w:tc>
          <w:tcPr>
            <w:tcW w:type="dxa" w:w="1758"/>
          </w:tcPr>
          <w:p>
            <w:pPr>
              <w:spacing w:after="40"/>
              <w:jc w:val="right"/>
            </w:pPr>
            <w:r>
              <w:rPr>
                <w:rFonts w:ascii="Times New Roman" w:hAnsi="Times New Roman"/>
                <w:b w:val="0"/>
                <w:sz w:val="20"/>
              </w:rPr>
              <w:t>6</w:t>
            </w:r>
          </w:p>
        </w:tc>
        <w:tc>
          <w:tcPr>
            <w:tcW w:type="dxa" w:w="1758"/>
          </w:tcPr>
          <w:p>
            <w:pPr>
              <w:spacing w:after="40"/>
              <w:jc w:val="right"/>
            </w:pPr>
            <w:r>
              <w:rPr>
                <w:rFonts w:ascii="Times New Roman" w:hAnsi="Times New Roman"/>
                <w:b w:val="0"/>
                <w:sz w:val="20"/>
              </w:rPr>
              <w:t>47 299</w:t>
            </w:r>
          </w:p>
        </w:tc>
        <w:tc>
          <w:tcPr>
            <w:tcW w:type="dxa" w:w="1758"/>
          </w:tcPr>
          <w:p>
            <w:pPr>
              <w:spacing w:after="40"/>
              <w:jc w:val="right"/>
            </w:pPr>
            <w:r>
              <w:rPr>
                <w:rFonts w:ascii="Times New Roman" w:hAnsi="Times New Roman"/>
                <w:b w:val="0"/>
                <w:sz w:val="20"/>
              </w:rPr>
              <w:t>1 111</w:t>
            </w:r>
          </w:p>
        </w:tc>
        <w:tc>
          <w:tcPr>
            <w:tcW w:type="dxa" w:w="1758"/>
          </w:tcPr>
          <w:p>
            <w:pPr>
              <w:spacing w:after="40"/>
              <w:jc w:val="right"/>
            </w:pPr>
            <w:r>
              <w:rPr>
                <w:rFonts w:ascii="Times New Roman" w:hAnsi="Times New Roman"/>
                <w:b w:val="0"/>
                <w:sz w:val="20"/>
              </w:rPr>
              <w:t>48 827</w:t>
            </w:r>
          </w:p>
        </w:tc>
      </w:tr>
      <w:tr>
        <w:trPr>
          <w:cantSplit/>
        </w:trPr>
        <w:tc>
          <w:tcPr>
            <w:tcW w:type="dxa" w:w="1758"/>
          </w:tcPr>
          <w:p>
            <w:pPr>
              <w:spacing w:after="40"/>
            </w:pPr>
            <w:r>
              <w:rPr>
                <w:rFonts w:ascii="Times New Roman" w:hAnsi="Times New Roman"/>
                <w:b w:val="0"/>
                <w:sz w:val="20"/>
              </w:rPr>
              <w:t>Опоравак 3</w:t>
            </w:r>
          </w:p>
        </w:tc>
        <w:tc>
          <w:tcPr>
            <w:tcW w:type="dxa" w:w="1758"/>
          </w:tcPr>
          <w:p>
            <w:pPr>
              <w:spacing w:after="40"/>
              <w:jc w:val="right"/>
            </w:pPr>
            <w:r>
              <w:rPr>
                <w:rFonts w:ascii="Times New Roman" w:hAnsi="Times New Roman"/>
                <w:b w:val="0"/>
                <w:sz w:val="20"/>
              </w:rPr>
              <w:t>10</w:t>
            </w:r>
          </w:p>
        </w:tc>
        <w:tc>
          <w:tcPr>
            <w:tcW w:type="dxa" w:w="1758"/>
          </w:tcPr>
          <w:p>
            <w:pPr>
              <w:spacing w:after="40"/>
              <w:jc w:val="right"/>
            </w:pPr>
            <w:r>
              <w:rPr>
                <w:rFonts w:ascii="Times New Roman" w:hAnsi="Times New Roman"/>
                <w:b w:val="0"/>
                <w:sz w:val="20"/>
              </w:rPr>
              <w:t>718</w:t>
            </w:r>
          </w:p>
        </w:tc>
        <w:tc>
          <w:tcPr>
            <w:tcW w:type="dxa" w:w="1758"/>
          </w:tcPr>
          <w:p>
            <w:pPr>
              <w:spacing w:after="40"/>
              <w:jc w:val="right"/>
            </w:pPr>
            <w:r>
              <w:rPr>
                <w:rFonts w:ascii="Times New Roman" w:hAnsi="Times New Roman"/>
                <w:b w:val="0"/>
                <w:sz w:val="20"/>
              </w:rPr>
              <w:t>643</w:t>
            </w:r>
          </w:p>
        </w:tc>
        <w:tc>
          <w:tcPr>
            <w:tcW w:type="dxa" w:w="1758"/>
          </w:tcPr>
          <w:p>
            <w:pPr>
              <w:spacing w:after="40"/>
              <w:jc w:val="right"/>
            </w:pPr>
            <w:r>
              <w:rPr>
                <w:rFonts w:ascii="Times New Roman" w:hAnsi="Times New Roman"/>
                <w:b w:val="0"/>
                <w:sz w:val="20"/>
              </w:rPr>
              <w:t>48 204</w:t>
            </w:r>
          </w:p>
        </w:tc>
      </w:tr>
      <w:tr>
        <w:trPr>
          <w:cantSplit/>
        </w:trPr>
        <w:tc>
          <w:tcPr>
            <w:tcW w:type="dxa" w:w="1758"/>
          </w:tcPr>
          <w:p>
            <w:pPr>
              <w:spacing w:after="40"/>
            </w:pPr>
            <w:r>
              <w:rPr>
                <w:rFonts w:ascii="Times New Roman" w:hAnsi="Times New Roman"/>
                <w:b w:val="0"/>
                <w:sz w:val="20"/>
              </w:rPr>
              <w:t>Разговор на 2 m</w:t>
            </w:r>
          </w:p>
        </w:tc>
        <w:tc>
          <w:tcPr>
            <w:tcW w:type="dxa" w:w="1758"/>
          </w:tcPr>
          <w:p>
            <w:pPr>
              <w:spacing w:after="40"/>
              <w:jc w:val="right"/>
            </w:pPr>
            <w:r>
              <w:rPr>
                <w:rFonts w:ascii="Times New Roman" w:hAnsi="Times New Roman"/>
                <w:b w:val="0"/>
                <w:sz w:val="20"/>
              </w:rPr>
              <w:t>6</w:t>
            </w:r>
          </w:p>
        </w:tc>
        <w:tc>
          <w:tcPr>
            <w:tcW w:type="dxa" w:w="1758"/>
          </w:tcPr>
          <w:p>
            <w:pPr>
              <w:spacing w:after="40"/>
              <w:jc w:val="right"/>
            </w:pPr>
            <w:r>
              <w:rPr>
                <w:rFonts w:ascii="Times New Roman" w:hAnsi="Times New Roman"/>
                <w:b w:val="0"/>
                <w:sz w:val="20"/>
              </w:rPr>
              <w:t>11 946</w:t>
            </w:r>
          </w:p>
        </w:tc>
        <w:tc>
          <w:tcPr>
            <w:tcW w:type="dxa" w:w="1758"/>
          </w:tcPr>
          <w:p>
            <w:pPr>
              <w:spacing w:after="40"/>
              <w:jc w:val="right"/>
            </w:pPr>
            <w:r>
              <w:rPr>
                <w:rFonts w:ascii="Times New Roman" w:hAnsi="Times New Roman"/>
                <w:b w:val="0"/>
                <w:sz w:val="20"/>
              </w:rPr>
              <w:t>10 751</w:t>
            </w:r>
          </w:p>
        </w:tc>
        <w:tc>
          <w:tcPr>
            <w:tcW w:type="dxa" w:w="1758"/>
          </w:tcPr>
          <w:p>
            <w:pPr>
              <w:spacing w:after="40"/>
              <w:jc w:val="right"/>
            </w:pPr>
            <w:r>
              <w:rPr>
                <w:rFonts w:ascii="Times New Roman" w:hAnsi="Times New Roman"/>
                <w:b w:val="0"/>
                <w:sz w:val="20"/>
              </w:rPr>
              <w:t>18 202</w:t>
            </w:r>
          </w:p>
        </w:tc>
      </w:tr>
      <w:tr>
        <w:trPr>
          <w:cantSplit/>
        </w:trPr>
        <w:tc>
          <w:tcPr>
            <w:tcW w:type="dxa" w:w="1758"/>
          </w:tcPr>
          <w:p>
            <w:pPr>
              <w:spacing w:after="40"/>
            </w:pPr>
            <w:r>
              <w:rPr>
                <w:rFonts w:ascii="Times New Roman" w:hAnsi="Times New Roman"/>
                <w:b w:val="0"/>
                <w:sz w:val="20"/>
              </w:rPr>
              <w:t>Опоравак</w:t>
            </w:r>
          </w:p>
        </w:tc>
        <w:tc>
          <w:tcPr>
            <w:tcW w:type="dxa" w:w="1758"/>
          </w:tcPr>
          <w:p>
            <w:pPr>
              <w:spacing w:after="40"/>
              <w:jc w:val="right"/>
            </w:pPr>
            <w:r>
              <w:rPr>
                <w:rFonts w:ascii="Times New Roman" w:hAnsi="Times New Roman"/>
                <w:b w:val="0"/>
                <w:sz w:val="20"/>
              </w:rPr>
              <w:t>9</w:t>
            </w:r>
          </w:p>
        </w:tc>
        <w:tc>
          <w:tcPr>
            <w:tcW w:type="dxa" w:w="1758"/>
          </w:tcPr>
          <w:p>
            <w:pPr>
              <w:spacing w:after="40"/>
              <w:jc w:val="right"/>
            </w:pPr>
            <w:r>
              <w:rPr>
                <w:rFonts w:ascii="Times New Roman" w:hAnsi="Times New Roman"/>
                <w:b w:val="0"/>
                <w:sz w:val="20"/>
              </w:rPr>
              <w:t>1 155</w:t>
            </w:r>
          </w:p>
        </w:tc>
        <w:tc>
          <w:tcPr>
            <w:tcW w:type="dxa" w:w="1758"/>
          </w:tcPr>
          <w:p>
            <w:pPr>
              <w:spacing w:after="40"/>
              <w:jc w:val="right"/>
            </w:pPr>
            <w:r>
              <w:rPr>
                <w:rFonts w:ascii="Times New Roman" w:hAnsi="Times New Roman"/>
                <w:b w:val="0"/>
                <w:sz w:val="20"/>
              </w:rPr>
              <w:t>785</w:t>
            </w:r>
          </w:p>
        </w:tc>
        <w:tc>
          <w:tcPr>
            <w:tcW w:type="dxa" w:w="1758"/>
          </w:tcPr>
          <w:p>
            <w:pPr>
              <w:spacing w:after="40"/>
              <w:jc w:val="right"/>
            </w:pPr>
            <w:r>
              <w:rPr>
                <w:rFonts w:ascii="Times New Roman" w:hAnsi="Times New Roman"/>
                <w:b w:val="0"/>
                <w:sz w:val="20"/>
              </w:rPr>
              <w:t>1 581</w:t>
            </w:r>
          </w:p>
        </w:tc>
      </w:tr>
    </w:tbl>
    <w:p>
      <w:pPr>
        <w:spacing w:after="80"/>
      </w:pPr>
    </w:p>
    <w:p>
      <w:pPr>
        <w:pStyle w:val="BodyText"/>
        <w:ind w:firstLine="0"/>
      </w:pPr>
      <w:r>
        <w:rPr>
          <w:rFonts w:ascii="Times New Roman" w:hAnsi="Times New Roman"/>
          <w:b w:val="0"/>
          <w:sz w:val="22"/>
        </w:rPr>
        <w:t>Одзив на изазвану промјену у односу на медијану основе износи 34, 34 и 54 пута, а прва два понављања разликују се за 0,5 %. Раздвајање изазване промјене од нормалног рада, без прелазних прозора, даје AUC 0,999. Раздвајање изазване промјене од разговора даје 0,979, али из свега 48 парова, па је то индикација а не доказ.</w:t>
      </w:r>
    </w:p>
    <w:p>
      <w:pPr>
        <w:pStyle w:val="BodyText"/>
      </w:pPr>
      <w:r>
        <w:rPr>
          <w:rFonts w:ascii="Times New Roman" w:hAnsi="Times New Roman"/>
          <w:b w:val="0"/>
          <w:sz w:val="22"/>
        </w:rPr>
        <w:t>Истовремено је 54 од 60 прозора нормалног рада било изнад прага. Тај тест је тиме дао два раздвојена налаза: обиљежје ради на стварном вентилатору, а тадашња политика прага не ради. Из другог налаза настале су политике описане у шестом поглављу.</w:t>
      </w:r>
    </w:p>
    <w:p>
      <w:pPr>
        <w:pStyle w:val="Heading2"/>
      </w:pPr>
      <w:r>
        <w:rPr>
          <w:rFonts w:ascii="Arial" w:hAnsi="Arial"/>
          <w:b/>
          <w:sz w:val="28"/>
        </w:rPr>
        <w:t>7.4. Завршна валидација на вентилатору</w:t>
      </w:r>
    </w:p>
    <w:p>
      <w:pPr>
        <w:pStyle w:val="BodyText"/>
      </w:pPr>
      <w:r>
        <w:rPr>
          <w:rFonts w:ascii="Times New Roman" w:hAnsi="Times New Roman"/>
          <w:b w:val="0"/>
          <w:sz w:val="22"/>
        </w:rPr>
        <w:t xml:space="preserve">Послије увођења политика из шестог поглавља изведена су два валидна мјерења, оба из </w:t>
      </w:r>
      <w:r>
        <w:rPr>
          <w:rFonts w:ascii="Times New Roman" w:hAnsi="Times New Roman"/>
          <w:b/>
          <w:sz w:val="22"/>
        </w:rPr>
        <w:t>истог бинарног фајла</w:t>
      </w:r>
      <w:r>
        <w:rPr>
          <w:rFonts w:ascii="Times New Roman" w:hAnsi="Times New Roman"/>
          <w:b w:val="0"/>
          <w:sz w:val="22"/>
        </w:rPr>
        <w:t xml:space="preserve"> фирмвера. Поставка је била иста у оба: микрофон на 40 cm, угао 9°, вентилатор напајан преко пуњача, у соби са затвореним прозором.</w:t>
      </w:r>
    </w:p>
    <w:p>
      <w:pPr>
        <w:pStyle w:val="Heading3"/>
      </w:pPr>
      <w:r>
        <w:rPr>
          <w:rFonts w:ascii="Arial" w:hAnsi="Arial"/>
          <w:b/>
          <w:sz w:val="24"/>
        </w:rPr>
        <w:t>7.4.1. Мјерење са изазваном промјеном протока</w:t>
      </w:r>
    </w:p>
    <w:p>
      <w:pPr>
        <w:pStyle w:val="BodyText"/>
      </w:pPr>
      <w:r>
        <w:rPr>
          <w:rFonts w:ascii="Times New Roman" w:hAnsi="Times New Roman"/>
          <w:b w:val="0"/>
          <w:sz w:val="22"/>
        </w:rPr>
        <w:t>У овом мјерењу капија квалитета калибрације је избацила два калибрациона исјечка. Коефицијент варијације је тиме пао са 0,84 на 0,43, чиме је калибрација прихваћена; без тог правила мјерење не би ни дошло до фазе надзора. Изведени праг уласка износи 8084, а праг изласка 3707. Оцјене по означеним условима даје Табела 7.4.</w:t>
      </w:r>
    </w:p>
    <w:p>
      <w:pPr>
        <w:pStyle w:val="Potpistabele"/>
        <w:keepNext/>
        <w:spacing w:before="200" w:after="60"/>
        <w:jc w:val="center"/>
      </w:pPr>
      <w:r>
        <w:rPr>
          <w:rFonts w:ascii="Times New Roman" w:hAnsi="Times New Roman"/>
          <w:b w:val="0"/>
          <w:sz w:val="22"/>
        </w:rPr>
        <w:t>Табела 7.4. Оцјене по означеним условима, мјерење са изазваном промјеном (праг уласка 8084)</w:t>
      </w:r>
    </w:p>
    <w:tbl>
      <w:tblPr>
        <w:tblStyle w:val="TableGrid"/>
        <w:tblW w:type="auto" w:w="0"/>
        <w:jc w:val="center"/>
        <w:tblLook w:firstColumn="1" w:firstRow="1" w:lastColumn="0" w:lastRow="0" w:noHBand="0" w:noVBand="1" w:val="04A0"/>
      </w:tblPr>
      <w:tblGrid>
        <w:gridCol w:w="1758"/>
        <w:gridCol w:w="1758"/>
        <w:gridCol w:w="1758"/>
        <w:gridCol w:w="1758"/>
        <w:gridCol w:w="1758"/>
      </w:tblGrid>
      <w:tr>
        <w:trPr>
          <w:tblHeader/>
        </w:trPr>
        <w:tc>
          <w:tcPr>
            <w:tcW w:type="dxa" w:w="1758"/>
          </w:tcPr>
          <w:p>
            <w:pPr>
              <w:keepNext/>
              <w:spacing w:after="40"/>
              <w:jc w:val="center"/>
            </w:pPr>
            <w:r>
              <w:rPr>
                <w:rFonts w:ascii="Times New Roman" w:hAnsi="Times New Roman"/>
                <w:b/>
                <w:sz w:val="20"/>
              </w:rPr>
              <w:t>Услов</w:t>
            </w:r>
          </w:p>
        </w:tc>
        <w:tc>
          <w:tcPr>
            <w:tcW w:type="dxa" w:w="1758"/>
          </w:tcPr>
          <w:p>
            <w:pPr>
              <w:keepNext/>
              <w:spacing w:after="40"/>
              <w:jc w:val="center"/>
            </w:pPr>
            <w:r>
              <w:rPr>
                <w:rFonts w:ascii="Times New Roman" w:hAnsi="Times New Roman"/>
                <w:b/>
                <w:sz w:val="20"/>
              </w:rPr>
              <w:t>Прозора</w:t>
            </w:r>
          </w:p>
        </w:tc>
        <w:tc>
          <w:tcPr>
            <w:tcW w:type="dxa" w:w="1758"/>
          </w:tcPr>
          <w:p>
            <w:pPr>
              <w:keepNext/>
              <w:spacing w:after="40"/>
              <w:jc w:val="center"/>
            </w:pPr>
            <w:r>
              <w:rPr>
                <w:rFonts w:ascii="Times New Roman" w:hAnsi="Times New Roman"/>
                <w:b/>
                <w:sz w:val="20"/>
              </w:rPr>
              <w:t>Непоузданих</w:t>
            </w:r>
          </w:p>
        </w:tc>
        <w:tc>
          <w:tcPr>
            <w:tcW w:type="dxa" w:w="1758"/>
          </w:tcPr>
          <w:p>
            <w:pPr>
              <w:keepNext/>
              <w:spacing w:after="40"/>
              <w:jc w:val="center"/>
            </w:pPr>
            <w:r>
              <w:rPr>
                <w:rFonts w:ascii="Times New Roman" w:hAnsi="Times New Roman"/>
                <w:b/>
                <w:sz w:val="20"/>
              </w:rPr>
              <w:t>Алармних</w:t>
            </w:r>
          </w:p>
        </w:tc>
        <w:tc>
          <w:tcPr>
            <w:tcW w:type="dxa" w:w="1758"/>
          </w:tcPr>
          <w:p>
            <w:pPr>
              <w:keepNext/>
              <w:spacing w:after="40"/>
              <w:jc w:val="center"/>
            </w:pPr>
            <w:r>
              <w:rPr>
                <w:rFonts w:ascii="Times New Roman" w:hAnsi="Times New Roman"/>
                <w:b/>
                <w:sz w:val="20"/>
              </w:rPr>
              <w:t>Медијана оцјене</w:t>
            </w:r>
          </w:p>
        </w:tc>
      </w:tr>
      <w:tr>
        <w:trPr>
          <w:cantSplit/>
        </w:trPr>
        <w:tc>
          <w:tcPr>
            <w:tcW w:type="dxa" w:w="1758"/>
          </w:tcPr>
          <w:p>
            <w:pPr>
              <w:spacing w:after="40"/>
            </w:pPr>
            <w:r>
              <w:rPr>
                <w:rFonts w:ascii="Times New Roman" w:hAnsi="Times New Roman"/>
                <w:b w:val="0"/>
                <w:sz w:val="20"/>
              </w:rPr>
              <w:t>Нормална основа</w:t>
            </w:r>
          </w:p>
        </w:tc>
        <w:tc>
          <w:tcPr>
            <w:tcW w:type="dxa" w:w="1758"/>
          </w:tcPr>
          <w:p>
            <w:pPr>
              <w:spacing w:after="40"/>
              <w:jc w:val="right"/>
            </w:pPr>
            <w:r>
              <w:rPr>
                <w:rFonts w:ascii="Times New Roman" w:hAnsi="Times New Roman"/>
                <w:b w:val="0"/>
                <w:sz w:val="20"/>
              </w:rPr>
              <w:t>4</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1 146</w:t>
            </w:r>
          </w:p>
        </w:tc>
      </w:tr>
      <w:tr>
        <w:trPr>
          <w:cantSplit/>
        </w:trPr>
        <w:tc>
          <w:tcPr>
            <w:tcW w:type="dxa" w:w="1758"/>
          </w:tcPr>
          <w:p>
            <w:pPr>
              <w:spacing w:after="40"/>
            </w:pPr>
            <w:r>
              <w:rPr>
                <w:rFonts w:ascii="Times New Roman" w:hAnsi="Times New Roman"/>
                <w:b w:val="0"/>
                <w:sz w:val="20"/>
              </w:rPr>
              <w:t>Изазвана промјена 1</w:t>
            </w:r>
          </w:p>
        </w:tc>
        <w:tc>
          <w:tcPr>
            <w:tcW w:type="dxa" w:w="1758"/>
          </w:tcPr>
          <w:p>
            <w:pPr>
              <w:spacing w:after="40"/>
              <w:jc w:val="right"/>
            </w:pPr>
            <w:r>
              <w:rPr>
                <w:rFonts w:ascii="Times New Roman" w:hAnsi="Times New Roman"/>
                <w:b w:val="0"/>
                <w:sz w:val="20"/>
              </w:rPr>
              <w:t>4</w:t>
            </w:r>
          </w:p>
        </w:tc>
        <w:tc>
          <w:tcPr>
            <w:tcW w:type="dxa" w:w="1758"/>
          </w:tcPr>
          <w:p>
            <w:pPr>
              <w:spacing w:after="40"/>
              <w:jc w:val="right"/>
            </w:pPr>
            <w:r>
              <w:rPr>
                <w:rFonts w:ascii="Times New Roman" w:hAnsi="Times New Roman"/>
                <w:b w:val="0"/>
                <w:sz w:val="20"/>
              </w:rPr>
              <w:t>3</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30 255</w:t>
            </w:r>
          </w:p>
        </w:tc>
      </w:tr>
      <w:tr>
        <w:trPr>
          <w:cantSplit/>
        </w:trPr>
        <w:tc>
          <w:tcPr>
            <w:tcW w:type="dxa" w:w="1758"/>
          </w:tcPr>
          <w:p>
            <w:pPr>
              <w:spacing w:after="40"/>
            </w:pPr>
            <w:r>
              <w:rPr>
                <w:rFonts w:ascii="Times New Roman" w:hAnsi="Times New Roman"/>
                <w:b w:val="0"/>
                <w:sz w:val="20"/>
              </w:rPr>
              <w:t>Опоравак 1</w:t>
            </w:r>
          </w:p>
        </w:tc>
        <w:tc>
          <w:tcPr>
            <w:tcW w:type="dxa" w:w="1758"/>
          </w:tcPr>
          <w:p>
            <w:pPr>
              <w:spacing w:after="40"/>
              <w:jc w:val="right"/>
            </w:pPr>
            <w:r>
              <w:rPr>
                <w:rFonts w:ascii="Times New Roman" w:hAnsi="Times New Roman"/>
                <w:b w:val="0"/>
                <w:sz w:val="20"/>
              </w:rPr>
              <w:t>4</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2 757</w:t>
            </w:r>
          </w:p>
        </w:tc>
      </w:tr>
      <w:tr>
        <w:trPr>
          <w:cantSplit/>
        </w:trPr>
        <w:tc>
          <w:tcPr>
            <w:tcW w:type="dxa" w:w="1758"/>
          </w:tcPr>
          <w:p>
            <w:pPr>
              <w:spacing w:after="40"/>
            </w:pPr>
            <w:r>
              <w:rPr>
                <w:rFonts w:ascii="Times New Roman" w:hAnsi="Times New Roman"/>
                <w:b w:val="0"/>
                <w:sz w:val="20"/>
              </w:rPr>
              <w:t>Изазвана промјена 2</w:t>
            </w:r>
          </w:p>
        </w:tc>
        <w:tc>
          <w:tcPr>
            <w:tcW w:type="dxa" w:w="1758"/>
          </w:tcPr>
          <w:p>
            <w:pPr>
              <w:spacing w:after="40"/>
              <w:jc w:val="right"/>
            </w:pPr>
            <w:r>
              <w:rPr>
                <w:rFonts w:ascii="Times New Roman" w:hAnsi="Times New Roman"/>
                <w:b w:val="0"/>
                <w:sz w:val="20"/>
              </w:rPr>
              <w:t>4</w:t>
            </w:r>
          </w:p>
        </w:tc>
        <w:tc>
          <w:tcPr>
            <w:tcW w:type="dxa" w:w="1758"/>
          </w:tcPr>
          <w:p>
            <w:pPr>
              <w:spacing w:after="40"/>
              <w:jc w:val="right"/>
            </w:pPr>
            <w:r>
              <w:rPr>
                <w:rFonts w:ascii="Times New Roman" w:hAnsi="Times New Roman"/>
                <w:b w:val="0"/>
                <w:sz w:val="20"/>
              </w:rPr>
              <w:t>3</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62 344</w:t>
            </w:r>
          </w:p>
        </w:tc>
      </w:tr>
      <w:tr>
        <w:trPr>
          <w:cantSplit/>
        </w:trPr>
        <w:tc>
          <w:tcPr>
            <w:tcW w:type="dxa" w:w="1758"/>
          </w:tcPr>
          <w:p>
            <w:pPr>
              <w:spacing w:after="40"/>
            </w:pPr>
            <w:r>
              <w:rPr>
                <w:rFonts w:ascii="Times New Roman" w:hAnsi="Times New Roman"/>
                <w:b w:val="0"/>
                <w:sz w:val="20"/>
              </w:rPr>
              <w:t>Опоравак 2</w:t>
            </w:r>
          </w:p>
        </w:tc>
        <w:tc>
          <w:tcPr>
            <w:tcW w:type="dxa" w:w="1758"/>
          </w:tcPr>
          <w:p>
            <w:pPr>
              <w:spacing w:after="40"/>
              <w:jc w:val="right"/>
            </w:pPr>
            <w:r>
              <w:rPr>
                <w:rFonts w:ascii="Times New Roman" w:hAnsi="Times New Roman"/>
                <w:b w:val="0"/>
                <w:sz w:val="20"/>
              </w:rPr>
              <w:t>4</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2 555</w:t>
            </w:r>
          </w:p>
        </w:tc>
      </w:tr>
      <w:tr>
        <w:trPr>
          <w:cantSplit/>
        </w:trPr>
        <w:tc>
          <w:tcPr>
            <w:tcW w:type="dxa" w:w="1758"/>
          </w:tcPr>
          <w:p>
            <w:pPr>
              <w:spacing w:after="40"/>
            </w:pPr>
            <w:r>
              <w:rPr>
                <w:rFonts w:ascii="Times New Roman" w:hAnsi="Times New Roman"/>
                <w:b w:val="0"/>
                <w:sz w:val="20"/>
              </w:rPr>
              <w:t>Изазвана промјена 3</w:t>
            </w:r>
          </w:p>
        </w:tc>
        <w:tc>
          <w:tcPr>
            <w:tcW w:type="dxa" w:w="1758"/>
          </w:tcPr>
          <w:p>
            <w:pPr>
              <w:spacing w:after="40"/>
              <w:jc w:val="right"/>
            </w:pPr>
            <w:r>
              <w:rPr>
                <w:rFonts w:ascii="Times New Roman" w:hAnsi="Times New Roman"/>
                <w:b w:val="0"/>
                <w:sz w:val="20"/>
              </w:rPr>
              <w:t>4</w:t>
            </w:r>
          </w:p>
        </w:tc>
        <w:tc>
          <w:tcPr>
            <w:tcW w:type="dxa" w:w="1758"/>
          </w:tcPr>
          <w:p>
            <w:pPr>
              <w:spacing w:after="40"/>
              <w:jc w:val="right"/>
            </w:pPr>
            <w:r>
              <w:rPr>
                <w:rFonts w:ascii="Times New Roman" w:hAnsi="Times New Roman"/>
                <w:b w:val="0"/>
                <w:sz w:val="20"/>
              </w:rPr>
              <w:t>1</w:t>
            </w:r>
          </w:p>
        </w:tc>
        <w:tc>
          <w:tcPr>
            <w:tcW w:type="dxa" w:w="1758"/>
          </w:tcPr>
          <w:p>
            <w:pPr>
              <w:spacing w:after="40"/>
              <w:jc w:val="right"/>
            </w:pPr>
            <w:r>
              <w:rPr>
                <w:rFonts w:ascii="Times New Roman" w:hAnsi="Times New Roman"/>
                <w:b w:val="0"/>
                <w:sz w:val="20"/>
              </w:rPr>
              <w:t>2</w:t>
            </w:r>
          </w:p>
        </w:tc>
        <w:tc>
          <w:tcPr>
            <w:tcW w:type="dxa" w:w="1758"/>
          </w:tcPr>
          <w:p>
            <w:pPr>
              <w:spacing w:after="40"/>
              <w:jc w:val="right"/>
            </w:pPr>
            <w:r>
              <w:rPr>
                <w:rFonts w:ascii="Times New Roman" w:hAnsi="Times New Roman"/>
                <w:b w:val="0"/>
                <w:sz w:val="20"/>
              </w:rPr>
              <w:t>19 844</w:t>
            </w:r>
          </w:p>
        </w:tc>
      </w:tr>
      <w:tr>
        <w:trPr>
          <w:cantSplit/>
        </w:trPr>
        <w:tc>
          <w:tcPr>
            <w:tcW w:type="dxa" w:w="1758"/>
          </w:tcPr>
          <w:p>
            <w:pPr>
              <w:spacing w:after="40"/>
            </w:pPr>
            <w:r>
              <w:rPr>
                <w:rFonts w:ascii="Times New Roman" w:hAnsi="Times New Roman"/>
                <w:b w:val="0"/>
                <w:sz w:val="20"/>
              </w:rPr>
              <w:t>Опоравак 3</w:t>
            </w:r>
          </w:p>
        </w:tc>
        <w:tc>
          <w:tcPr>
            <w:tcW w:type="dxa" w:w="1758"/>
          </w:tcPr>
          <w:p>
            <w:pPr>
              <w:spacing w:after="40"/>
              <w:jc w:val="right"/>
            </w:pPr>
            <w:r>
              <w:rPr>
                <w:rFonts w:ascii="Times New Roman" w:hAnsi="Times New Roman"/>
                <w:b w:val="0"/>
                <w:sz w:val="20"/>
              </w:rPr>
              <w:t>4</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1</w:t>
            </w:r>
          </w:p>
        </w:tc>
        <w:tc>
          <w:tcPr>
            <w:tcW w:type="dxa" w:w="1758"/>
          </w:tcPr>
          <w:p>
            <w:pPr>
              <w:spacing w:after="40"/>
              <w:jc w:val="right"/>
            </w:pPr>
            <w:r>
              <w:rPr>
                <w:rFonts w:ascii="Times New Roman" w:hAnsi="Times New Roman"/>
                <w:b w:val="0"/>
                <w:sz w:val="20"/>
              </w:rPr>
              <w:t>3 086</w:t>
            </w:r>
          </w:p>
        </w:tc>
      </w:tr>
      <w:tr>
        <w:trPr>
          <w:cantSplit/>
        </w:trPr>
        <w:tc>
          <w:tcPr>
            <w:tcW w:type="dxa" w:w="1758"/>
          </w:tcPr>
          <w:p>
            <w:pPr>
              <w:spacing w:after="40"/>
            </w:pPr>
            <w:r>
              <w:rPr>
                <w:rFonts w:ascii="Times New Roman" w:hAnsi="Times New Roman"/>
                <w:b w:val="0"/>
                <w:sz w:val="20"/>
              </w:rPr>
              <w:t>Разговор</w:t>
            </w:r>
          </w:p>
        </w:tc>
        <w:tc>
          <w:tcPr>
            <w:tcW w:type="dxa" w:w="1758"/>
          </w:tcPr>
          <w:p>
            <w:pPr>
              <w:spacing w:after="40"/>
              <w:jc w:val="right"/>
            </w:pPr>
            <w:r>
              <w:rPr>
                <w:rFonts w:ascii="Times New Roman" w:hAnsi="Times New Roman"/>
                <w:b w:val="0"/>
                <w:sz w:val="20"/>
              </w:rPr>
              <w:t>4</w:t>
            </w:r>
          </w:p>
        </w:tc>
        <w:tc>
          <w:tcPr>
            <w:tcW w:type="dxa" w:w="1758"/>
          </w:tcPr>
          <w:p>
            <w:pPr>
              <w:spacing w:after="40"/>
              <w:jc w:val="right"/>
            </w:pPr>
            <w:r>
              <w:rPr>
                <w:rFonts w:ascii="Times New Roman" w:hAnsi="Times New Roman"/>
                <w:b w:val="0"/>
                <w:sz w:val="20"/>
              </w:rPr>
              <w:t>4</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38 307</w:t>
            </w:r>
          </w:p>
        </w:tc>
      </w:tr>
      <w:tr>
        <w:trPr>
          <w:cantSplit/>
        </w:trPr>
        <w:tc>
          <w:tcPr>
            <w:tcW w:type="dxa" w:w="1758"/>
          </w:tcPr>
          <w:p>
            <w:pPr>
              <w:spacing w:after="40"/>
            </w:pPr>
            <w:r>
              <w:rPr>
                <w:rFonts w:ascii="Times New Roman" w:hAnsi="Times New Roman"/>
                <w:b w:val="0"/>
                <w:sz w:val="20"/>
              </w:rPr>
              <w:t>Опоравак послије разговора</w:t>
            </w:r>
          </w:p>
        </w:tc>
        <w:tc>
          <w:tcPr>
            <w:tcW w:type="dxa" w:w="1758"/>
          </w:tcPr>
          <w:p>
            <w:pPr>
              <w:spacing w:after="40"/>
              <w:jc w:val="right"/>
            </w:pPr>
            <w:r>
              <w:rPr>
                <w:rFonts w:ascii="Times New Roman" w:hAnsi="Times New Roman"/>
                <w:b w:val="0"/>
                <w:sz w:val="20"/>
              </w:rPr>
              <w:t>4</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2 819</w:t>
            </w:r>
          </w:p>
        </w:tc>
      </w:tr>
      <w:tr>
        <w:trPr>
          <w:cantSplit/>
        </w:trPr>
        <w:tc>
          <w:tcPr>
            <w:tcW w:type="dxa" w:w="1758"/>
          </w:tcPr>
          <w:p>
            <w:pPr>
              <w:spacing w:after="40"/>
            </w:pPr>
            <w:r>
              <w:rPr>
                <w:rFonts w:ascii="Times New Roman" w:hAnsi="Times New Roman"/>
                <w:b w:val="0"/>
                <w:sz w:val="20"/>
              </w:rPr>
              <w:t>Врата</w:t>
            </w:r>
          </w:p>
        </w:tc>
        <w:tc>
          <w:tcPr>
            <w:tcW w:type="dxa" w:w="1758"/>
          </w:tcPr>
          <w:p>
            <w:pPr>
              <w:spacing w:after="40"/>
              <w:jc w:val="right"/>
            </w:pPr>
            <w:r>
              <w:rPr>
                <w:rFonts w:ascii="Times New Roman" w:hAnsi="Times New Roman"/>
                <w:b w:val="0"/>
                <w:sz w:val="20"/>
              </w:rPr>
              <w:t>2</w:t>
            </w:r>
          </w:p>
        </w:tc>
        <w:tc>
          <w:tcPr>
            <w:tcW w:type="dxa" w:w="1758"/>
          </w:tcPr>
          <w:p>
            <w:pPr>
              <w:spacing w:after="40"/>
              <w:jc w:val="right"/>
            </w:pPr>
            <w:r>
              <w:rPr>
                <w:rFonts w:ascii="Times New Roman" w:hAnsi="Times New Roman"/>
                <w:b w:val="0"/>
                <w:sz w:val="20"/>
              </w:rPr>
              <w:t>1</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49 549</w:t>
            </w:r>
          </w:p>
        </w:tc>
      </w:tr>
      <w:tr>
        <w:trPr>
          <w:cantSplit/>
        </w:trPr>
        <w:tc>
          <w:tcPr>
            <w:tcW w:type="dxa" w:w="1758"/>
          </w:tcPr>
          <w:p>
            <w:pPr>
              <w:spacing w:after="40"/>
            </w:pPr>
            <w:r>
              <w:rPr>
                <w:rFonts w:ascii="Times New Roman" w:hAnsi="Times New Roman"/>
                <w:b w:val="0"/>
                <w:sz w:val="20"/>
              </w:rPr>
              <w:t>Завршни опоравак</w:t>
            </w:r>
          </w:p>
        </w:tc>
        <w:tc>
          <w:tcPr>
            <w:tcW w:type="dxa" w:w="1758"/>
          </w:tcPr>
          <w:p>
            <w:pPr>
              <w:spacing w:after="40"/>
              <w:jc w:val="right"/>
            </w:pPr>
            <w:r>
              <w:rPr>
                <w:rFonts w:ascii="Times New Roman" w:hAnsi="Times New Roman"/>
                <w:b w:val="0"/>
                <w:sz w:val="20"/>
              </w:rPr>
              <w:t>5</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2 825</w:t>
            </w:r>
          </w:p>
        </w:tc>
      </w:tr>
    </w:tbl>
    <w:p>
      <w:pPr>
        <w:spacing w:after="80"/>
      </w:pPr>
    </w:p>
    <w:p>
      <w:pPr>
        <w:pStyle w:val="BodyText"/>
        <w:ind w:firstLine="0"/>
      </w:pPr>
      <w:r>
        <w:rPr>
          <w:rFonts w:ascii="Times New Roman" w:hAnsi="Times New Roman"/>
          <w:b w:val="0"/>
          <w:sz w:val="22"/>
        </w:rPr>
        <w:t>Медијане оцјена у три блока износе 30 255, 62 344 и 19 844, наспрам 1146 у нормалној основи, након изостављања прелазних прозора. У прва два блока три од четири прихватљива прозора имају ознаку HOLD. Аларм је регистрован у трећем блоку, док унапријед задати критериј детекције у сва три блока није задовољен.</w:t>
      </w:r>
    </w:p>
    <w:p>
      <w:pPr>
        <w:pStyle w:val="BodyText"/>
      </w:pPr>
      <w:r>
        <w:rPr>
          <w:rFonts w:ascii="Times New Roman" w:hAnsi="Times New Roman"/>
          <w:b w:val="0"/>
          <w:sz w:val="22"/>
        </w:rPr>
        <w:t>GUIDED25 извјештај има исход FAIL: детекција је остварена у једном од три блока, а аларм је пренесен у опоравак. Одбацивање нестабилних прозора одговара имплементираној логици, али тиме није испуњен циљ експеримента. Држање папирића руком је могуће објашњење нестабилности; без независног мјерења побуде није потврђен једини узрок. У скупу прихватљивих прозора опоравак садржи један алармни прозор. Уређај је пријавио једну алармну епизоду, која се угасила у трећем прозору опоравка.</w:t>
      </w:r>
    </w:p>
    <w:p>
      <w:pPr>
        <w:pStyle w:val="BodyText"/>
      </w:pPr>
      <w:r>
        <w:rPr>
          <w:rFonts w:ascii="Times New Roman" w:hAnsi="Times New Roman"/>
          <w:b w:val="0"/>
          <w:sz w:val="22"/>
        </w:rPr>
        <w:t>У означеним блоковима разговора и врата нема аларма. Медијане прихватљивих прозора износе 38 307 и 49 549. Сва четири прозора разговора и један од два прозора врата имају HOLD ознаку. Ови кратки блокови показују понашање у датој поставци, али не процјењују општу отпорност на буку. Слика 7.1 приказује све DET прозоре ради континуитета, док Табела 7.4 изоставља прелазне и непотврђене прозоре.</w:t>
      </w:r>
    </w:p>
    <w:p>
      <w:pPr>
        <w:keepNext/>
        <w:spacing w:before="160"/>
        <w:jc w:val="center"/>
      </w:pPr>
      <w:r>
        <w:drawing>
          <wp:inline xmlns:a="http://schemas.openxmlformats.org/drawingml/2006/main" xmlns:pic="http://schemas.openxmlformats.org/drawingml/2006/picture">
            <wp:extent cx="5040000" cy="2754236"/>
            <wp:docPr id="5" name="Picture 5"/>
            <wp:cNvGraphicFramePr>
              <a:graphicFrameLocks noChangeAspect="1"/>
            </wp:cNvGraphicFramePr>
            <a:graphic>
              <a:graphicData uri="http://schemas.openxmlformats.org/drawingml/2006/picture">
                <pic:pic>
                  <pic:nvPicPr>
                    <pic:cNvPr id="0" name="sl_run_papiric.png"/>
                    <pic:cNvPicPr/>
                  </pic:nvPicPr>
                  <pic:blipFill>
                    <a:blip r:embed="rId15"/>
                    <a:stretch>
                      <a:fillRect/>
                    </a:stretch>
                  </pic:blipFill>
                  <pic:spPr>
                    <a:xfrm>
                      <a:off x="0" y="0"/>
                      <a:ext cx="5040000" cy="2754236"/>
                    </a:xfrm>
                    <a:prstGeom prst="rect"/>
                  </pic:spPr>
                </pic:pic>
              </a:graphicData>
            </a:graphic>
          </wp:inline>
        </w:drawing>
      </w:r>
    </w:p>
    <w:p>
      <w:pPr>
        <w:pStyle w:val="Potpisslike"/>
        <w:spacing w:after="200"/>
        <w:jc w:val="center"/>
      </w:pPr>
      <w:r>
        <w:rPr>
          <w:rFonts w:ascii="Times New Roman" w:hAnsi="Times New Roman"/>
          <w:b w:val="0"/>
          <w:sz w:val="22"/>
        </w:rPr>
        <w:t>Слика 7.1. Траса оцјене током мјерења са изазваном промјеном протока; означени су праг уласка, праг изласка, непоуздани прозори и алармна епизода</w:t>
      </w:r>
    </w:p>
    <w:p>
      <w:pPr>
        <w:pStyle w:val="Heading3"/>
      </w:pPr>
      <w:r>
        <w:rPr>
          <w:rFonts w:ascii="Arial" w:hAnsi="Arial"/>
          <w:b/>
          <w:sz w:val="24"/>
        </w:rPr>
        <w:t>7.4.2. Мјерење са константном промјеном</w:t>
      </w:r>
    </w:p>
    <w:p>
      <w:pPr>
        <w:pStyle w:val="BodyText"/>
      </w:pPr>
      <w:r>
        <w:rPr>
          <w:rFonts w:ascii="Times New Roman" w:hAnsi="Times New Roman"/>
          <w:b w:val="0"/>
          <w:sz w:val="22"/>
        </w:rPr>
        <w:t>Друго мјерење користи репродуковани тон од 1 kHz. Калибрација је прихваћена без избацивања исјечака, са коефицијентом варијације 0,43; прагови износе 21 810 и 10 905. У записима је услов означен као константан тон, али постоје биљешке о промјени јачине током пробе. Табела 7.5 зато описује означени блок, а не побуду независно измјерене и сталне амплитуде.</w:t>
      </w:r>
    </w:p>
    <w:p>
      <w:pPr>
        <w:pStyle w:val="Potpistabele"/>
        <w:keepNext/>
        <w:spacing w:before="200" w:after="60"/>
        <w:jc w:val="center"/>
      </w:pPr>
      <w:r>
        <w:rPr>
          <w:rFonts w:ascii="Times New Roman" w:hAnsi="Times New Roman"/>
          <w:b w:val="0"/>
          <w:sz w:val="22"/>
        </w:rPr>
        <w:t>Табела 7.5. Оцјене по означеним условима, мјерење са константним тоном (праг уласка 21 810)</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rPr>
          <w:tblHeader/>
        </w:trPr>
        <w:tc>
          <w:tcPr>
            <w:tcW w:type="dxa" w:w="1465"/>
          </w:tcPr>
          <w:p>
            <w:pPr>
              <w:keepNext/>
              <w:spacing w:after="40"/>
              <w:jc w:val="center"/>
            </w:pPr>
            <w:r>
              <w:rPr>
                <w:rFonts w:ascii="Times New Roman" w:hAnsi="Times New Roman"/>
                <w:b/>
                <w:sz w:val="20"/>
              </w:rPr>
              <w:t>Услов</w:t>
            </w:r>
          </w:p>
        </w:tc>
        <w:tc>
          <w:tcPr>
            <w:tcW w:type="dxa" w:w="1465"/>
          </w:tcPr>
          <w:p>
            <w:pPr>
              <w:keepNext/>
              <w:spacing w:after="40"/>
              <w:jc w:val="center"/>
            </w:pPr>
            <w:r>
              <w:rPr>
                <w:rFonts w:ascii="Times New Roman" w:hAnsi="Times New Roman"/>
                <w:b/>
                <w:sz w:val="20"/>
              </w:rPr>
              <w:t>Прозора</w:t>
            </w:r>
          </w:p>
        </w:tc>
        <w:tc>
          <w:tcPr>
            <w:tcW w:type="dxa" w:w="1465"/>
          </w:tcPr>
          <w:p>
            <w:pPr>
              <w:keepNext/>
              <w:spacing w:after="40"/>
              <w:jc w:val="center"/>
            </w:pPr>
            <w:r>
              <w:rPr>
                <w:rFonts w:ascii="Times New Roman" w:hAnsi="Times New Roman"/>
                <w:b/>
                <w:sz w:val="20"/>
              </w:rPr>
              <w:t>Непоузданих</w:t>
            </w:r>
          </w:p>
        </w:tc>
        <w:tc>
          <w:tcPr>
            <w:tcW w:type="dxa" w:w="1465"/>
          </w:tcPr>
          <w:p>
            <w:pPr>
              <w:keepNext/>
              <w:spacing w:after="40"/>
              <w:jc w:val="center"/>
            </w:pPr>
            <w:r>
              <w:rPr>
                <w:rFonts w:ascii="Times New Roman" w:hAnsi="Times New Roman"/>
                <w:b/>
                <w:sz w:val="20"/>
              </w:rPr>
              <w:t>Алармних</w:t>
            </w:r>
          </w:p>
        </w:tc>
        <w:tc>
          <w:tcPr>
            <w:tcW w:type="dxa" w:w="1465"/>
          </w:tcPr>
          <w:p>
            <w:pPr>
              <w:keepNext/>
              <w:spacing w:after="40"/>
              <w:jc w:val="center"/>
            </w:pPr>
            <w:r>
              <w:rPr>
                <w:rFonts w:ascii="Times New Roman" w:hAnsi="Times New Roman"/>
                <w:b/>
                <w:sz w:val="20"/>
              </w:rPr>
              <w:t>Медијана</w:t>
            </w:r>
          </w:p>
        </w:tc>
        <w:tc>
          <w:tcPr>
            <w:tcW w:type="dxa" w:w="1465"/>
          </w:tcPr>
          <w:p>
            <w:pPr>
              <w:keepNext/>
              <w:spacing w:after="40"/>
              <w:jc w:val="center"/>
            </w:pPr>
            <w:r>
              <w:rPr>
                <w:rFonts w:ascii="Times New Roman" w:hAnsi="Times New Roman"/>
                <w:b/>
                <w:sz w:val="20"/>
              </w:rPr>
              <w:t>Опсег</w:t>
            </w:r>
          </w:p>
        </w:tc>
      </w:tr>
      <w:tr>
        <w:trPr>
          <w:cantSplit/>
        </w:trPr>
        <w:tc>
          <w:tcPr>
            <w:tcW w:type="dxa" w:w="1465"/>
          </w:tcPr>
          <w:p>
            <w:pPr>
              <w:spacing w:after="40"/>
            </w:pPr>
            <w:r>
              <w:rPr>
                <w:rFonts w:ascii="Times New Roman" w:hAnsi="Times New Roman"/>
                <w:b w:val="0"/>
                <w:sz w:val="20"/>
              </w:rPr>
              <w:t>Нормална основа</w:t>
            </w:r>
          </w:p>
        </w:tc>
        <w:tc>
          <w:tcPr>
            <w:tcW w:type="dxa" w:w="1465"/>
          </w:tcPr>
          <w:p>
            <w:pPr>
              <w:spacing w:after="40"/>
              <w:jc w:val="right"/>
            </w:pPr>
            <w:r>
              <w:rPr>
                <w:rFonts w:ascii="Times New Roman" w:hAnsi="Times New Roman"/>
                <w:b w:val="0"/>
                <w:sz w:val="20"/>
              </w:rPr>
              <w:t>5</w:t>
            </w:r>
          </w:p>
        </w:tc>
        <w:tc>
          <w:tcPr>
            <w:tcW w:type="dxa" w:w="1465"/>
          </w:tcPr>
          <w:p>
            <w:pPr>
              <w:spacing w:after="40"/>
              <w:jc w:val="right"/>
            </w:pPr>
            <w:r>
              <w:rPr>
                <w:rFonts w:ascii="Times New Roman" w:hAnsi="Times New Roman"/>
                <w:b w:val="0"/>
                <w:sz w:val="20"/>
              </w:rPr>
              <w:t>0</w:t>
            </w:r>
          </w:p>
        </w:tc>
        <w:tc>
          <w:tcPr>
            <w:tcW w:type="dxa" w:w="1465"/>
          </w:tcPr>
          <w:p>
            <w:pPr>
              <w:spacing w:after="40"/>
              <w:jc w:val="right"/>
            </w:pPr>
            <w:r>
              <w:rPr>
                <w:rFonts w:ascii="Times New Roman" w:hAnsi="Times New Roman"/>
                <w:b w:val="0"/>
                <w:sz w:val="20"/>
              </w:rPr>
              <w:t>0</w:t>
            </w:r>
          </w:p>
        </w:tc>
        <w:tc>
          <w:tcPr>
            <w:tcW w:type="dxa" w:w="1465"/>
          </w:tcPr>
          <w:p>
            <w:pPr>
              <w:spacing w:after="40"/>
              <w:jc w:val="right"/>
            </w:pPr>
            <w:r>
              <w:rPr>
                <w:rFonts w:ascii="Times New Roman" w:hAnsi="Times New Roman"/>
                <w:b w:val="0"/>
                <w:sz w:val="20"/>
              </w:rPr>
              <w:t>7 085</w:t>
            </w:r>
          </w:p>
        </w:tc>
        <w:tc>
          <w:tcPr>
            <w:tcW w:type="dxa" w:w="1465"/>
          </w:tcPr>
          <w:p>
            <w:pPr>
              <w:spacing w:after="40"/>
            </w:pPr>
            <w:r>
              <w:rPr>
                <w:rFonts w:ascii="Times New Roman" w:hAnsi="Times New Roman"/>
                <w:b w:val="0"/>
                <w:sz w:val="20"/>
              </w:rPr>
              <w:t>6 712 – 8 171</w:t>
            </w:r>
          </w:p>
        </w:tc>
      </w:tr>
      <w:tr>
        <w:trPr>
          <w:cantSplit/>
        </w:trPr>
        <w:tc>
          <w:tcPr>
            <w:tcW w:type="dxa" w:w="1465"/>
          </w:tcPr>
          <w:p>
            <w:pPr>
              <w:spacing w:after="40"/>
            </w:pPr>
            <w:r>
              <w:rPr>
                <w:rFonts w:ascii="Times New Roman" w:hAnsi="Times New Roman"/>
                <w:b w:val="0"/>
                <w:sz w:val="20"/>
              </w:rPr>
              <w:t>Константан тон</w:t>
            </w:r>
          </w:p>
        </w:tc>
        <w:tc>
          <w:tcPr>
            <w:tcW w:type="dxa" w:w="1465"/>
          </w:tcPr>
          <w:p>
            <w:pPr>
              <w:spacing w:after="40"/>
              <w:jc w:val="right"/>
            </w:pPr>
            <w:r>
              <w:rPr>
                <w:rFonts w:ascii="Times New Roman" w:hAnsi="Times New Roman"/>
                <w:b w:val="0"/>
                <w:sz w:val="20"/>
              </w:rPr>
              <w:t>44</w:t>
            </w:r>
          </w:p>
        </w:tc>
        <w:tc>
          <w:tcPr>
            <w:tcW w:type="dxa" w:w="1465"/>
          </w:tcPr>
          <w:p>
            <w:pPr>
              <w:spacing w:after="40"/>
              <w:jc w:val="right"/>
            </w:pPr>
            <w:r>
              <w:rPr>
                <w:rFonts w:ascii="Times New Roman" w:hAnsi="Times New Roman"/>
                <w:b w:val="0"/>
                <w:sz w:val="20"/>
              </w:rPr>
              <w:t>8</w:t>
            </w:r>
          </w:p>
        </w:tc>
        <w:tc>
          <w:tcPr>
            <w:tcW w:type="dxa" w:w="1465"/>
          </w:tcPr>
          <w:p>
            <w:pPr>
              <w:spacing w:after="40"/>
              <w:jc w:val="right"/>
            </w:pPr>
            <w:r>
              <w:rPr>
                <w:rFonts w:ascii="Times New Roman" w:hAnsi="Times New Roman"/>
                <w:b w:val="0"/>
                <w:sz w:val="20"/>
              </w:rPr>
              <w:t>14</w:t>
            </w:r>
          </w:p>
        </w:tc>
        <w:tc>
          <w:tcPr>
            <w:tcW w:type="dxa" w:w="1465"/>
          </w:tcPr>
          <w:p>
            <w:pPr>
              <w:spacing w:after="40"/>
              <w:jc w:val="right"/>
            </w:pPr>
            <w:r>
              <w:rPr>
                <w:rFonts w:ascii="Times New Roman" w:hAnsi="Times New Roman"/>
                <w:b w:val="0"/>
                <w:sz w:val="20"/>
              </w:rPr>
              <w:t>23 574</w:t>
            </w:r>
          </w:p>
        </w:tc>
        <w:tc>
          <w:tcPr>
            <w:tcW w:type="dxa" w:w="1465"/>
          </w:tcPr>
          <w:p>
            <w:pPr>
              <w:spacing w:after="40"/>
            </w:pPr>
            <w:r>
              <w:rPr>
                <w:rFonts w:ascii="Times New Roman" w:hAnsi="Times New Roman"/>
                <w:b w:val="0"/>
                <w:sz w:val="20"/>
              </w:rPr>
              <w:t>7 327 – 87 152</w:t>
            </w:r>
          </w:p>
        </w:tc>
      </w:tr>
      <w:tr>
        <w:trPr>
          <w:cantSplit/>
        </w:trPr>
        <w:tc>
          <w:tcPr>
            <w:tcW w:type="dxa" w:w="1465"/>
          </w:tcPr>
          <w:p>
            <w:pPr>
              <w:spacing w:after="40"/>
            </w:pPr>
            <w:r>
              <w:rPr>
                <w:rFonts w:ascii="Times New Roman" w:hAnsi="Times New Roman"/>
                <w:b w:val="0"/>
                <w:sz w:val="20"/>
              </w:rPr>
              <w:t>Ознака опоравка послије тона</w:t>
            </w:r>
          </w:p>
        </w:tc>
        <w:tc>
          <w:tcPr>
            <w:tcW w:type="dxa" w:w="1465"/>
          </w:tcPr>
          <w:p>
            <w:pPr>
              <w:spacing w:after="40"/>
              <w:jc w:val="right"/>
            </w:pPr>
            <w:r>
              <w:rPr>
                <w:rFonts w:ascii="Times New Roman" w:hAnsi="Times New Roman"/>
                <w:b w:val="0"/>
                <w:sz w:val="20"/>
              </w:rPr>
              <w:t>50</w:t>
            </w:r>
          </w:p>
        </w:tc>
        <w:tc>
          <w:tcPr>
            <w:tcW w:type="dxa" w:w="1465"/>
          </w:tcPr>
          <w:p>
            <w:pPr>
              <w:spacing w:after="40"/>
              <w:jc w:val="right"/>
            </w:pPr>
            <w:r>
              <w:rPr>
                <w:rFonts w:ascii="Times New Roman" w:hAnsi="Times New Roman"/>
                <w:b w:val="0"/>
                <w:sz w:val="20"/>
              </w:rPr>
              <w:t>8</w:t>
            </w:r>
          </w:p>
        </w:tc>
        <w:tc>
          <w:tcPr>
            <w:tcW w:type="dxa" w:w="1465"/>
          </w:tcPr>
          <w:p>
            <w:pPr>
              <w:spacing w:after="40"/>
              <w:jc w:val="right"/>
            </w:pPr>
            <w:r>
              <w:rPr>
                <w:rFonts w:ascii="Times New Roman" w:hAnsi="Times New Roman"/>
                <w:b w:val="0"/>
                <w:sz w:val="20"/>
              </w:rPr>
              <w:t>50</w:t>
            </w:r>
          </w:p>
        </w:tc>
        <w:tc>
          <w:tcPr>
            <w:tcW w:type="dxa" w:w="1465"/>
          </w:tcPr>
          <w:p>
            <w:pPr>
              <w:spacing w:after="40"/>
              <w:jc w:val="right"/>
            </w:pPr>
            <w:r>
              <w:rPr>
                <w:rFonts w:ascii="Times New Roman" w:hAnsi="Times New Roman"/>
                <w:b w:val="0"/>
                <w:sz w:val="20"/>
              </w:rPr>
              <w:t>33 170</w:t>
            </w:r>
          </w:p>
        </w:tc>
        <w:tc>
          <w:tcPr>
            <w:tcW w:type="dxa" w:w="1465"/>
          </w:tcPr>
          <w:p>
            <w:pPr>
              <w:spacing w:after="40"/>
            </w:pPr>
            <w:r>
              <w:rPr>
                <w:rFonts w:ascii="Times New Roman" w:hAnsi="Times New Roman"/>
                <w:b w:val="0"/>
                <w:sz w:val="20"/>
              </w:rPr>
              <w:t>12 266 – 127 539</w:t>
            </w:r>
          </w:p>
        </w:tc>
      </w:tr>
    </w:tbl>
    <w:p>
      <w:pPr>
        <w:spacing w:after="80"/>
      </w:pPr>
    </w:p>
    <w:p>
      <w:pPr>
        <w:pStyle w:val="BodyText"/>
        <w:ind w:firstLine="0"/>
      </w:pPr>
      <w:r>
        <w:rPr>
          <w:rFonts w:ascii="Times New Roman" w:hAnsi="Times New Roman"/>
          <w:b w:val="0"/>
          <w:sz w:val="22"/>
        </w:rPr>
        <w:t>Аларм се подиже када се остваре три узастопна поуздана прекорачења. То одговара приближно 30 s трајања три прозора, али није измјерена латенција од првог укључивања тона. Догађај трајног одступања настаје на дванаестом мјереном алармном прозору, укључујући прозор уласка; HOLD паузира тај бројач. Нема пријављених губитака узорака. Манифест садржи 125 истраживачких прозора, односно 10 CAL и 115 DET прозора; не садржи обиљежја цијелих DERIVE и VERIFY фаза.</w:t>
      </w:r>
    </w:p>
    <w:p>
      <w:pPr>
        <w:pStyle w:val="BodyText"/>
      </w:pPr>
      <w:r>
        <w:rPr>
          <w:rFonts w:ascii="Times New Roman" w:hAnsi="Times New Roman"/>
          <w:b w:val="0"/>
          <w:sz w:val="22"/>
        </w:rPr>
        <w:t>Првих девет прозора означених тоном остаје испод улазног прага. Неки премашују ранији опсег нормалне основе, па се не могу описати као да су сви у том опсегу. Касније оцјене расту. Без записа тачног тренутка промјене јачине и калибрисаног извора не може се издвојити однос дозе и одзива. Слика 7.2 приказује цијелу трасу, укључујући прелазне прозоре.</w:t>
      </w:r>
    </w:p>
    <w:p>
      <w:pPr>
        <w:keepNext/>
        <w:spacing w:before="160"/>
        <w:jc w:val="center"/>
      </w:pPr>
      <w:r>
        <w:drawing>
          <wp:inline xmlns:a="http://schemas.openxmlformats.org/drawingml/2006/main" xmlns:pic="http://schemas.openxmlformats.org/drawingml/2006/picture">
            <wp:extent cx="5040000" cy="2754236"/>
            <wp:docPr id="6" name="Picture 6"/>
            <wp:cNvGraphicFramePr>
              <a:graphicFrameLocks noChangeAspect="1"/>
            </wp:cNvGraphicFramePr>
            <a:graphic>
              <a:graphicData uri="http://schemas.openxmlformats.org/drawingml/2006/picture">
                <pic:pic>
                  <pic:nvPicPr>
                    <pic:cNvPr id="0" name="sl_run_ton.png"/>
                    <pic:cNvPicPr/>
                  </pic:nvPicPr>
                  <pic:blipFill>
                    <a:blip r:embed="rId16"/>
                    <a:stretch>
                      <a:fillRect/>
                    </a:stretch>
                  </pic:blipFill>
                  <pic:spPr>
                    <a:xfrm>
                      <a:off x="0" y="0"/>
                      <a:ext cx="5040000" cy="2754236"/>
                    </a:xfrm>
                    <a:prstGeom prst="rect"/>
                  </pic:spPr>
                </pic:pic>
              </a:graphicData>
            </a:graphic>
          </wp:inline>
        </w:drawing>
      </w:r>
    </w:p>
    <w:p>
      <w:pPr>
        <w:pStyle w:val="Potpisslike"/>
        <w:spacing w:after="200"/>
        <w:jc w:val="center"/>
      </w:pPr>
      <w:r>
        <w:rPr>
          <w:rFonts w:ascii="Times New Roman" w:hAnsi="Times New Roman"/>
          <w:b w:val="0"/>
          <w:sz w:val="22"/>
        </w:rPr>
        <w:t>Слика 7.2. Траса пробе тоном: три поуздана прекорачења за улаз, дванаести мјерени алармни прозор за трајно одступање</w:t>
      </w:r>
    </w:p>
    <w:p>
      <w:pPr>
        <w:pStyle w:val="BodyText"/>
      </w:pPr>
      <w:r>
        <w:rPr>
          <w:rFonts w:ascii="Times New Roman" w:hAnsi="Times New Roman"/>
          <w:b w:val="0"/>
          <w:sz w:val="22"/>
        </w:rPr>
        <w:t>Пред крај записа оцјена пада са приближно 40 000 на 12 266–19 561, испод улазног, али изнад излазног прага. Аларм остаје активан. Из овог пада се не може одредити тачно вријеме гашења извора, а вријеме завршног опоравка није измјерено.</w:t>
      </w:r>
    </w:p>
    <w:p>
      <w:pPr>
        <w:pStyle w:val="Heading2"/>
      </w:pPr>
      <w:r>
        <w:rPr>
          <w:rFonts w:ascii="Arial" w:hAnsi="Arial"/>
          <w:b/>
          <w:sz w:val="28"/>
        </w:rPr>
        <w:t>7.5. Сажетак физичких мјерења</w:t>
      </w:r>
    </w:p>
    <w:p>
      <w:pPr>
        <w:pStyle w:val="BodyText"/>
        <w:ind w:firstLine="0"/>
      </w:pPr>
      <w:r>
        <w:rPr>
          <w:rFonts w:ascii="Times New Roman" w:hAnsi="Times New Roman"/>
          <w:b w:val="0"/>
          <w:sz w:val="22"/>
        </w:rPr>
        <w:t>Табела 7.6 сажима оба валидна мјерења на вентилатору, једно поред другог.</w:t>
      </w:r>
    </w:p>
    <w:p>
      <w:pPr>
        <w:pStyle w:val="Potpistabele"/>
        <w:keepNext/>
        <w:spacing w:before="200" w:after="60"/>
        <w:jc w:val="center"/>
      </w:pPr>
      <w:r>
        <w:rPr>
          <w:rFonts w:ascii="Times New Roman" w:hAnsi="Times New Roman"/>
          <w:b w:val="0"/>
          <w:sz w:val="22"/>
        </w:rPr>
        <w:t>Табела 7.6. Сажетак два валидна мјерења на вентилатору</w:t>
      </w:r>
    </w:p>
    <w:tbl>
      <w:tblPr>
        <w:tblStyle w:val="TableGrid"/>
        <w:tblW w:type="auto" w:w="0"/>
        <w:jc w:val="center"/>
        <w:tblLook w:firstColumn="1" w:firstRow="1" w:lastColumn="0" w:lastRow="0" w:noHBand="0" w:noVBand="1" w:val="04A0"/>
      </w:tblPr>
      <w:tblGrid>
        <w:gridCol w:w="2929"/>
        <w:gridCol w:w="2929"/>
        <w:gridCol w:w="2929"/>
      </w:tblGrid>
      <w:tr>
        <w:trPr>
          <w:tblHeader/>
        </w:trPr>
        <w:tc>
          <w:tcPr>
            <w:tcW w:type="dxa" w:w="2929"/>
          </w:tcPr>
          <w:p>
            <w:pPr>
              <w:keepNext/>
              <w:spacing w:after="40"/>
              <w:jc w:val="center"/>
            </w:pPr>
            <w:r>
              <w:rPr>
                <w:rFonts w:ascii="Times New Roman" w:hAnsi="Times New Roman"/>
                <w:b/>
                <w:sz w:val="20"/>
              </w:rPr>
              <w:t>Величина</w:t>
            </w:r>
          </w:p>
        </w:tc>
        <w:tc>
          <w:tcPr>
            <w:tcW w:type="dxa" w:w="2929"/>
          </w:tcPr>
          <w:p>
            <w:pPr>
              <w:keepNext/>
              <w:spacing w:after="40"/>
              <w:jc w:val="center"/>
            </w:pPr>
            <w:r>
              <w:rPr>
                <w:rFonts w:ascii="Times New Roman" w:hAnsi="Times New Roman"/>
                <w:b/>
                <w:sz w:val="20"/>
              </w:rPr>
              <w:t>Изазвана промјена протока</w:t>
            </w:r>
          </w:p>
        </w:tc>
        <w:tc>
          <w:tcPr>
            <w:tcW w:type="dxa" w:w="2929"/>
          </w:tcPr>
          <w:p>
            <w:pPr>
              <w:keepNext/>
              <w:spacing w:after="40"/>
              <w:jc w:val="center"/>
            </w:pPr>
            <w:r>
              <w:rPr>
                <w:rFonts w:ascii="Times New Roman" w:hAnsi="Times New Roman"/>
                <w:b/>
                <w:sz w:val="20"/>
              </w:rPr>
              <w:t>Тон од 1 kHz</w:t>
            </w:r>
          </w:p>
        </w:tc>
      </w:tr>
      <w:tr>
        <w:trPr>
          <w:cantSplit/>
        </w:trPr>
        <w:tc>
          <w:tcPr>
            <w:tcW w:type="dxa" w:w="2929"/>
          </w:tcPr>
          <w:p>
            <w:pPr>
              <w:spacing w:after="40"/>
            </w:pPr>
            <w:r>
              <w:rPr>
                <w:rFonts w:ascii="Times New Roman" w:hAnsi="Times New Roman"/>
                <w:b w:val="0"/>
                <w:sz w:val="20"/>
              </w:rPr>
              <w:t>Калибрација</w:t>
            </w:r>
          </w:p>
        </w:tc>
        <w:tc>
          <w:tcPr>
            <w:tcW w:type="dxa" w:w="2929"/>
          </w:tcPr>
          <w:p>
            <w:pPr>
              <w:spacing w:after="40"/>
            </w:pPr>
            <w:r>
              <w:rPr>
                <w:rFonts w:ascii="Times New Roman" w:hAnsi="Times New Roman"/>
                <w:b w:val="0"/>
                <w:sz w:val="20"/>
              </w:rPr>
              <w:t>прихваћена послије избацивања 2 исјечка</w:t>
            </w:r>
          </w:p>
        </w:tc>
        <w:tc>
          <w:tcPr>
            <w:tcW w:type="dxa" w:w="2929"/>
          </w:tcPr>
          <w:p>
            <w:pPr>
              <w:spacing w:after="40"/>
            </w:pPr>
            <w:r>
              <w:rPr>
                <w:rFonts w:ascii="Times New Roman" w:hAnsi="Times New Roman"/>
                <w:b w:val="0"/>
                <w:sz w:val="20"/>
              </w:rPr>
              <w:t>прихваћена без избацивања</w:t>
            </w:r>
          </w:p>
        </w:tc>
      </w:tr>
      <w:tr>
        <w:trPr>
          <w:cantSplit/>
        </w:trPr>
        <w:tc>
          <w:tcPr>
            <w:tcW w:type="dxa" w:w="2929"/>
          </w:tcPr>
          <w:p>
            <w:pPr>
              <w:spacing w:after="40"/>
            </w:pPr>
            <w:r>
              <w:rPr>
                <w:rFonts w:ascii="Times New Roman" w:hAnsi="Times New Roman"/>
                <w:b w:val="0"/>
                <w:sz w:val="20"/>
              </w:rPr>
              <w:t>Коефицијент варијације</w:t>
            </w:r>
          </w:p>
        </w:tc>
        <w:tc>
          <w:tcPr>
            <w:tcW w:type="dxa" w:w="2929"/>
          </w:tcPr>
          <w:p>
            <w:pPr>
              <w:spacing w:after="40"/>
            </w:pPr>
            <w:r>
              <w:rPr>
                <w:rFonts w:ascii="Times New Roman" w:hAnsi="Times New Roman"/>
                <w:b w:val="0"/>
                <w:sz w:val="20"/>
              </w:rPr>
              <w:t>0,84 → 0,43</w:t>
            </w:r>
          </w:p>
        </w:tc>
        <w:tc>
          <w:tcPr>
            <w:tcW w:type="dxa" w:w="2929"/>
          </w:tcPr>
          <w:p>
            <w:pPr>
              <w:spacing w:after="40"/>
            </w:pPr>
            <w:r>
              <w:rPr>
                <w:rFonts w:ascii="Times New Roman" w:hAnsi="Times New Roman"/>
                <w:b w:val="0"/>
                <w:sz w:val="20"/>
              </w:rPr>
              <w:t>0,43</w:t>
            </w:r>
          </w:p>
        </w:tc>
      </w:tr>
      <w:tr>
        <w:trPr>
          <w:cantSplit/>
        </w:trPr>
        <w:tc>
          <w:tcPr>
            <w:tcW w:type="dxa" w:w="2929"/>
          </w:tcPr>
          <w:p>
            <w:pPr>
              <w:spacing w:after="40"/>
            </w:pPr>
            <w:r>
              <w:rPr>
                <w:rFonts w:ascii="Times New Roman" w:hAnsi="Times New Roman"/>
                <w:b w:val="0"/>
                <w:sz w:val="20"/>
              </w:rPr>
              <w:t>Праг уласка / изласка</w:t>
            </w:r>
          </w:p>
        </w:tc>
        <w:tc>
          <w:tcPr>
            <w:tcW w:type="dxa" w:w="2929"/>
          </w:tcPr>
          <w:p>
            <w:pPr>
              <w:spacing w:after="40"/>
            </w:pPr>
            <w:r>
              <w:rPr>
                <w:rFonts w:ascii="Times New Roman" w:hAnsi="Times New Roman"/>
                <w:b w:val="0"/>
                <w:sz w:val="20"/>
              </w:rPr>
              <w:t>8 084 / 3 707</w:t>
            </w:r>
          </w:p>
        </w:tc>
        <w:tc>
          <w:tcPr>
            <w:tcW w:type="dxa" w:w="2929"/>
          </w:tcPr>
          <w:p>
            <w:pPr>
              <w:spacing w:after="40"/>
            </w:pPr>
            <w:r>
              <w:rPr>
                <w:rFonts w:ascii="Times New Roman" w:hAnsi="Times New Roman"/>
                <w:b w:val="0"/>
                <w:sz w:val="20"/>
              </w:rPr>
              <w:t>21 810 / 10 905</w:t>
            </w:r>
          </w:p>
        </w:tc>
      </w:tr>
      <w:tr>
        <w:trPr>
          <w:cantSplit/>
        </w:trPr>
        <w:tc>
          <w:tcPr>
            <w:tcW w:type="dxa" w:w="2929"/>
          </w:tcPr>
          <w:p>
            <w:pPr>
              <w:spacing w:after="40"/>
            </w:pPr>
            <w:r>
              <w:rPr>
                <w:rFonts w:ascii="Times New Roman" w:hAnsi="Times New Roman"/>
                <w:b w:val="0"/>
                <w:sz w:val="20"/>
              </w:rPr>
              <w:t>DET прозора укупно / у метрици</w:t>
            </w:r>
          </w:p>
        </w:tc>
        <w:tc>
          <w:tcPr>
            <w:tcW w:type="dxa" w:w="2929"/>
          </w:tcPr>
          <w:p>
            <w:pPr>
              <w:spacing w:after="40"/>
            </w:pPr>
            <w:r>
              <w:rPr>
                <w:rFonts w:ascii="Times New Roman" w:hAnsi="Times New Roman"/>
                <w:b w:val="0"/>
                <w:sz w:val="20"/>
              </w:rPr>
              <w:t>65 / 43</w:t>
            </w:r>
          </w:p>
        </w:tc>
        <w:tc>
          <w:tcPr>
            <w:tcW w:type="dxa" w:w="2929"/>
          </w:tcPr>
          <w:p>
            <w:pPr>
              <w:spacing w:after="40"/>
            </w:pPr>
            <w:r>
              <w:rPr>
                <w:rFonts w:ascii="Times New Roman" w:hAnsi="Times New Roman"/>
                <w:b w:val="0"/>
                <w:sz w:val="20"/>
              </w:rPr>
              <w:t>115 / 99</w:t>
            </w:r>
          </w:p>
        </w:tc>
      </w:tr>
      <w:tr>
        <w:trPr>
          <w:cantSplit/>
        </w:trPr>
        <w:tc>
          <w:tcPr>
            <w:tcW w:type="dxa" w:w="2929"/>
          </w:tcPr>
          <w:p>
            <w:pPr>
              <w:spacing w:after="40"/>
            </w:pPr>
            <w:r>
              <w:rPr>
                <w:rFonts w:ascii="Times New Roman" w:hAnsi="Times New Roman"/>
                <w:b w:val="0"/>
                <w:sz w:val="20"/>
              </w:rPr>
              <w:t>Алармних прозора / епизода</w:t>
            </w:r>
          </w:p>
        </w:tc>
        <w:tc>
          <w:tcPr>
            <w:tcW w:type="dxa" w:w="2929"/>
          </w:tcPr>
          <w:p>
            <w:pPr>
              <w:spacing w:after="40"/>
            </w:pPr>
            <w:r>
              <w:rPr>
                <w:rFonts w:ascii="Times New Roman" w:hAnsi="Times New Roman"/>
                <w:b w:val="0"/>
                <w:sz w:val="20"/>
              </w:rPr>
              <w:t>3 / 1</w:t>
            </w:r>
          </w:p>
        </w:tc>
        <w:tc>
          <w:tcPr>
            <w:tcW w:type="dxa" w:w="2929"/>
          </w:tcPr>
          <w:p>
            <w:pPr>
              <w:spacing w:after="40"/>
            </w:pPr>
            <w:r>
              <w:rPr>
                <w:rFonts w:ascii="Times New Roman" w:hAnsi="Times New Roman"/>
                <w:b w:val="0"/>
                <w:sz w:val="20"/>
              </w:rPr>
              <w:t>64 / 1</w:t>
            </w:r>
          </w:p>
        </w:tc>
      </w:tr>
      <w:tr>
        <w:trPr>
          <w:cantSplit/>
        </w:trPr>
        <w:tc>
          <w:tcPr>
            <w:tcW w:type="dxa" w:w="2929"/>
          </w:tcPr>
          <w:p>
            <w:pPr>
              <w:spacing w:after="40"/>
            </w:pPr>
            <w:r>
              <w:rPr>
                <w:rFonts w:ascii="Times New Roman" w:hAnsi="Times New Roman"/>
                <w:b w:val="0"/>
                <w:sz w:val="20"/>
              </w:rPr>
              <w:t>Гашење аларма</w:t>
            </w:r>
          </w:p>
        </w:tc>
        <w:tc>
          <w:tcPr>
            <w:tcW w:type="dxa" w:w="2929"/>
          </w:tcPr>
          <w:p>
            <w:pPr>
              <w:spacing w:after="40"/>
            </w:pPr>
            <w:r>
              <w:rPr>
                <w:rFonts w:ascii="Times New Roman" w:hAnsi="Times New Roman"/>
                <w:b w:val="0"/>
                <w:sz w:val="20"/>
              </w:rPr>
              <w:t>2 прозора послије блока</w:t>
            </w:r>
          </w:p>
        </w:tc>
        <w:tc>
          <w:tcPr>
            <w:tcW w:type="dxa" w:w="2929"/>
          </w:tcPr>
          <w:p>
            <w:pPr>
              <w:spacing w:after="40"/>
            </w:pPr>
            <w:r>
              <w:rPr>
                <w:rFonts w:ascii="Times New Roman" w:hAnsi="Times New Roman"/>
                <w:b w:val="0"/>
                <w:sz w:val="20"/>
              </w:rPr>
              <w:t>није измјерено</w:t>
            </w:r>
          </w:p>
        </w:tc>
      </w:tr>
      <w:tr>
        <w:trPr>
          <w:cantSplit/>
        </w:trPr>
        <w:tc>
          <w:tcPr>
            <w:tcW w:type="dxa" w:w="2929"/>
          </w:tcPr>
          <w:p>
            <w:pPr>
              <w:spacing w:after="40"/>
            </w:pPr>
            <w:r>
              <w:rPr>
                <w:rFonts w:ascii="Times New Roman" w:hAnsi="Times New Roman"/>
                <w:b w:val="0"/>
                <w:sz w:val="20"/>
              </w:rPr>
              <w:t>Изгубљених узорака</w:t>
            </w:r>
          </w:p>
        </w:tc>
        <w:tc>
          <w:tcPr>
            <w:tcW w:type="dxa" w:w="2929"/>
          </w:tcPr>
          <w:p>
            <w:pPr>
              <w:spacing w:after="40"/>
            </w:pPr>
            <w:r>
              <w:rPr>
                <w:rFonts w:ascii="Times New Roman" w:hAnsi="Times New Roman"/>
                <w:b w:val="0"/>
                <w:sz w:val="20"/>
              </w:rPr>
              <w:t>0</w:t>
            </w:r>
          </w:p>
        </w:tc>
        <w:tc>
          <w:tcPr>
            <w:tcW w:type="dxa" w:w="2929"/>
          </w:tcPr>
          <w:p>
            <w:pPr>
              <w:spacing w:after="40"/>
            </w:pPr>
            <w:r>
              <w:rPr>
                <w:rFonts w:ascii="Times New Roman" w:hAnsi="Times New Roman"/>
                <w:b w:val="0"/>
                <w:sz w:val="20"/>
              </w:rPr>
              <w:t>0</w:t>
            </w:r>
          </w:p>
        </w:tc>
      </w:tr>
      <w:tr>
        <w:trPr>
          <w:cantSplit/>
        </w:trPr>
        <w:tc>
          <w:tcPr>
            <w:tcW w:type="dxa" w:w="2929"/>
          </w:tcPr>
          <w:p>
            <w:pPr>
              <w:spacing w:after="40"/>
            </w:pPr>
            <w:r>
              <w:rPr>
                <w:rFonts w:ascii="Times New Roman" w:hAnsi="Times New Roman"/>
                <w:b w:val="0"/>
                <w:sz w:val="20"/>
              </w:rPr>
              <w:t>Трајно одступање пријављено</w:t>
            </w:r>
          </w:p>
        </w:tc>
        <w:tc>
          <w:tcPr>
            <w:tcW w:type="dxa" w:w="2929"/>
          </w:tcPr>
          <w:p>
            <w:pPr>
              <w:spacing w:after="40"/>
            </w:pPr>
            <w:r>
              <w:rPr>
                <w:rFonts w:ascii="Times New Roman" w:hAnsi="Times New Roman"/>
                <w:b w:val="0"/>
                <w:sz w:val="20"/>
              </w:rPr>
              <w:t>не</w:t>
            </w:r>
          </w:p>
        </w:tc>
        <w:tc>
          <w:tcPr>
            <w:tcW w:type="dxa" w:w="2929"/>
          </w:tcPr>
          <w:p>
            <w:pPr>
              <w:spacing w:after="40"/>
            </w:pPr>
            <w:r>
              <w:rPr>
                <w:rFonts w:ascii="Times New Roman" w:hAnsi="Times New Roman"/>
                <w:b w:val="0"/>
                <w:sz w:val="20"/>
              </w:rPr>
              <w:t>да</w:t>
            </w:r>
          </w:p>
        </w:tc>
      </w:tr>
    </w:tbl>
    <w:p>
      <w:pPr>
        <w:spacing w:after="80"/>
      </w:pPr>
    </w:p>
    <w:p>
      <w:pPr>
        <w:pStyle w:val="BodyText"/>
        <w:ind w:firstLine="0"/>
      </w:pPr>
      <w:r>
        <w:rPr>
          <w:rFonts w:ascii="Times New Roman" w:hAnsi="Times New Roman"/>
          <w:b w:val="0"/>
          <w:sz w:val="22"/>
        </w:rPr>
        <w:t>Ознака валидног физичког резултата потврђује прихватљивост записа за анализу. Она није исто што и пролаз критерија експеримента: GUIDED25 проба са папирићем има исход FAIL. Сажетак користи 43 од 65 DET прозора првог мјерења и 99 од 115 другог. HOLD прозори остају у табели као одбијене одлуке, а нису накнадно уклоњени ради бољих резултата.</w:t>
      </w:r>
    </w:p>
    <w:p>
      <w:pPr>
        <w:pStyle w:val="Heading2"/>
      </w:pPr>
      <w:r>
        <w:rPr>
          <w:rFonts w:ascii="Arial" w:hAnsi="Arial"/>
          <w:b/>
          <w:sz w:val="28"/>
        </w:rPr>
        <w:t>7.6. Провјере на рачунару</w:t>
      </w:r>
    </w:p>
    <w:p>
      <w:pPr>
        <w:pStyle w:val="BodyText"/>
      </w:pPr>
      <w:r>
        <w:rPr>
          <w:rFonts w:ascii="Times New Roman" w:hAnsi="Times New Roman"/>
          <w:b w:val="0"/>
          <w:sz w:val="22"/>
        </w:rPr>
        <w:t>Прошло је 478 тестова протокола, политика и поређења са C кодом, као и провјера шеме конфигурације. Ове провјере не замјењују физичку валидацију уређаја.</w:t>
      </w:r>
    </w:p>
    <w:p>
      <w:pPr>
        <w:spacing w:before="0" w:after="0" w:line="20" w:lineRule="exact"/>
      </w:pPr>
      <w:r>
        <w:rPr>
          <w:sz w:val="2"/>
        </w:rPr>
        <w:br w:type="page"/>
      </w:r>
    </w:p>
    <w:p>
      <w:pPr>
        <w:pStyle w:val="Heading1"/>
      </w:pPr>
      <w:r>
        <w:rPr>
          <w:rFonts w:ascii="Arial" w:hAnsi="Arial"/>
          <w:b/>
          <w:sz w:val="32"/>
        </w:rPr>
        <w:t>8. ДИСКУСИЈА И ОГРАНИЧЕЊА</w:t>
      </w:r>
    </w:p>
    <w:p>
      <w:pPr>
        <w:pStyle w:val="BodyText"/>
      </w:pPr>
      <w:r>
        <w:rPr>
          <w:rFonts w:ascii="Times New Roman" w:hAnsi="Times New Roman"/>
          <w:b w:val="0"/>
          <w:sz w:val="22"/>
        </w:rPr>
        <w:t>У овом поглављу резултати се тумаче, а затим се наводе ограничења која се не смију изоставити при њиховом читању.</w:t>
      </w:r>
    </w:p>
    <w:p>
      <w:pPr>
        <w:pStyle w:val="Heading2"/>
      </w:pPr>
      <w:r>
        <w:rPr>
          <w:rFonts w:ascii="Arial" w:hAnsi="Arial"/>
          <w:b/>
          <w:sz w:val="28"/>
        </w:rPr>
        <w:t>8.1. Шта резултати показују</w:t>
      </w:r>
    </w:p>
    <w:p>
      <w:pPr>
        <w:pStyle w:val="BodyText"/>
      </w:pPr>
      <w:r>
        <w:rPr>
          <w:rFonts w:ascii="Times New Roman" w:hAnsi="Times New Roman"/>
          <w:b w:val="0"/>
          <w:sz w:val="22"/>
        </w:rPr>
        <w:t>Мјерења показују да се статистички детектор са учењем локалног центра и прага може извршавати на ESP32-S3. Постојећи записи потврђују одлуке уређаја у двије завршне пробе. Проба папирићем ипак не задовољава све критерије, а послије тона опоравак остаје неизмјерен. Зато резултат представља функционални прототип са документованим ограничењима.</w:t>
      </w:r>
    </w:p>
    <w:p>
      <w:pPr>
        <w:pStyle w:val="BodyText"/>
      </w:pPr>
      <w:r>
        <w:rPr>
          <w:rFonts w:ascii="Times New Roman" w:hAnsi="Times New Roman"/>
          <w:b w:val="0"/>
          <w:sz w:val="22"/>
        </w:rPr>
        <w:t>Први физички тест добро раздваја оцјене изазване промјене и нормалног рада, али 54 од 60 нормалних прозора прелази тадашњи праг. Тај примјер раздваја рангирање од одлуке при фиксном прагу. Касније промјене уводе одвојено извођење и провјеру прага, хистерезу, капију поузданости и ограничено одбацивање калибрационих исјечака. Двије прихваћене калибрације не потврђују да је проблем прагова уопштено ријешен.</w:t>
      </w:r>
    </w:p>
    <w:p>
      <w:pPr>
        <w:pStyle w:val="BodyText"/>
      </w:pPr>
      <w:r>
        <w:rPr>
          <w:rFonts w:ascii="Times New Roman" w:hAnsi="Times New Roman"/>
          <w:b w:val="0"/>
          <w:sz w:val="22"/>
        </w:rPr>
        <w:t>Одбијање робусног прага током VERIFY фазе показује практичну улогу одвојене провјере. Правило које даје прихватљив фит на ранијем нормалном периоду може подбацити на каснијем. Тај резултат подржава задржавање провјере, али не доказује да пролаз кратког VERIFY периода гарантује дугорочну поузданост.</w:t>
      </w:r>
    </w:p>
    <w:p>
      <w:pPr>
        <w:pStyle w:val="Heading2"/>
      </w:pPr>
      <w:r>
        <w:rPr>
          <w:rFonts w:ascii="Arial" w:hAnsi="Arial"/>
          <w:b/>
          <w:sz w:val="28"/>
        </w:rPr>
        <w:t>8.2. Поређење са постојећим радовима</w:t>
      </w:r>
    </w:p>
    <w:p>
      <w:pPr>
        <w:pStyle w:val="BodyText"/>
      </w:pPr>
      <w:r>
        <w:rPr>
          <w:rFonts w:ascii="Times New Roman" w:hAnsi="Times New Roman"/>
          <w:b w:val="0"/>
          <w:sz w:val="22"/>
        </w:rPr>
        <w:t>Референтни радови [1]–[3] дају поставку задатка, податке и поређења алгоритама. Овај рад додаје опис локалног учења и провјере прага на микроконтролеру. Бројке нису директно упоредиве са службеним ранг-листама због другачијих калибрационих подјела, изабраног типа машине и коришћења развојног скупа.</w:t>
      </w:r>
    </w:p>
    <w:p>
      <w:pPr>
        <w:pStyle w:val="BodyText"/>
      </w:pPr>
      <w:r>
        <w:rPr>
          <w:rFonts w:ascii="Times New Roman" w:hAnsi="Times New Roman"/>
          <w:b w:val="0"/>
          <w:sz w:val="22"/>
        </w:rPr>
        <w:t>Практични допринос је у повезивању израчунавања обиљежја са контролом квалитета, калибрацијом и записом одлука. Преглед литературе у овом раду није систематски преглед свих уграђених ASD система и не успоставља првенство такве архитектуре.</w:t>
      </w:r>
    </w:p>
    <w:p>
      <w:pPr>
        <w:pStyle w:val="Heading2"/>
      </w:pPr>
      <w:r>
        <w:rPr>
          <w:rFonts w:ascii="Arial" w:hAnsi="Arial"/>
          <w:b/>
          <w:sz w:val="28"/>
        </w:rPr>
        <w:t>8.3. Ограничења</w:t>
      </w:r>
    </w:p>
    <w:p>
      <w:pPr>
        <w:pStyle w:val="BodyText"/>
      </w:pPr>
      <w:r>
        <w:rPr>
          <w:rFonts w:ascii="Times New Roman" w:hAnsi="Times New Roman"/>
          <w:b w:val="0"/>
          <w:sz w:val="22"/>
        </w:rPr>
        <w:t>Обим изведених мјерења ограничава сљедеће закључке:</w:t>
      </w:r>
    </w:p>
    <w:p>
      <w:pPr>
        <w:pStyle w:val="ListBullet"/>
        <w:spacing w:after="60"/>
      </w:pPr>
      <w:r>
        <w:rPr>
          <w:rFonts w:ascii="Times New Roman" w:hAnsi="Times New Roman"/>
          <w:b/>
          <w:sz w:val="22"/>
        </w:rPr>
        <w:t>Једна врста машине.</w:t>
      </w:r>
      <w:r>
        <w:rPr>
          <w:rFonts w:ascii="Times New Roman" w:hAnsi="Times New Roman"/>
          <w:b w:val="0"/>
          <w:sz w:val="22"/>
        </w:rPr>
        <w:t xml:space="preserve"> Избор обиљежја је побједа за вентилатор, а измјерено је да није опште побољшање. По хармонијској средини преко седам машина, усвојено обиљежје је лошије од мел основе.</w:t>
      </w:r>
    </w:p>
    <w:p>
      <w:pPr>
        <w:pStyle w:val="ListBullet"/>
        <w:spacing w:after="60"/>
      </w:pPr>
      <w:r>
        <w:rPr>
          <w:rFonts w:ascii="Times New Roman" w:hAnsi="Times New Roman"/>
          <w:b/>
          <w:sz w:val="22"/>
        </w:rPr>
        <w:t>Један примјерак, једна просторија.</w:t>
      </w:r>
      <w:r>
        <w:rPr>
          <w:rFonts w:ascii="Times New Roman" w:hAnsi="Times New Roman"/>
          <w:b w:val="0"/>
          <w:sz w:val="22"/>
        </w:rPr>
        <w:t xml:space="preserve"> Физичка мјерења изведена су на једном вентилатору у једној соби. О генерализацији на други примјерак, другу просторију или други ниво позадинске буке не може се тврдити ништа.</w:t>
      </w:r>
    </w:p>
    <w:p>
      <w:pPr>
        <w:pStyle w:val="ListBullet"/>
        <w:spacing w:after="60"/>
      </w:pPr>
      <w:r>
        <w:rPr>
          <w:rFonts w:ascii="Times New Roman" w:hAnsi="Times New Roman"/>
          <w:b/>
          <w:sz w:val="22"/>
        </w:rPr>
        <w:t>Изазвана промјена није потврђен квар.</w:t>
      </w:r>
      <w:r>
        <w:rPr>
          <w:rFonts w:ascii="Times New Roman" w:hAnsi="Times New Roman"/>
          <w:b w:val="0"/>
          <w:sz w:val="22"/>
        </w:rPr>
        <w:t xml:space="preserve"> Папирић уз усисну страну и пуштени тон су контролисане, безбједне промјене. Називати их кваром без независне стручне потврде било би нетачно.</w:t>
      </w:r>
    </w:p>
    <w:p>
      <w:pPr>
        <w:pStyle w:val="ListBullet"/>
        <w:spacing w:after="60"/>
      </w:pPr>
      <w:r>
        <w:rPr>
          <w:rFonts w:ascii="Times New Roman" w:hAnsi="Times New Roman"/>
          <w:b/>
          <w:sz w:val="22"/>
        </w:rPr>
        <w:t>Мали узорци.</w:t>
      </w:r>
      <w:r>
        <w:rPr>
          <w:rFonts w:ascii="Times New Roman" w:hAnsi="Times New Roman"/>
          <w:b w:val="0"/>
          <w:sz w:val="22"/>
        </w:rPr>
        <w:t xml:space="preserve"> Поједини блокови имају само два до пет прихватљивих прозора. Њихове дескриптивне статистике представљају кратку функционалну провјеру. Интервали повјерења за дугорочну детекцију нису процијењени.</w:t>
      </w:r>
    </w:p>
    <w:p>
      <w:pPr>
        <w:pStyle w:val="ListBullet"/>
        <w:spacing w:after="60"/>
      </w:pPr>
      <w:r>
        <w:rPr>
          <w:rFonts w:ascii="Times New Roman" w:hAnsi="Times New Roman"/>
          <w:b/>
          <w:sz w:val="22"/>
        </w:rPr>
        <w:t>Стопа лажних узбуна није процијењена дугорочно.</w:t>
      </w:r>
      <w:r>
        <w:rPr>
          <w:rFonts w:ascii="Times New Roman" w:hAnsi="Times New Roman"/>
          <w:b w:val="0"/>
          <w:sz w:val="22"/>
        </w:rPr>
        <w:t xml:space="preserve"> Одсуство аларма током неколико десетина минута нормалног рада није доказ мале дугорочне стопе; једнострана горња граница при таквом трајању мјерења остаје висока.</w:t>
      </w:r>
    </w:p>
    <w:p>
      <w:pPr>
        <w:pStyle w:val="ListBullet"/>
        <w:spacing w:after="60"/>
      </w:pPr>
      <w:r>
        <w:rPr>
          <w:rFonts w:ascii="Times New Roman" w:hAnsi="Times New Roman"/>
          <w:b/>
          <w:sz w:val="22"/>
        </w:rPr>
        <w:t>Вријеме опоравка послије јаког извора промјене није измјерено</w:t>
      </w:r>
      <w:r>
        <w:rPr>
          <w:rFonts w:ascii="Times New Roman" w:hAnsi="Times New Roman"/>
          <w:b w:val="0"/>
          <w:sz w:val="22"/>
        </w:rPr>
        <w:t>, јер је мјерење завршено док је оцјена још била између прага изласка и прага уласка.</w:t>
      </w:r>
    </w:p>
    <w:p>
      <w:pPr>
        <w:pStyle w:val="ListBullet"/>
        <w:spacing w:after="60"/>
      </w:pPr>
      <w:r>
        <w:rPr>
          <w:rFonts w:ascii="Times New Roman" w:hAnsi="Times New Roman"/>
          <w:b/>
          <w:sz w:val="22"/>
        </w:rPr>
        <w:t>Осјетљивост провјере калибрације.</w:t>
      </w:r>
      <w:r>
        <w:rPr>
          <w:rFonts w:ascii="Times New Roman" w:hAnsi="Times New Roman"/>
          <w:b w:val="0"/>
          <w:sz w:val="22"/>
        </w:rPr>
        <w:t xml:space="preserve"> У анализираним записима одступање уске траке за приближно 0,7 јединица логаритамског обиљежја прати велики пораст оцјене. То није измјерен општи праг осјетљивости. Одбацивање највише два исјечка ублажава проблем у једној сесији, без доказа да уклања његов узрок.</w:t>
      </w:r>
    </w:p>
    <w:p>
      <w:pPr>
        <w:pStyle w:val="ListBullet"/>
        <w:spacing w:after="60"/>
      </w:pPr>
      <w:r>
        <w:rPr>
          <w:rFonts w:ascii="Times New Roman" w:hAnsi="Times New Roman"/>
          <w:b/>
          <w:sz w:val="22"/>
        </w:rPr>
        <w:t>Развојни избор политике.</w:t>
      </w:r>
      <w:r>
        <w:rPr>
          <w:rFonts w:ascii="Times New Roman" w:hAnsi="Times New Roman"/>
          <w:b w:val="0"/>
          <w:sz w:val="22"/>
        </w:rPr>
        <w:t xml:space="preserve"> Прагови и центри фитовани су из нормалних података. Ипак, током развоја су прегледани исходи ранијих аномалних и физичких проба, па забрана аномалија у фиту није доказ да је цијели избор политике био независан од тих исхода. Политика остаје DEVELOPMENT и нема потврђену дугорочну стопу лажних аларма.</w:t>
      </w:r>
    </w:p>
    <w:p>
      <w:pPr>
        <w:pStyle w:val="Heading2"/>
      </w:pPr>
      <w:r>
        <w:rPr>
          <w:rFonts w:ascii="Arial" w:hAnsi="Arial"/>
          <w:b/>
          <w:sz w:val="28"/>
        </w:rPr>
        <w:t>8.4. Шта није провјерено на хардверу</w:t>
      </w:r>
    </w:p>
    <w:p>
      <w:pPr>
        <w:pStyle w:val="BodyText"/>
      </w:pPr>
      <w:r>
        <w:rPr>
          <w:rFonts w:ascii="Times New Roman" w:hAnsi="Times New Roman"/>
          <w:b w:val="0"/>
          <w:sz w:val="22"/>
        </w:rPr>
        <w:t>На хардверу нису потврђени потпуно самосталан интерфејс са тастером и диодама, контролисани прекид I2S везе, понашање при губитку напајања и потрошња цијелог ланца. NVS модул постоји, али развојна политика не дозвољава чување и враћање профила: послије рестарта потребно је ново учење. Ове ставке остају ограничења рада, без претпоставке да ће додатна мјерења бити изведена.</w:t>
      </w:r>
    </w:p>
    <w:p>
      <w:pPr>
        <w:spacing w:before="0" w:after="0" w:line="20" w:lineRule="exact"/>
      </w:pPr>
      <w:r>
        <w:rPr>
          <w:sz w:val="2"/>
        </w:rPr>
        <w:br w:type="page"/>
      </w:r>
    </w:p>
    <w:p>
      <w:pPr>
        <w:pStyle w:val="Heading1"/>
      </w:pPr>
      <w:r>
        <w:rPr>
          <w:rFonts w:ascii="Arial" w:hAnsi="Arial"/>
          <w:b/>
          <w:sz w:val="32"/>
        </w:rPr>
        <w:t>9. ЗАКЉУЧАК</w:t>
      </w:r>
    </w:p>
    <w:p>
      <w:pPr>
        <w:pStyle w:val="BodyText"/>
      </w:pPr>
      <w:r>
        <w:rPr>
          <w:rFonts w:ascii="Times New Roman" w:hAnsi="Times New Roman"/>
          <w:b w:val="0"/>
          <w:sz w:val="22"/>
        </w:rPr>
        <w:t>Реализован је прототип детектора акустичких одступања вентилатора на ESP32-S3 са једним MEMS микрофоном. Глобални статистички модел изведен је из 990 нормалних снимака, док уређај учи локални центар и прагове. Завршни вођени поступак од команде за почетак до надзора траје око 13,57 min у обје забиљежене сесије.</w:t>
      </w:r>
    </w:p>
    <w:p>
      <w:pPr>
        <w:pStyle w:val="BodyText"/>
      </w:pPr>
      <w:r>
        <w:rPr>
          <w:rFonts w:ascii="Times New Roman" w:hAnsi="Times New Roman"/>
          <w:b w:val="0"/>
          <w:sz w:val="22"/>
        </w:rPr>
        <w:t>Развојни циљ AUC 0,80 премашен је конфигурацијом са десет калибрационих прозора (0,856), док одвојена референца са двадесет прозора даје 0,867. Физичка проба тоном потврђује аларм и трајно одступање. Проба папирићем детектује један од три блока и има исход FAIL. Обрада обиљежја и оцјене траје око 716 ms по прозору; у завршним записима нема пријављених губитака узорака. Ови налази не потврђују дијагнозу квара, поновљивост калибрације или дугорочну стопу лажних аларма.</w:t>
      </w:r>
    </w:p>
    <w:p>
      <w:pPr>
        <w:pStyle w:val="BodyText"/>
      </w:pPr>
      <w:r>
        <w:rPr>
          <w:rFonts w:ascii="Times New Roman" w:hAnsi="Times New Roman"/>
          <w:b w:val="0"/>
          <w:sz w:val="22"/>
        </w:rPr>
        <w:t>Развој је обухватио промјене модела и правила одлучивања. Боље рангирање оцјена није било довољно за употребљив праг на уређају. Засебно извођење и провјера прага омогућили су прихватање двије завршне сесије, али ограничења капије поузданости и опоравка и даље остају.</w:t>
      </w:r>
    </w:p>
    <w:p>
      <w:pPr>
        <w:pStyle w:val="BodyText"/>
      </w:pPr>
      <w:r>
        <w:rPr>
          <w:rFonts w:ascii="Times New Roman" w:hAnsi="Times New Roman"/>
          <w:b w:val="0"/>
          <w:sz w:val="22"/>
        </w:rPr>
        <w:t>Приказани су и негативни или недовољно увјерљиви резултати алтернативних обиљежја и временских правила. Посебно је значајно одбијање робусног прага током засебног нормалног VERIFY периода. Ти налази објашњавају избор коначне конфигурације, али не доказују да су одбачени поступци неупотребљиви у другим поставкама.</w:t>
      </w:r>
    </w:p>
    <w:p>
      <w:pPr>
        <w:pStyle w:val="Heading2"/>
      </w:pPr>
      <w:r>
        <w:rPr>
          <w:rFonts w:ascii="Arial" w:hAnsi="Arial"/>
          <w:b/>
          <w:sz w:val="28"/>
        </w:rPr>
        <w:t>9.1. Правци даљег рада</w:t>
      </w:r>
    </w:p>
    <w:p>
      <w:pPr>
        <w:pStyle w:val="BodyText"/>
        <w:ind w:firstLine="0"/>
      </w:pPr>
      <w:r>
        <w:rPr>
          <w:rFonts w:ascii="Times New Roman" w:hAnsi="Times New Roman"/>
          <w:b w:val="0"/>
          <w:sz w:val="22"/>
        </w:rPr>
        <w:t>Из измјерених ограничења произлазе сљедећи правци:</w:t>
      </w:r>
    </w:p>
    <w:p>
      <w:pPr>
        <w:pStyle w:val="ListBullet"/>
        <w:spacing w:after="60"/>
      </w:pPr>
      <w:r>
        <w:rPr>
          <w:rFonts w:ascii="Times New Roman" w:hAnsi="Times New Roman"/>
          <w:b/>
          <w:sz w:val="22"/>
        </w:rPr>
        <w:t>Независне поставке.</w:t>
      </w:r>
      <w:r>
        <w:rPr>
          <w:rFonts w:ascii="Times New Roman" w:hAnsi="Times New Roman"/>
          <w:b w:val="0"/>
          <w:sz w:val="22"/>
        </w:rPr>
        <w:t xml:space="preserve"> Други примјерци вентилатора и друга акустичка окружења потребни су за процјену генерализације изван постојеће поставке.</w:t>
      </w:r>
    </w:p>
    <w:p>
      <w:pPr>
        <w:pStyle w:val="ListBullet"/>
        <w:spacing w:after="60"/>
      </w:pPr>
      <w:r>
        <w:rPr>
          <w:rFonts w:ascii="Times New Roman" w:hAnsi="Times New Roman"/>
          <w:b/>
          <w:sz w:val="22"/>
        </w:rPr>
        <w:t>Дуже нормално мјерење.</w:t>
      </w:r>
      <w:r>
        <w:rPr>
          <w:rFonts w:ascii="Times New Roman" w:hAnsi="Times New Roman"/>
          <w:b w:val="0"/>
          <w:sz w:val="22"/>
        </w:rPr>
        <w:t xml:space="preserve"> Стопа лажних узбуна тражи ред величине дуже мјерење од досадашњих да би се могла процијенити са смисленим интервалом.</w:t>
      </w:r>
    </w:p>
    <w:p>
      <w:pPr>
        <w:pStyle w:val="ListBullet"/>
        <w:spacing w:after="60"/>
      </w:pPr>
      <w:r>
        <w:rPr>
          <w:rFonts w:ascii="Times New Roman" w:hAnsi="Times New Roman"/>
          <w:b/>
          <w:sz w:val="22"/>
        </w:rPr>
        <w:t>Избор обиљежја по типу машине.</w:t>
      </w:r>
      <w:r>
        <w:rPr>
          <w:rFonts w:ascii="Times New Roman" w:hAnsi="Times New Roman"/>
          <w:b w:val="0"/>
          <w:sz w:val="22"/>
        </w:rPr>
        <w:t xml:space="preserve"> Измјерено је да се избор може направити само из изворног домена, без иједне циљне ознаке, и да такав избор надмашује било који фиксни.</w:t>
      </w:r>
    </w:p>
    <w:p>
      <w:pPr>
        <w:pStyle w:val="ListBullet"/>
        <w:spacing w:after="60"/>
      </w:pPr>
      <w:r>
        <w:rPr>
          <w:rFonts w:ascii="Times New Roman" w:hAnsi="Times New Roman"/>
          <w:b/>
          <w:sz w:val="22"/>
        </w:rPr>
        <w:t>Спектралне траке и коваријанса.</w:t>
      </w:r>
      <w:r>
        <w:rPr>
          <w:rFonts w:ascii="Times New Roman" w:hAnsi="Times New Roman"/>
          <w:b w:val="0"/>
          <w:sz w:val="22"/>
        </w:rPr>
        <w:t xml:space="preserve"> Осам најнижих трака не садржи FFT тачку, па фиксна логаритамска доња граница нарушава потпуну независност од појачања. Вриједи одвојено испитати спајање празних трака и ограничавање утицаја слабо варијабилних компоненти. Свака таква измјена тражи нови модел и нову провјеру.</w:t>
      </w:r>
    </w:p>
    <w:p>
      <w:pPr>
        <w:pStyle w:val="ListBullet"/>
        <w:spacing w:after="60"/>
      </w:pPr>
      <w:r>
        <w:rPr>
          <w:rFonts w:ascii="Times New Roman" w:hAnsi="Times New Roman"/>
          <w:b/>
          <w:sz w:val="22"/>
        </w:rPr>
        <w:t>Трајно чување наученог профила.</w:t>
      </w:r>
      <w:r>
        <w:rPr>
          <w:rFonts w:ascii="Times New Roman" w:hAnsi="Times New Roman"/>
          <w:b w:val="0"/>
          <w:sz w:val="22"/>
        </w:rPr>
        <w:t xml:space="preserve"> Модул за упис у трајну меморију је реализован и провјерен на рачунару, али се у развојној конфигурацији намјерно не користи док политика не буде замрзнута.</w:t>
      </w:r>
    </w:p>
    <w:p>
      <w:pPr>
        <w:pStyle w:val="ListBullet"/>
        <w:spacing w:after="60"/>
      </w:pPr>
      <w:r>
        <w:rPr>
          <w:rFonts w:ascii="Times New Roman" w:hAnsi="Times New Roman"/>
          <w:b/>
          <w:sz w:val="22"/>
        </w:rPr>
        <w:t>Мјерење потрошње и рад на батерији</w:t>
      </w:r>
      <w:r>
        <w:rPr>
          <w:rFonts w:ascii="Times New Roman" w:hAnsi="Times New Roman"/>
          <w:b w:val="0"/>
          <w:sz w:val="22"/>
        </w:rPr>
        <w:t>, као услов за примјену на мјестима без сталног напајања.</w:t>
      </w:r>
    </w:p>
    <w:p>
      <w:pPr>
        <w:spacing w:before="0" w:after="0" w:line="20" w:lineRule="exact"/>
      </w:pPr>
      <w:r>
        <w:rPr>
          <w:sz w:val="2"/>
        </w:rPr>
        <w:br w:type="page"/>
      </w:r>
    </w:p>
    <w:p>
      <w:pPr>
        <w:pStyle w:val="Heading1"/>
      </w:pPr>
      <w:r>
        <w:rPr>
          <w:rFonts w:ascii="Arial" w:hAnsi="Arial"/>
          <w:b/>
          <w:sz w:val="32"/>
        </w:rPr>
        <w:t>ЛИТЕРАТУРА</w:t>
      </w:r>
    </w:p>
    <w:p>
      <w:pPr>
        <w:spacing w:after="0" w:line="240" w:lineRule="exact"/>
      </w:pPr>
    </w:p>
    <w:p>
      <w:pPr>
        <w:spacing w:after="120"/>
        <w:ind w:left="510" w:hanging="510"/>
        <w:jc w:val="both"/>
      </w:pPr>
      <w:r>
        <w:rPr>
          <w:rFonts w:ascii="Times New Roman" w:hAnsi="Times New Roman"/>
          <w:b w:val="0"/>
          <w:sz w:val="22"/>
        </w:rPr>
        <w:t>[1] T. Nishida et al., „Description and discussion on DCASE 2026 Challenge Task 2: Noise-aware unsupervised anomalous sound detection for machine condition monitoring“, arXiv:2606.01578, 2026.</w:t>
      </w:r>
    </w:p>
    <w:p>
      <w:pPr>
        <w:spacing w:after="120"/>
        <w:ind w:left="510" w:hanging="510"/>
        <w:jc w:val="both"/>
      </w:pPr>
      <w:r>
        <w:rPr>
          <w:rFonts w:ascii="Times New Roman" w:hAnsi="Times New Roman"/>
          <w:b w:val="0"/>
          <w:sz w:val="22"/>
        </w:rPr>
        <w:t xml:space="preserve">[2] N. Harada et al., „First-shot anomaly sound detection for machine condition monitoring: A domain generalization baseline“, </w:t>
      </w:r>
      <w:r>
        <w:rPr>
          <w:rFonts w:ascii="Times New Roman" w:hAnsi="Times New Roman"/>
          <w:i/>
          <w:sz w:val="22"/>
        </w:rPr>
        <w:t>EUSIPCO 2023</w:t>
      </w:r>
      <w:r>
        <w:rPr>
          <w:rFonts w:ascii="Times New Roman" w:hAnsi="Times New Roman"/>
          <w:b w:val="0"/>
          <w:sz w:val="22"/>
        </w:rPr>
        <w:t>, str. 191–195, doi: 10.23919/EUSIPCO58844.2023.10289721.</w:t>
      </w:r>
    </w:p>
    <w:p>
      <w:pPr>
        <w:spacing w:after="120"/>
        <w:ind w:left="510" w:hanging="510"/>
        <w:jc w:val="both"/>
      </w:pPr>
      <w:r>
        <w:rPr>
          <w:rFonts w:ascii="Times New Roman" w:hAnsi="Times New Roman"/>
          <w:b w:val="0"/>
          <w:sz w:val="22"/>
        </w:rPr>
        <w:t xml:space="preserve">[3] K. Dohi et al., „MIMII DG: Sound dataset for malfunctioning industrial machine investigation and inspection for domain generalization task“, </w:t>
      </w:r>
      <w:r>
        <w:rPr>
          <w:rFonts w:ascii="Times New Roman" w:hAnsi="Times New Roman"/>
          <w:i/>
          <w:sz w:val="22"/>
        </w:rPr>
        <w:t>DCASE Workshop 2022</w:t>
      </w:r>
      <w:r>
        <w:rPr>
          <w:rFonts w:ascii="Times New Roman" w:hAnsi="Times New Roman"/>
          <w:b w:val="0"/>
          <w:sz w:val="22"/>
        </w:rPr>
        <w:t>, str. 1–5.</w:t>
      </w:r>
    </w:p>
    <w:p>
      <w:pPr>
        <w:spacing w:after="120"/>
        <w:ind w:left="510" w:hanging="510"/>
        <w:jc w:val="both"/>
      </w:pPr>
      <w:r>
        <w:rPr>
          <w:rFonts w:ascii="Times New Roman" w:hAnsi="Times New Roman"/>
          <w:b w:val="0"/>
          <w:sz w:val="22"/>
        </w:rPr>
        <w:t xml:space="preserve">[4] P. D. Welch, „The use of the fast Fourier transform for the estimation of power spectra: A method based on time averaging over short, modified periodograms“, </w:t>
      </w:r>
      <w:r>
        <w:rPr>
          <w:rFonts w:ascii="Times New Roman" w:hAnsi="Times New Roman"/>
          <w:i/>
          <w:sz w:val="22"/>
        </w:rPr>
        <w:t>IEEE Trans. Audio Electroacoust.</w:t>
      </w:r>
      <w:r>
        <w:rPr>
          <w:rFonts w:ascii="Times New Roman" w:hAnsi="Times New Roman"/>
          <w:b w:val="0"/>
          <w:sz w:val="22"/>
        </w:rPr>
        <w:t>, vol. 15, br. 2, str. 70–73, 1967, doi: 10.1109/TAU.1967.1161901.</w:t>
      </w:r>
    </w:p>
    <w:p>
      <w:pPr>
        <w:spacing w:after="120"/>
        <w:ind w:left="510" w:hanging="510"/>
        <w:jc w:val="both"/>
      </w:pPr>
      <w:r>
        <w:rPr>
          <w:rFonts w:ascii="Times New Roman" w:hAnsi="Times New Roman"/>
          <w:b w:val="0"/>
          <w:sz w:val="22"/>
        </w:rPr>
        <w:t xml:space="preserve">[5] O. Ledoit i M. Wolf, „A well-conditioned estimator for large-dimensional covariance matrices“, </w:t>
      </w:r>
      <w:r>
        <w:rPr>
          <w:rFonts w:ascii="Times New Roman" w:hAnsi="Times New Roman"/>
          <w:i/>
          <w:sz w:val="22"/>
        </w:rPr>
        <w:t>J. Multivariate Anal.</w:t>
      </w:r>
      <w:r>
        <w:rPr>
          <w:rFonts w:ascii="Times New Roman" w:hAnsi="Times New Roman"/>
          <w:b w:val="0"/>
          <w:sz w:val="22"/>
        </w:rPr>
        <w:t>, vol. 88, br. 2, str. 365–411, 2004, doi: 10.1016/S0047-259X(03)00096-4.</w:t>
      </w:r>
    </w:p>
    <w:p>
      <w:pPr>
        <w:spacing w:after="120"/>
        <w:ind w:left="510" w:hanging="510"/>
        <w:jc w:val="both"/>
      </w:pPr>
      <w:r>
        <w:rPr>
          <w:rFonts w:ascii="Times New Roman" w:hAnsi="Times New Roman"/>
          <w:b w:val="0"/>
          <w:sz w:val="22"/>
        </w:rPr>
        <w:t xml:space="preserve">[6] N. Harada et al., „ToyADMOS2: Another dataset of miniature-machine operating sounds for anomalous sound detection under domain shift conditions“, </w:t>
      </w:r>
      <w:r>
        <w:rPr>
          <w:rFonts w:ascii="Times New Roman" w:hAnsi="Times New Roman"/>
          <w:i/>
          <w:sz w:val="22"/>
        </w:rPr>
        <w:t>DCASE Workshop 2021</w:t>
      </w:r>
      <w:r>
        <w:rPr>
          <w:rFonts w:ascii="Times New Roman" w:hAnsi="Times New Roman"/>
          <w:b w:val="0"/>
          <w:sz w:val="22"/>
        </w:rPr>
        <w:t>, str. 1–5, doi: 10.5281/zenodo.5770113.</w:t>
      </w:r>
    </w:p>
    <w:p>
      <w:pPr>
        <w:spacing w:after="120"/>
        <w:ind w:left="510" w:hanging="510"/>
        <w:jc w:val="both"/>
      </w:pPr>
      <w:r>
        <w:rPr>
          <w:rFonts w:ascii="Times New Roman" w:hAnsi="Times New Roman"/>
          <w:b w:val="0"/>
          <w:sz w:val="22"/>
        </w:rPr>
        <w:t xml:space="preserve">[7] P. C. Mahalanobis, „On the generalised distance in statistics“, </w:t>
      </w:r>
      <w:r>
        <w:rPr>
          <w:rFonts w:ascii="Times New Roman" w:hAnsi="Times New Roman"/>
          <w:i/>
          <w:sz w:val="22"/>
        </w:rPr>
        <w:t>Proc. Natl. Inst. Sci. India</w:t>
      </w:r>
      <w:r>
        <w:rPr>
          <w:rFonts w:ascii="Times New Roman" w:hAnsi="Times New Roman"/>
          <w:b w:val="0"/>
          <w:sz w:val="22"/>
        </w:rPr>
        <w:t>, vol. 2, br. 1, str. 49–55, 1936.</w:t>
      </w:r>
    </w:p>
    <w:p>
      <w:pPr>
        <w:spacing w:after="120"/>
        <w:ind w:left="510" w:hanging="510"/>
        <w:jc w:val="both"/>
      </w:pPr>
      <w:r>
        <w:rPr>
          <w:rFonts w:ascii="Times New Roman" w:hAnsi="Times New Roman"/>
          <w:b w:val="0"/>
          <w:sz w:val="22"/>
        </w:rPr>
        <w:t xml:space="preserve">[8] Espressif Systems, </w:t>
      </w:r>
      <w:r>
        <w:rPr>
          <w:rFonts w:ascii="Times New Roman" w:hAnsi="Times New Roman"/>
          <w:i/>
          <w:sz w:val="22"/>
        </w:rPr>
        <w:t>ESP32-S3-WROOM-1 &amp; ESP32-S3-WROOM-1U Datasheet</w:t>
      </w:r>
      <w:r>
        <w:rPr>
          <w:rFonts w:ascii="Times New Roman" w:hAnsi="Times New Roman"/>
          <w:b w:val="0"/>
          <w:sz w:val="22"/>
        </w:rPr>
        <w:t>, v1.8. Dostupno: https://www.espressif.com/sites/default/files/documentation/esp32-s3-wroom-1_wroom-1u_datasheet_en.pdf (pristupljeno 6. septembra 2026).</w:t>
      </w:r>
    </w:p>
    <w:p>
      <w:pPr>
        <w:spacing w:after="120"/>
        <w:ind w:left="510" w:hanging="510"/>
        <w:jc w:val="both"/>
      </w:pPr>
      <w:r>
        <w:rPr>
          <w:rFonts w:ascii="Times New Roman" w:hAnsi="Times New Roman"/>
          <w:b w:val="0"/>
          <w:sz w:val="22"/>
        </w:rPr>
        <w:t xml:space="preserve">[9] Espressif Systems, </w:t>
      </w:r>
      <w:r>
        <w:rPr>
          <w:rFonts w:ascii="Times New Roman" w:hAnsi="Times New Roman"/>
          <w:i/>
          <w:sz w:val="22"/>
        </w:rPr>
        <w:t>ESP-IDF Programming Guide v5.5, ESP32-S3</w:t>
      </w:r>
      <w:r>
        <w:rPr>
          <w:rFonts w:ascii="Times New Roman" w:hAnsi="Times New Roman"/>
          <w:b w:val="0"/>
          <w:sz w:val="22"/>
        </w:rPr>
        <w:t>. Dostupno: https://docs.espressif.com/projects/esp-idf/en/v5.5/esp32s3/ (pristupljeno 6. septembra 2026).</w:t>
      </w:r>
    </w:p>
    <w:p>
      <w:pPr>
        <w:spacing w:after="120"/>
        <w:ind w:left="510" w:hanging="510"/>
        <w:jc w:val="both"/>
      </w:pPr>
      <w:r>
        <w:rPr>
          <w:rFonts w:ascii="Times New Roman" w:hAnsi="Times New Roman"/>
          <w:b w:val="0"/>
          <w:sz w:val="22"/>
        </w:rPr>
        <w:t xml:space="preserve">[10] InvenSense, </w:t>
      </w:r>
      <w:r>
        <w:rPr>
          <w:rFonts w:ascii="Times New Roman" w:hAnsi="Times New Roman"/>
          <w:i/>
          <w:sz w:val="22"/>
        </w:rPr>
        <w:t>INMP441 Omnidirectional Microphone with Bottom Port and I2S Digital Output</w:t>
      </w:r>
      <w:r>
        <w:rPr>
          <w:rFonts w:ascii="Times New Roman" w:hAnsi="Times New Roman"/>
          <w:b w:val="0"/>
          <w:sz w:val="22"/>
        </w:rPr>
        <w:t>, tehnička specifikacija, dokument DS-INMP441.</w:t>
      </w:r>
    </w:p>
    <w:p>
      <w:pPr>
        <w:spacing w:after="120"/>
        <w:ind w:left="510" w:hanging="510"/>
        <w:jc w:val="both"/>
      </w:pPr>
      <w:r>
        <w:rPr>
          <w:rFonts w:ascii="Times New Roman" w:hAnsi="Times New Roman"/>
          <w:b w:val="0"/>
          <w:sz w:val="22"/>
        </w:rPr>
        <w:t xml:space="preserve">[11] F. Pedregosa et al., „Scikit-learn: Machine learning in Python“, </w:t>
      </w:r>
      <w:r>
        <w:rPr>
          <w:rFonts w:ascii="Times New Roman" w:hAnsi="Times New Roman"/>
          <w:i/>
          <w:sz w:val="22"/>
        </w:rPr>
        <w:t>J. Mach. Learn. Res.</w:t>
      </w:r>
      <w:r>
        <w:rPr>
          <w:rFonts w:ascii="Times New Roman" w:hAnsi="Times New Roman"/>
          <w:b w:val="0"/>
          <w:sz w:val="22"/>
        </w:rPr>
        <w:t>, vol. 12, str. 2825–2830, 2011.</w:t>
      </w:r>
    </w:p>
    <w:p>
      <w:pPr>
        <w:spacing w:after="120"/>
        <w:ind w:left="510" w:hanging="510"/>
        <w:jc w:val="both"/>
      </w:pPr>
      <w:r>
        <w:rPr>
          <w:rFonts w:ascii="Times New Roman" w:hAnsi="Times New Roman"/>
          <w:b w:val="0"/>
          <w:sz w:val="22"/>
        </w:rPr>
        <w:t xml:space="preserve">[12] P. Virtanen et al., „SciPy 1.0: Fundamental algorithms for scientific computing in Python“, </w:t>
      </w:r>
      <w:r>
        <w:rPr>
          <w:rFonts w:ascii="Times New Roman" w:hAnsi="Times New Roman"/>
          <w:i/>
          <w:sz w:val="22"/>
        </w:rPr>
        <w:t>Nature Methods</w:t>
      </w:r>
      <w:r>
        <w:rPr>
          <w:rFonts w:ascii="Times New Roman" w:hAnsi="Times New Roman"/>
          <w:b w:val="0"/>
          <w:sz w:val="22"/>
        </w:rPr>
        <w:t>, vol. 17, str. 261–272, 2020, doi: 10.1038/s41592-019-0686-2.</w:t>
      </w:r>
    </w:p>
    <w:p>
      <w:pPr>
        <w:spacing w:before="0" w:after="0" w:line="20" w:lineRule="exact"/>
      </w:pPr>
      <w:r>
        <w:rPr>
          <w:sz w:val="2"/>
        </w:rPr>
        <w:br w:type="page"/>
      </w:r>
    </w:p>
    <w:p>
      <w:pPr>
        <w:pStyle w:val="Heading1"/>
      </w:pPr>
      <w:r>
        <w:rPr>
          <w:rFonts w:ascii="Arial" w:hAnsi="Arial"/>
          <w:b/>
          <w:sz w:val="32"/>
        </w:rPr>
        <w:t>БИОГРАФИЈА</w:t>
      </w:r>
    </w:p>
    <w:p>
      <w:pPr>
        <w:spacing w:after="0" w:line="240" w:lineRule="exact"/>
      </w:pPr>
    </w:p>
    <w:p>
      <w:pPr>
        <w:pStyle w:val="BodyText"/>
        <w:ind w:firstLine="0"/>
      </w:pPr>
      <w:r>
        <w:rPr>
          <w:rFonts w:ascii="Times New Roman" w:hAnsi="Times New Roman"/>
          <w:b w:val="0"/>
          <w:sz w:val="22"/>
        </w:rPr>
        <w:t>Михајло Живковић рођен је 11. априла 2001. године у Зворнику. Основне академске студије завршио је на Факултету техничких наука у Новом Саду, на студијском програму Мехатроника, роботика и аутоматизација, са просјечном оцјеном 9,60. Мастер академске студије уписао је 2024. године на студијском програму Енергетика, електроника и телекомуникације, модул Embedded системи и алгоритми.</w:t>
      </w:r>
    </w:p>
    <w:p>
      <w:pPr>
        <w:pStyle w:val="BodyText"/>
      </w:pPr>
      <w:r>
        <w:rPr>
          <w:rFonts w:ascii="Times New Roman" w:hAnsi="Times New Roman"/>
          <w:b w:val="0"/>
          <w:sz w:val="22"/>
        </w:rPr>
        <w:t>Током студија радио је као инжењер примјене у компанији Festo Србија, гдје се бавио програмибилним логичким контролерима, индустријским сабирницама и системима за руковање материјалом. Од 2025. године ради као инжењер за уграђени Linux и Android у компанији Ikotek, на платформама заснованим на процесорима Qualcomm.</w:t>
      </w:r>
    </w:p>
    <w:p>
      <w:pPr>
        <w:pStyle w:val="BodyText"/>
      </w:pPr>
      <w:r>
        <w:rPr>
          <w:rFonts w:ascii="Times New Roman" w:hAnsi="Times New Roman"/>
          <w:b w:val="0"/>
          <w:sz w:val="22"/>
        </w:rPr>
        <w:t>Области интересовања су му уграђени системи, обрада сигнала, машинско учење на ресурсно ограниченим уређајима и системско програмирање.</w:t>
      </w:r>
    </w:p>
    <w:p>
      <w:pPr>
        <w:spacing w:before="0" w:after="0" w:line="20" w:lineRule="exact"/>
      </w:pPr>
      <w:r>
        <w:rPr>
          <w:sz w:val="2"/>
        </w:rPr>
        <w:br w:type="page"/>
      </w:r>
    </w:p>
    <w:p>
      <w:pPr>
        <w:pStyle w:val="Heading1"/>
      </w:pPr>
      <w:r>
        <w:rPr>
          <w:rFonts w:ascii="Arial" w:hAnsi="Arial"/>
          <w:b/>
          <w:sz w:val="32"/>
        </w:rPr>
        <w:t>ПРИЛОЗИ</w:t>
      </w:r>
    </w:p>
    <w:p>
      <w:pPr>
        <w:spacing w:after="0" w:line="240" w:lineRule="exact"/>
      </w:pPr>
    </w:p>
    <w:p>
      <w:pPr>
        <w:pStyle w:val="Heading2"/>
      </w:pPr>
      <w:r>
        <w:rPr>
          <w:rFonts w:ascii="Arial" w:hAnsi="Arial"/>
          <w:b/>
          <w:sz w:val="28"/>
        </w:rPr>
        <w:t>Прилог А: садржај дигиталног прилога</w:t>
      </w:r>
    </w:p>
    <w:p>
      <w:pPr>
        <w:pStyle w:val="BodyText"/>
        <w:ind w:firstLine="0"/>
      </w:pPr>
      <w:r>
        <w:rPr>
          <w:rFonts w:ascii="Times New Roman" w:hAnsi="Times New Roman"/>
          <w:b w:val="0"/>
          <w:sz w:val="22"/>
        </w:rPr>
        <w:t>Због обима, изворни код, записи мјерења и сирови подаци достављају се у дигиталном облику. Структура прилога је сљедећа:</w:t>
      </w:r>
    </w:p>
    <w:p>
      <w:pPr>
        <w:keepNext w:val="0"/>
        <w:spacing w:before="0" w:after="0"/>
        <w:ind w:left="283"/>
      </w:pPr>
      <w:r>
        <w:rPr>
          <w:rFonts w:ascii="Courier New" w:hAnsi="Courier New"/>
          <w:sz w:val="20"/>
        </w:rPr>
        <w:t>pc/asd/         Python paket: obilježja, podaci, model, obuka, ocjena,</w:t>
      </w:r>
    </w:p>
    <w:p>
      <w:pPr>
        <w:keepNext w:val="0"/>
        <w:spacing w:before="0" w:after="0"/>
        <w:ind w:left="283"/>
      </w:pPr>
      <w:r>
        <w:rPr>
          <w:rFonts w:ascii="Courier New" w:hAnsi="Courier New"/>
          <w:sz w:val="20"/>
        </w:rPr>
        <w:t xml:space="preserve">                protokol izvršavanja, vođeni test, politika kalibracije</w:t>
      </w:r>
    </w:p>
    <w:p>
      <w:pPr>
        <w:keepNext w:val="0"/>
        <w:spacing w:before="0" w:after="0"/>
        <w:ind w:left="283"/>
      </w:pPr>
      <w:r>
        <w:rPr>
          <w:rFonts w:ascii="Courier New" w:hAnsi="Courier New"/>
          <w:sz w:val="20"/>
        </w:rPr>
        <w:t>pc/tools/       generatori C zaglavlja, alati za mjerenje, host eksperiment</w:t>
      </w:r>
    </w:p>
    <w:p>
      <w:pPr>
        <w:keepNext w:val="0"/>
        <w:spacing w:before="0" w:after="0"/>
        <w:ind w:left="283"/>
      </w:pPr>
      <w:r>
        <w:rPr>
          <w:rFonts w:ascii="Courier New" w:hAnsi="Courier New"/>
          <w:sz w:val="20"/>
        </w:rPr>
        <w:t>pc/config/      zaključane politike u JSON obliku</w:t>
      </w:r>
    </w:p>
    <w:p>
      <w:pPr>
        <w:keepNext w:val="0"/>
        <w:spacing w:before="0" w:after="0"/>
        <w:ind w:left="283"/>
      </w:pPr>
      <w:r>
        <w:rPr>
          <w:rFonts w:ascii="Courier New" w:hAnsi="Courier New"/>
          <w:sz w:val="20"/>
        </w:rPr>
        <w:t>pc/tests/       testovi na računaru i poređenje Python-C</w:t>
      </w:r>
    </w:p>
    <w:p>
      <w:pPr>
        <w:keepNext w:val="0"/>
        <w:spacing w:before="0" w:after="0"/>
        <w:ind w:left="283"/>
      </w:pPr>
      <w:r>
        <w:rPr>
          <w:rFonts w:ascii="Courier New" w:hAnsi="Courier New"/>
          <w:sz w:val="20"/>
        </w:rPr>
        <w:t>firmware/esp32s3_asd/   izvorni kod firmvera za ESP-IDF v5.x</w:t>
      </w:r>
    </w:p>
    <w:p>
      <w:pPr>
        <w:keepNext w:val="0"/>
        <w:spacing w:before="0" w:after="0"/>
        <w:ind w:left="283"/>
      </w:pPr>
      <w:r>
        <w:rPr>
          <w:rFonts w:ascii="Courier New" w:hAnsi="Courier New"/>
          <w:sz w:val="20"/>
        </w:rPr>
        <w:t>docs/           dokumentacija razvoja, problemi i rješenja</w:t>
      </w:r>
    </w:p>
    <w:p>
      <w:pPr>
        <w:keepNext w:val="0"/>
        <w:spacing w:before="0" w:after="0"/>
        <w:ind w:left="283"/>
      </w:pPr>
      <w:r>
        <w:rPr>
          <w:rFonts w:ascii="Courier New" w:hAnsi="Courier New"/>
          <w:sz w:val="20"/>
        </w:rPr>
        <w:t>results/        zapisi mjerenja, uključujući fizičke runove</w:t>
      </w:r>
    </w:p>
    <w:p>
      <w:pPr>
        <w:keepNext w:val="0"/>
        <w:spacing w:before="0" w:after="0"/>
        <w:ind w:left="283"/>
      </w:pPr>
      <w:r>
        <w:rPr>
          <w:rFonts w:ascii="Courier New" w:hAnsi="Courier New"/>
          <w:sz w:val="20"/>
        </w:rPr>
        <w:t>radovi/         ovaj rad i rad za konferenciju</w:t>
      </w:r>
    </w:p>
    <w:p>
      <w:pPr>
        <w:pStyle w:val="BodyText"/>
        <w:ind w:firstLine="0"/>
      </w:pPr>
      <w:r>
        <w:rPr>
          <w:rFonts w:ascii="Times New Roman" w:hAnsi="Times New Roman"/>
          <w:b w:val="0"/>
          <w:sz w:val="22"/>
        </w:rPr>
        <w:t xml:space="preserve">Адреса спремишта: </w:t>
      </w:r>
      <w:r>
        <w:rPr>
          <w:rFonts w:ascii="Courier New" w:hAnsi="Courier New"/>
          <w:sz w:val="20"/>
        </w:rPr>
        <w:t>https://github.com/mihajloz11/asd-esp32s3</w:t>
      </w:r>
      <w:r>
        <w:rPr>
          <w:rFonts w:ascii="Times New Roman" w:hAnsi="Times New Roman"/>
          <w:b w:val="0"/>
          <w:sz w:val="22"/>
        </w:rPr>
        <w:t>. [TODO] спремиште је у тренутку писања приватно; отворити га прије предаје или приложити садржај на дигиталном носачу.</w:t>
      </w:r>
    </w:p>
    <w:p>
      <w:pPr>
        <w:pStyle w:val="Heading2"/>
      </w:pPr>
      <w:r>
        <w:rPr>
          <w:rFonts w:ascii="Arial" w:hAnsi="Arial"/>
          <w:b/>
          <w:sz w:val="28"/>
        </w:rPr>
        <w:t>Прилог B: сажетак политика и њихових верзија</w:t>
      </w:r>
    </w:p>
    <w:p>
      <w:pPr>
        <w:pStyle w:val="BodyText"/>
        <w:ind w:firstLine="0"/>
      </w:pPr>
      <w:r>
        <w:rPr>
          <w:rFonts w:ascii="Times New Roman" w:hAnsi="Times New Roman"/>
          <w:b w:val="0"/>
          <w:sz w:val="22"/>
        </w:rPr>
        <w:t>Табела B.1 даје све закључане политике и њихове верзије.</w:t>
      </w:r>
    </w:p>
    <w:p>
      <w:pPr>
        <w:pStyle w:val="Potpistabele"/>
        <w:keepNext/>
        <w:spacing w:before="200" w:after="60"/>
        <w:jc w:val="center"/>
      </w:pPr>
      <w:r>
        <w:rPr>
          <w:rFonts w:ascii="Times New Roman" w:hAnsi="Times New Roman"/>
          <w:b w:val="0"/>
          <w:sz w:val="22"/>
        </w:rPr>
        <w:t>Табела B.1. Закључане политике и њихове верзије</w:t>
      </w:r>
    </w:p>
    <w:tbl>
      <w:tblPr>
        <w:tblStyle w:val="TableGrid"/>
        <w:tblW w:type="auto" w:w="0"/>
        <w:jc w:val="center"/>
        <w:tblLook w:firstColumn="1" w:firstRow="1" w:lastColumn="0" w:lastRow="0" w:noHBand="0" w:noVBand="1" w:val="04A0"/>
      </w:tblPr>
      <w:tblGrid>
        <w:gridCol w:w="2929"/>
        <w:gridCol w:w="2929"/>
        <w:gridCol w:w="2929"/>
      </w:tblGrid>
      <w:tr>
        <w:trPr>
          <w:tblHeader/>
        </w:trPr>
        <w:tc>
          <w:tcPr>
            <w:tcW w:type="dxa" w:w="2929"/>
          </w:tcPr>
          <w:p>
            <w:pPr>
              <w:keepNext/>
              <w:spacing w:after="40"/>
              <w:jc w:val="center"/>
            </w:pPr>
            <w:r>
              <w:rPr>
                <w:rFonts w:ascii="Times New Roman" w:hAnsi="Times New Roman"/>
                <w:b/>
                <w:sz w:val="20"/>
              </w:rPr>
              <w:t>Политика</w:t>
            </w:r>
          </w:p>
        </w:tc>
        <w:tc>
          <w:tcPr>
            <w:tcW w:type="dxa" w:w="2929"/>
          </w:tcPr>
          <w:p>
            <w:pPr>
              <w:keepNext/>
              <w:spacing w:after="40"/>
              <w:jc w:val="center"/>
            </w:pPr>
            <w:r>
              <w:rPr>
                <w:rFonts w:ascii="Times New Roman" w:hAnsi="Times New Roman"/>
                <w:b/>
                <w:sz w:val="20"/>
              </w:rPr>
              <w:t>Верзија</w:t>
            </w:r>
          </w:p>
        </w:tc>
        <w:tc>
          <w:tcPr>
            <w:tcW w:type="dxa" w:w="2929"/>
          </w:tcPr>
          <w:p>
            <w:pPr>
              <w:keepNext/>
              <w:spacing w:after="40"/>
              <w:jc w:val="center"/>
            </w:pPr>
            <w:r>
              <w:rPr>
                <w:rFonts w:ascii="Times New Roman" w:hAnsi="Times New Roman"/>
                <w:b/>
                <w:sz w:val="20"/>
              </w:rPr>
              <w:t>Шта одређује</w:t>
            </w:r>
          </w:p>
        </w:tc>
      </w:tr>
      <w:tr>
        <w:trPr>
          <w:cantSplit/>
        </w:trPr>
        <w:tc>
          <w:tcPr>
            <w:tcW w:type="dxa" w:w="2929"/>
          </w:tcPr>
          <w:p>
            <w:pPr>
              <w:spacing w:after="40"/>
            </w:pPr>
            <w:r>
              <w:rPr>
                <w:rFonts w:ascii="Times New Roman" w:hAnsi="Times New Roman"/>
                <w:b w:val="0"/>
                <w:sz w:val="20"/>
              </w:rPr>
              <w:t>Квалитет сигнала</w:t>
            </w:r>
          </w:p>
        </w:tc>
        <w:tc>
          <w:tcPr>
            <w:tcW w:type="dxa" w:w="2929"/>
          </w:tcPr>
          <w:p>
            <w:pPr>
              <w:spacing w:after="40"/>
            </w:pPr>
            <w:r>
              <w:rPr>
                <w:rFonts w:ascii="Courier New" w:hAnsi="Courier New"/>
                <w:sz w:val="18"/>
              </w:rPr>
              <w:t>asd-quality-policy-v1.1.0</w:t>
            </w:r>
          </w:p>
        </w:tc>
        <w:tc>
          <w:tcPr>
            <w:tcW w:type="dxa" w:w="2929"/>
          </w:tcPr>
          <w:p>
            <w:pPr>
              <w:spacing w:after="40"/>
            </w:pPr>
            <w:r>
              <w:rPr>
                <w:rFonts w:ascii="Times New Roman" w:hAnsi="Times New Roman"/>
                <w:b w:val="0"/>
                <w:sz w:val="20"/>
              </w:rPr>
              <w:t>прагови исправности сигнала и прага нивоа</w:t>
            </w:r>
          </w:p>
        </w:tc>
      </w:tr>
      <w:tr>
        <w:trPr>
          <w:cantSplit/>
        </w:trPr>
        <w:tc>
          <w:tcPr>
            <w:tcW w:type="dxa" w:w="2929"/>
          </w:tcPr>
          <w:p>
            <w:pPr>
              <w:spacing w:after="40"/>
            </w:pPr>
            <w:r>
              <w:rPr>
                <w:rFonts w:ascii="Times New Roman" w:hAnsi="Times New Roman"/>
                <w:b w:val="0"/>
                <w:sz w:val="20"/>
              </w:rPr>
              <w:t>Квалитет калибрације</w:t>
            </w:r>
          </w:p>
        </w:tc>
        <w:tc>
          <w:tcPr>
            <w:tcW w:type="dxa" w:w="2929"/>
          </w:tcPr>
          <w:p>
            <w:pPr>
              <w:spacing w:after="40"/>
            </w:pPr>
            <w:r>
              <w:rPr>
                <w:rFonts w:ascii="Courier New" w:hAnsi="Courier New"/>
                <w:sz w:val="18"/>
              </w:rPr>
              <w:t>asd-commissioning-policy-v1.0.0</w:t>
            </w:r>
          </w:p>
        </w:tc>
        <w:tc>
          <w:tcPr>
            <w:tcW w:type="dxa" w:w="2929"/>
          </w:tcPr>
          <w:p>
            <w:pPr>
              <w:spacing w:after="40"/>
            </w:pPr>
            <w:r>
              <w:rPr>
                <w:rFonts w:ascii="Times New Roman" w:hAnsi="Times New Roman"/>
                <w:b w:val="0"/>
                <w:sz w:val="20"/>
              </w:rPr>
              <w:t>граница коефицијента варијације</w:t>
            </w:r>
          </w:p>
        </w:tc>
      </w:tr>
      <w:tr>
        <w:trPr>
          <w:cantSplit/>
        </w:trPr>
        <w:tc>
          <w:tcPr>
            <w:tcW w:type="dxa" w:w="2929"/>
          </w:tcPr>
          <w:p>
            <w:pPr>
              <w:spacing w:after="40"/>
            </w:pPr>
            <w:r>
              <w:rPr>
                <w:rFonts w:ascii="Times New Roman" w:hAnsi="Times New Roman"/>
                <w:b w:val="0"/>
                <w:sz w:val="20"/>
              </w:rPr>
              <w:t>Присуство машине</w:t>
            </w:r>
          </w:p>
        </w:tc>
        <w:tc>
          <w:tcPr>
            <w:tcW w:type="dxa" w:w="2929"/>
          </w:tcPr>
          <w:p>
            <w:pPr>
              <w:spacing w:after="40"/>
            </w:pPr>
            <w:r>
              <w:rPr>
                <w:rFonts w:ascii="Courier New" w:hAnsi="Courier New"/>
                <w:sz w:val="18"/>
              </w:rPr>
              <w:t>asd-presence-policy-v1</w:t>
            </w:r>
          </w:p>
        </w:tc>
        <w:tc>
          <w:tcPr>
            <w:tcW w:type="dxa" w:w="2929"/>
          </w:tcPr>
          <w:p>
            <w:pPr>
              <w:spacing w:after="40"/>
            </w:pPr>
            <w:r>
              <w:rPr>
                <w:rFonts w:ascii="Times New Roman" w:hAnsi="Times New Roman"/>
                <w:b w:val="0"/>
                <w:sz w:val="20"/>
              </w:rPr>
              <w:t>маргина од 11 dB и три узастопна прозора</w:t>
            </w:r>
          </w:p>
        </w:tc>
      </w:tr>
      <w:tr>
        <w:trPr>
          <w:cantSplit/>
        </w:trPr>
        <w:tc>
          <w:tcPr>
            <w:tcW w:type="dxa" w:w="2929"/>
          </w:tcPr>
          <w:p>
            <w:pPr>
              <w:spacing w:after="40"/>
            </w:pPr>
            <w:r>
              <w:rPr>
                <w:rFonts w:ascii="Times New Roman" w:hAnsi="Times New Roman"/>
                <w:b w:val="0"/>
                <w:sz w:val="20"/>
              </w:rPr>
              <w:t>Временска одлука</w:t>
            </w:r>
          </w:p>
        </w:tc>
        <w:tc>
          <w:tcPr>
            <w:tcW w:type="dxa" w:w="2929"/>
          </w:tcPr>
          <w:p>
            <w:pPr>
              <w:spacing w:after="40"/>
            </w:pPr>
            <w:r>
              <w:rPr>
                <w:rFonts w:ascii="Courier New" w:hAnsi="Courier New"/>
                <w:sz w:val="18"/>
              </w:rPr>
              <w:t>asd-temporal-policy-v2</w:t>
            </w:r>
          </w:p>
        </w:tc>
        <w:tc>
          <w:tcPr>
            <w:tcW w:type="dxa" w:w="2929"/>
          </w:tcPr>
          <w:p>
            <w:pPr>
              <w:spacing w:after="40"/>
            </w:pPr>
            <w:r>
              <w:rPr>
                <w:rFonts w:ascii="Times New Roman" w:hAnsi="Times New Roman"/>
                <w:b w:val="0"/>
                <w:sz w:val="20"/>
              </w:rPr>
              <w:t>три узастопна прозора и хистереза</w:t>
            </w:r>
          </w:p>
        </w:tc>
      </w:tr>
      <w:tr>
        <w:trPr>
          <w:cantSplit/>
        </w:trPr>
        <w:tc>
          <w:tcPr>
            <w:tcW w:type="dxa" w:w="2929"/>
          </w:tcPr>
          <w:p>
            <w:pPr>
              <w:spacing w:after="40"/>
            </w:pPr>
            <w:r>
              <w:rPr>
                <w:rFonts w:ascii="Times New Roman" w:hAnsi="Times New Roman"/>
                <w:b w:val="0"/>
                <w:sz w:val="20"/>
              </w:rPr>
              <w:t>Капија поузданости</w:t>
            </w:r>
          </w:p>
        </w:tc>
        <w:tc>
          <w:tcPr>
            <w:tcW w:type="dxa" w:w="2929"/>
          </w:tcPr>
          <w:p>
            <w:pPr>
              <w:spacing w:after="40"/>
            </w:pPr>
            <w:r>
              <w:rPr>
                <w:rFonts w:ascii="Courier New" w:hAnsi="Courier New"/>
                <w:sz w:val="18"/>
              </w:rPr>
              <w:t>asd-interference-policy-v3.0.0</w:t>
            </w:r>
          </w:p>
        </w:tc>
        <w:tc>
          <w:tcPr>
            <w:tcW w:type="dxa" w:w="2929"/>
          </w:tcPr>
          <w:p>
            <w:pPr>
              <w:spacing w:after="40"/>
            </w:pPr>
            <w:r>
              <w:rPr>
                <w:rFonts w:ascii="Times New Roman" w:hAnsi="Times New Roman"/>
                <w:b w:val="0"/>
                <w:sz w:val="20"/>
              </w:rPr>
              <w:t>множилац 1,25 над калибрационим максимумом</w:t>
            </w:r>
          </w:p>
        </w:tc>
      </w:tr>
      <w:tr>
        <w:trPr>
          <w:cantSplit/>
        </w:trPr>
        <w:tc>
          <w:tcPr>
            <w:tcW w:type="dxa" w:w="2929"/>
          </w:tcPr>
          <w:p>
            <w:pPr>
              <w:spacing w:after="40"/>
            </w:pPr>
            <w:r>
              <w:rPr>
                <w:rFonts w:ascii="Times New Roman" w:hAnsi="Times New Roman"/>
                <w:b w:val="0"/>
                <w:sz w:val="20"/>
              </w:rPr>
              <w:t>Протокол уређаја</w:t>
            </w:r>
          </w:p>
        </w:tc>
        <w:tc>
          <w:tcPr>
            <w:tcW w:type="dxa" w:w="2929"/>
          </w:tcPr>
          <w:p>
            <w:pPr>
              <w:spacing w:after="40"/>
            </w:pPr>
            <w:r>
              <w:rPr>
                <w:rFonts w:ascii="Courier New" w:hAnsi="Courier New"/>
                <w:sz w:val="18"/>
              </w:rPr>
              <w:t>asd-quality-v1.6.0</w:t>
            </w:r>
          </w:p>
        </w:tc>
        <w:tc>
          <w:tcPr>
            <w:tcW w:type="dxa" w:w="2929"/>
          </w:tcPr>
          <w:p>
            <w:pPr>
              <w:spacing w:after="40"/>
            </w:pPr>
            <w:r>
              <w:rPr>
                <w:rFonts w:ascii="Times New Roman" w:hAnsi="Times New Roman"/>
                <w:b w:val="0"/>
                <w:sz w:val="20"/>
              </w:rPr>
              <w:t>формат телеметрије и стања</w:t>
            </w:r>
          </w:p>
        </w:tc>
      </w:tr>
      <w:tr>
        <w:trPr>
          <w:cantSplit/>
        </w:trPr>
        <w:tc>
          <w:tcPr>
            <w:tcW w:type="dxa" w:w="2929"/>
          </w:tcPr>
          <w:p>
            <w:pPr>
              <w:spacing w:after="40"/>
            </w:pPr>
            <w:r>
              <w:rPr>
                <w:rFonts w:ascii="Times New Roman" w:hAnsi="Times New Roman"/>
                <w:b w:val="0"/>
                <w:sz w:val="20"/>
              </w:rPr>
              <w:t>Протокол мјерења</w:t>
            </w:r>
          </w:p>
        </w:tc>
        <w:tc>
          <w:tcPr>
            <w:tcW w:type="dxa" w:w="2929"/>
          </w:tcPr>
          <w:p>
            <w:pPr>
              <w:spacing w:after="40"/>
            </w:pPr>
            <w:r>
              <w:rPr>
                <w:rFonts w:ascii="Courier New" w:hAnsi="Courier New"/>
                <w:sz w:val="18"/>
              </w:rPr>
              <w:t>physical-fan-v1.9.0</w:t>
            </w:r>
          </w:p>
        </w:tc>
        <w:tc>
          <w:tcPr>
            <w:tcW w:type="dxa" w:w="2929"/>
          </w:tcPr>
          <w:p>
            <w:pPr>
              <w:spacing w:after="40"/>
            </w:pPr>
            <w:r>
              <w:rPr>
                <w:rFonts w:ascii="Times New Roman" w:hAnsi="Times New Roman"/>
                <w:b w:val="0"/>
                <w:sz w:val="20"/>
              </w:rPr>
              <w:t>правила валидности физичког мјерења</w:t>
            </w:r>
          </w:p>
        </w:tc>
      </w:tr>
    </w:tbl>
    <w:p>
      <w:pPr>
        <w:spacing w:after="80"/>
      </w:pPr>
    </w:p>
    <w:p>
      <w:pPr>
        <w:pStyle w:val="BodyText"/>
        <w:ind w:firstLine="0"/>
      </w:pPr>
      <w:r>
        <w:rPr>
          <w:rFonts w:ascii="Times New Roman" w:hAnsi="Times New Roman"/>
          <w:b w:val="0"/>
          <w:sz w:val="22"/>
        </w:rPr>
        <w:t>Све наведене политике носе изричиту ознаку да циљне аномалије нису коришћене за њихово извођење, и та ознака се провјерава аутоматски при свакој измјени.</w:t>
      </w:r>
    </w:p>
    <w:p>
      <w:pPr>
        <w:pStyle w:val="Heading2"/>
      </w:pPr>
      <w:r>
        <w:rPr>
          <w:rFonts w:ascii="Arial" w:hAnsi="Arial"/>
          <w:b/>
          <w:sz w:val="28"/>
        </w:rPr>
        <w:t>Прилог C: примјер записа телеметрије</w:t>
      </w:r>
    </w:p>
    <w:p>
      <w:pPr>
        <w:pStyle w:val="BodyText"/>
        <w:keepNext/>
        <w:ind w:firstLine="0"/>
      </w:pPr>
      <w:r>
        <w:rPr>
          <w:rFonts w:ascii="Times New Roman" w:hAnsi="Times New Roman"/>
          <w:b w:val="0"/>
          <w:sz w:val="22"/>
        </w:rPr>
        <w:t>Уређај емитује структурисане записе са изричитом ознаком верзије протокола. Листинг C.1 је извод из стварног мјерења, са сажетком калибрације, изведеним прагом и подизањем аларма.</w:t>
      </w:r>
    </w:p>
    <w:p>
      <w:pPr>
        <w:keepNext/>
        <w:spacing w:before="0" w:after="0"/>
        <w:ind w:left="283"/>
      </w:pPr>
      <w:r>
        <w:rPr>
          <w:rFonts w:ascii="Courier New" w:hAnsi="Courier New"/>
          <w:sz w:val="20"/>
        </w:rPr>
        <w:t>CALTRIM  protocol=asd-quality-v1.6.0 policy=k1-two-clip-trim-v1</w:t>
      </w:r>
    </w:p>
    <w:p>
      <w:pPr>
        <w:keepNext/>
        <w:spacing w:before="0" w:after="0"/>
        <w:ind w:left="283"/>
      </w:pPr>
      <w:r>
        <w:rPr>
          <w:rFonts w:ascii="Courier New" w:hAnsi="Courier New"/>
          <w:sz w:val="20"/>
        </w:rPr>
        <w:t xml:space="preserve">         discarded_count=2 retained=8 raw_loo_cv=0.841676</w:t>
      </w:r>
    </w:p>
    <w:p>
      <w:pPr>
        <w:keepNext/>
        <w:spacing w:before="0" w:after="0"/>
        <w:ind w:left="283"/>
      </w:pPr>
      <w:r>
        <w:rPr>
          <w:rFonts w:ascii="Courier New" w:hAnsi="Courier New"/>
          <w:sz w:val="20"/>
        </w:rPr>
        <w:t>QUALITY  protocol=asd-quality-v1.6.0 phase=CAL_SUMMARY result=OBSERVED</w:t>
      </w:r>
    </w:p>
    <w:p>
      <w:pPr>
        <w:keepNext/>
        <w:spacing w:before="0" w:after="0"/>
        <w:ind w:left="283"/>
      </w:pPr>
      <w:r>
        <w:rPr>
          <w:rFonts w:ascii="Courier New" w:hAnsi="Courier New"/>
          <w:sz w:val="20"/>
        </w:rPr>
        <w:t xml:space="preserve">         loo_mean=290.661407 loo_sd=123.838638 loo_cv=0.426058</w:t>
      </w:r>
    </w:p>
    <w:p>
      <w:pPr>
        <w:keepNext/>
        <w:spacing w:before="0" w:after="0"/>
        <w:ind w:left="283"/>
      </w:pPr>
      <w:r>
        <w:rPr>
          <w:rFonts w:ascii="Courier New" w:hAnsi="Courier New"/>
          <w:sz w:val="20"/>
        </w:rPr>
        <w:t>ADAPTTHR n=44 mean=1041.676880 sd=1637.902954 p=0.9900 thr=8084.49365</w:t>
      </w:r>
    </w:p>
    <w:p>
      <w:pPr>
        <w:keepNext/>
        <w:spacing w:before="0" w:after="0"/>
        <w:ind w:left="283"/>
      </w:pPr>
      <w:r>
        <w:rPr>
          <w:rFonts w:ascii="Courier New" w:hAnsi="Courier New"/>
          <w:sz w:val="20"/>
        </w:rPr>
        <w:t>PROFILE  center_windows=10 derive_windows=44 verify_windows=22</w:t>
      </w:r>
    </w:p>
    <w:p>
      <w:pPr>
        <w:keepNext/>
        <w:spacing w:before="0" w:after="0"/>
        <w:ind w:left="283"/>
      </w:pPr>
      <w:r>
        <w:rPr>
          <w:rFonts w:ascii="Courier New" w:hAnsi="Courier New"/>
          <w:sz w:val="20"/>
        </w:rPr>
        <w:t xml:space="preserve">         threshold_enter=8084.49365 threshold_exit=3707.34448</w:t>
      </w:r>
    </w:p>
    <w:p>
      <w:pPr>
        <w:keepNext/>
        <w:spacing w:before="0" w:after="0"/>
        <w:ind w:left="283"/>
      </w:pPr>
      <w:r>
        <w:rPr>
          <w:rFonts w:ascii="Courier New" w:hAnsi="Courier New"/>
          <w:sz w:val="20"/>
        </w:rPr>
        <w:t>EVENT    type=ANOMALY_ENTERED state=ANOMALY phase=DET</w:t>
      </w:r>
    </w:p>
    <w:p>
      <w:pPr>
        <w:keepNext/>
        <w:spacing w:before="0" w:after="0"/>
        <w:ind w:left="283"/>
      </w:pPr>
      <w:r>
        <w:rPr>
          <w:rFonts w:ascii="Courier New" w:hAnsi="Courier New"/>
          <w:sz w:val="20"/>
        </w:rPr>
        <w:t xml:space="preserve">         reason=THRESHOLD_PERSISTENCE event=UNKNOWN_CHANGE</w:t>
      </w:r>
    </w:p>
    <w:p>
      <w:pPr>
        <w:spacing w:before="120"/>
        <w:jc w:val="center"/>
      </w:pPr>
      <w:r>
        <w:rPr>
          <w:rFonts w:ascii="Times New Roman" w:hAnsi="Times New Roman"/>
          <w:b w:val="0"/>
          <w:sz w:val="22"/>
        </w:rPr>
        <w:t>Листинг C.1. Извод из телеметрије стварног мјерења</w:t>
      </w:r>
    </w:p>
    <w:sectPr w:rsidR="00FC693F" w:rsidRPr="0006063C" w:rsidSect="00034616">
      <w:footerReference w:type="default" r:id="rId10"/>
      <w:pgSz w:w="11906" w:h="16838"/>
      <w:pgMar w:top="1417" w:right="1417" w:bottom="1417" w:left="1701"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jc w:val="right"/>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76" w:lineRule="auto"/>
      <w:ind w:firstLine="567"/>
      <w:jc w:val="both"/>
    </w:pPr>
    <w:rPr>
      <w:rFonts w:ascii="Times New Roman" w:hAnsi="Times New Roman"/>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otpisslike">
    <w:name w:val="Potpis slike"/>
    <w:basedOn w:val="Normal"/>
    <w:qFormat/>
    <w:pPr>
      <w:ind w:firstLine="0"/>
      <w:jc w:val="center"/>
    </w:pPr>
    <w:rPr>
      <w:rFonts w:ascii="Times New Roman" w:hAnsi="Times New Roman"/>
      <w:sz w:val="22"/>
    </w:rPr>
  </w:style>
  <w:style w:type="paragraph" w:customStyle="1" w:styleId="Potpistabele">
    <w:name w:val="Potpis tabele"/>
    <w:basedOn w:val="Normal"/>
    <w:qFormat/>
    <w:pPr>
      <w:ind w:firstLine="0"/>
      <w:jc w:val="center"/>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Ненадгледана детекција аномалија звука машина на микроконтролеру ESP32-S3 са самокалибрацијом на лицу мјеста</dc:title>
  <dc:subject/>
  <dc:creator>Mihajlo Živković</dc:creator>
  <cp:keywords/>
  <dc:description/>
  <cp:lastModifiedBy>Mihajlo Živković</cp:lastModifiedBy>
  <cp:revision>1</cp:revision>
  <dcterms:created xsi:type="dcterms:W3CDTF">2026-09-25T12:35:26Z</dcterms:created>
  <dcterms:modified xsi:type="dcterms:W3CDTF">2026-09-25T12:35:26Z</dcterms:modified>
  <cp:category/>
</cp:coreProperties>
</file>