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REQUEST FOR INFORMATION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RFI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raised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Response required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Justification for 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Raised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Subject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container, grid, level, room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open / answered / closed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QUESTION</w:t>
      </w:r>
    </w:p>
    <w:p>
      <w:pPr>
        <w:pStyle w:val="t4statement"/>
      </w:pPr>
      <w:r>
        <w:t>One question, stated as a question.</w:t>
      </w:r>
    </w:p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CONTEXT</w:t>
      </w:r>
    </w:p>
    <w:p>
      <w:pPr>
        <w:pStyle w:val="t2body"/>
      </w:pPr>
      <w:r>
        <w:t>What the documentation currently says, and why it is insufficient.</w:t>
      </w:r>
    </w:p>
    <w:p>
      <w:pPr>
        <w:pStyle w:val="t2body"/>
      </w:pPr>
      <w:r>
        <w:t>Proposed answer, where the raiser has one.</w:t>
      </w:r>
    </w:p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Cost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Programme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RESPONSE</w:t>
      </w:r>
    </w:p>
    <w:p>
      <w:pPr>
        <w:pStyle w:val="t2bodytight"/>
        <w:spacing w:lineRule="exact" w:line="3402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response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Containers to be revised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Instruction to be issued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An RFI whose answer changes the documented design is not closed until the affected containers have been revised and issued, and this record cites that revision. Attachments are referenced, never embedded: an embedded drawing is an uncontrolled copy.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OM, Architecture, interiors and adaptive reuse, Budapest, Vienna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