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22111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515"/>
        <w:gridCol w:w="1247"/>
        <w:gridCol w:w="5102"/>
        <w:gridCol w:w="907"/>
        <w:gridCol w:w="794"/>
        <w:gridCol w:w="794"/>
        <w:gridCol w:w="1020"/>
        <w:gridCol w:w="1361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</w:tblGrid>
      <w:tr>
        <w:trPr>
          <w:cantSplit w:val="true"/>
          <w:trHeight w:val="567" w:hRule="atLeast"/>
          <w:tblHeader w:val="true"/>
        </w:trPr>
        <w:tc>
          <w:tcPr>
            <w:tcW w:type="dxa" w:w="3515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Sheet</w:t>
            </w:r>
          </w:p>
        </w:tc>
        <w:tc>
          <w:tcPr>
            <w:tcW w:type="dxa" w:w="510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Title</w:t>
            </w:r>
          </w:p>
        </w:tc>
        <w:tc>
          <w:tcPr>
            <w:tcW w:type="dxa" w:w="90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Type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Size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  <w:tc>
          <w:tcPr>
            <w:tcW w:type="dxa" w:w="1020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Status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Date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I01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I02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I03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I04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I05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I06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I07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I08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I09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I10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I11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I12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I13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283" w:before="0" w:after="0"/>
      </w:pPr>
    </w:p>
    <w:p>
      <w:pPr>
        <w:pStyle w:val="t1legal"/>
      </w:pPr>
      <w:r>
        <w:t>This log is regenerated at every issue and is never maintained by hand: a hand-maintained register is a duplicate of the set's own state and diverges at exactly the moment it matters, which is a rushed issue. Columns I01 onward are the issue matrix; each cell holds the revision issued at that date.</w:t>
      </w:r>
    </w:p>
    <w:sectPr w:rsidR="00FC693F" w:rsidRPr="0006063C" w:rsidSect="00034616">
      <w:footerReference w:type="default" r:id="rId9"/>
      <w:head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23811" w:h="16838" w:orient="landscape"/>
      <w:pgMar w:top="567" w:right="567" w:bottom="567" w:left="1134" w:header="283" w:footer="283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2211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17688"/>
      <w:gridCol w:w="4422"/>
    </w:tblGrid>
    <w:tr>
      <w:tc>
        <w:tcPr>
          <w:tcW w:type="dxa" w:w="17688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"PTS_DocumentTitle" \* MERGEFORMAT </w:instrText>
          </w:r>
          <w:r>
            <w:fldChar w:fldCharType="separate"/>
          </w:r>
          <w:r>
            <w:t>REVISION LOG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0000-XXX-ZZ-XX-SC-A-0000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</w:p>
      </w:tc>
      <w:tc>
        <w:tcPr>
          <w:tcW w:type="dxa" w:w="4422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Sheet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header" Target="head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OM, Architecture, interiors and adaptive reuse, Budapest, Vienna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