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TRANSMITTAL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Transmittal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Sender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Recipients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name · organisation · role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Medium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Acknowledgement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requested by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REASON FOR ISSUE</w:t>
      </w:r>
    </w:p>
    <w:p>
      <w:pPr>
        <w:pStyle w:val="t2body"/>
      </w:pPr>
      <w:r>
        <w:t>The reason determines how the recipient treats everything below it.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CONTAINERS ISSUED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680"/>
        <w:gridCol w:w="794"/>
        <w:gridCol w:w="567"/>
        <w:gridCol w:w="794"/>
      </w:tblGrid>
      <w:tr>
        <w:trPr>
          <w:trHeight w:val="567" w:hRule="atLeast"/>
          <w:tblHeader w:val="true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68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Format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SUPERSESSION INSTRUCTION</w:t>
      </w:r>
    </w:p>
    <w:p>
      <w:pPr>
        <w:pStyle w:val="t2body"/>
      </w:pPr>
      <w:r>
        <w:t>The container revisions listed below are superseded by this issue and shall be withdrawn from use.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2835"/>
      </w:tblGrid>
      <w:tr>
        <w:trPr>
          <w:trHeight w:val="567" w:hRule="atLeast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Superseded revision</w:t>
            </w:r>
          </w:p>
        </w:tc>
        <w:tc>
          <w:tcPr>
            <w:tcW w:type="dxa" w:w="283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Action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A transmittal is never revised. An error produces a new transmittal referencing this one.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OM, Architecture, interiors and adaptive reuse, Budapest, Vienna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