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SPECIFICATION</w:t>
      </w:r>
      <w:r>
        <w:fldChar w:fldCharType="end"/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inline"/>
              </w:rPr>
              <w:fldChar w:fldCharType="begin"/>
            </w:r>
            <w:r>
              <w:rPr>
                <w:rStyle w:val="monoinline"/>
              </w:rPr>
              <w:instrText xml:space="preserve"> DOCPROPERTY "PTS_ContainerID" \* MERGEFORMAT </w:instrText>
            </w:r>
            <w:r>
              <w:rPr>
                <w:rStyle w:val="monoinline"/>
              </w:rPr>
              <w:fldChar w:fldCharType="separate"/>
            </w:r>
            <w:r>
              <w:rPr>
                <w:rStyle w:val="monoinline"/>
              </w:rPr>
              <w:t>0000-XXX-ZZ-XX-RP-A-0000</w:t>
            </w:r>
            <w:r>
              <w:rPr>
                <w:rStyle w:val="mono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SECTION SCOPE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701"/>
        <w:gridCol w:w="6803"/>
      </w:tblGrid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00.1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State what this section covers and what it excludes.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00.2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State the interfaces with other sections and who owns each.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PRODUCTS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701"/>
        <w:gridCol w:w="6803"/>
      </w:tblGrid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00.3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PERFORMANCE  </w:t>
            </w:r>
            <w:r>
              <w:t>One requirement per clause. The contractor selects and is responsible for compliance.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00.4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PRESCRIPTION  </w:t>
            </w:r>
            <w:r>
              <w:t>One requirement per clause. The designer selects and is responsible for compliance.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EXECUTION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701"/>
        <w:gridCol w:w="6803"/>
      </w:tblGrid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00.5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Preparation.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00.6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Installation.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00.7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Tolerance, where it differs from the general tolerance.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00.8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Protection.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COMPLETION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701"/>
        <w:gridCol w:w="6803"/>
      </w:tblGrid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00.9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Testing and commissioning.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00.10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Records and warranties.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1legal"/>
      </w:pPr>
      <w:r>
        <w:t>Every standard cited carries its number, year and title on first use and appears in the references section. Undated citations are prohibited: a standard changes, and an undated citation changes the contractual requirement without a variation.</w:t>
      </w:r>
    </w:p>
    <w:sectPr w:rsidR="00FC693F" w:rsidRPr="0006063C" w:rsidSect="00034616">
      <w:headerReference w:type="default" r:id="rId9"/>
      <w:foot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</w:font>
  <w:font w:name="IBM Plex Mono">
    <w:altName w:val="Consolas"/>
    <w:charset w:val="00"/>
    <w:family w:val="modern"/>
    <w:pitch w:val="fixed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953"/>
      <w:gridCol w:w="2551"/>
    </w:tblGrid>
    <w:tr>
      <w:tc>
        <w:tcPr>
          <w:tcW w:type="dxa" w:w="5953"/>
          <w:tcBorders>
            <w:top w:val="single" w:sz="4" w:space="2" w:color="000000"/>
          </w:tcBorders>
        </w:tcPr>
        <w:p>
          <w:pPr>
            <w:pStyle w:val="t2bodyt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</w:p>
      </w:tc>
      <w:tc>
        <w:tcPr>
          <w:tcW w:type="dxa" w:w="2551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102"/>
      <w:gridCol w:w="3402"/>
    </w:tblGrid>
    <w:tr>
      <w:tc>
        <w:tcPr>
          <w:tcW w:type="dxa" w:w="5102"/>
          <w:tcBorders>
            <w:bottom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"PTS_ProjectCode" \* MERGEFORMAT </w:instrText>
          </w:r>
          <w:r>
            <w:fldChar w:fldCharType="separate"/>
          </w:r>
          <w:r>
            <w:t>0000</w:t>
          </w:r>
          <w:r>
            <w:fldChar w:fldCharType="end"/>
          </w:r>
        </w:p>
      </w:tc>
      <w:tc>
        <w:tcPr>
          <w:tcW w:type="dxa" w:w="3402"/>
          <w:tcBorders>
            <w:bottom w:val="single" w:sz="4" w:space="2" w:color="000000"/>
          </w:tcBorders>
        </w:tcPr>
        <w:p>
          <w:pPr>
            <w:pStyle w:val="t2bodytight"/>
            <w:jc w:val="r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</w:p>
      </w:tc>
    </w:tr>
  </w:tbl>
  <w:p>
    <w:pPr>
      <w:spacing w:lineRule="exact" w:line="20" w:before="0" w:after="0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Originator name, address, contact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</vt:lpwstr>
  </property>
</Properties>
</file>