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9063E" w14:textId="77777777" w:rsidR="00CD1A6A" w:rsidRDefault="00CD1A6A" w:rsidP="00F61C33">
      <w:pPr>
        <w:pStyle w:val="NoSpacing"/>
      </w:pPr>
      <w:bookmarkStart w:id="0" w:name="_GoBack"/>
      <w:bookmarkEnd w:id="0"/>
    </w:p>
    <w:p w14:paraId="02816327" w14:textId="77777777" w:rsidR="00CD1A6A" w:rsidRDefault="00880BDA" w:rsidP="00F61C33">
      <w:pPr>
        <w:pStyle w:val="NoSpacing"/>
      </w:pPr>
      <w:r>
        <w:rPr>
          <w:noProof/>
        </w:rPr>
        <w:drawing>
          <wp:inline distT="0" distB="0" distL="0" distR="0" wp14:anchorId="52C616F4" wp14:editId="00FAFE7B">
            <wp:extent cx="6109335" cy="3076755"/>
            <wp:effectExtent l="0" t="0" r="12065"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FF1113B" w14:textId="77777777" w:rsidR="009D4A20" w:rsidRDefault="009D4A20" w:rsidP="00F61C33">
      <w:pPr>
        <w:pStyle w:val="NoSpacing"/>
      </w:pPr>
    </w:p>
    <w:p w14:paraId="0E2F0AB5" w14:textId="23632199" w:rsidR="009D4A20" w:rsidRPr="009D4A20" w:rsidRDefault="009D4A20" w:rsidP="00F61C33">
      <w:pPr>
        <w:pStyle w:val="NoSpacing"/>
        <w:rPr>
          <w:rFonts w:asciiTheme="majorHAnsi" w:hAnsiTheme="majorHAnsi"/>
        </w:rPr>
      </w:pPr>
      <w:r w:rsidRPr="009D4A20">
        <w:rPr>
          <w:rFonts w:asciiTheme="majorHAnsi" w:hAnsiTheme="majorHAnsi"/>
        </w:rPr>
        <w:t xml:space="preserve">Above is the </w:t>
      </w:r>
      <w:r>
        <w:rPr>
          <w:rFonts w:asciiTheme="majorHAnsi" w:hAnsiTheme="majorHAnsi"/>
        </w:rPr>
        <w:t>plot</w:t>
      </w:r>
      <w:r w:rsidR="008B2A95">
        <w:rPr>
          <w:rFonts w:asciiTheme="majorHAnsi" w:hAnsiTheme="majorHAnsi"/>
        </w:rPr>
        <w:t xml:space="preserve"> (data below)</w:t>
      </w:r>
      <w:r>
        <w:rPr>
          <w:rFonts w:asciiTheme="majorHAnsi" w:hAnsiTheme="majorHAnsi"/>
        </w:rPr>
        <w:t xml:space="preserve"> of number of clusters as a function of pore probability, p. As p increases until 0.3, the number of unique labels and clusters increases. This is because the probability of an open pore occurring in succession is low and therefore the pores cannot be relabeled to the minimum of a nearest neighbor and are closed off by closed sites. After p = 0.3, the number of clusters continues to constantly decrease until to below 10 clusters/unique labels as the number of site are more likely to have open pores. As the probability increases, the number of sites that are neighbors increase and therefore once relabeled, show that the lattice is percolating and ultimately the number of cluster</w:t>
      </w:r>
      <w:r w:rsidR="00A66073">
        <w:rPr>
          <w:rFonts w:asciiTheme="majorHAnsi" w:hAnsiTheme="majorHAnsi"/>
        </w:rPr>
        <w:t>s drop significantly. The number of clusters grew as lattice size increased due to the sheer number of sites. P incremented by .5 in [.1,.95].</w:t>
      </w:r>
    </w:p>
    <w:p w14:paraId="092F6847" w14:textId="77777777" w:rsidR="00997AF8" w:rsidRDefault="00997AF8" w:rsidP="00F61C33">
      <w:pPr>
        <w:pStyle w:val="NoSpacing"/>
      </w:pPr>
    </w:p>
    <w:p w14:paraId="7AC02DBA" w14:textId="77777777" w:rsidR="00997AF8" w:rsidRDefault="00997AF8" w:rsidP="00F61C33">
      <w:pPr>
        <w:pStyle w:val="NoSpacing"/>
      </w:pPr>
      <w:r>
        <w:rPr>
          <w:noProof/>
        </w:rPr>
        <w:drawing>
          <wp:inline distT="0" distB="0" distL="0" distR="0" wp14:anchorId="767A5507" wp14:editId="066F937C">
            <wp:extent cx="6108700" cy="1831340"/>
            <wp:effectExtent l="0" t="0" r="12700" b="0"/>
            <wp:docPr id="3" name="Picture 3" descr="/Users/Minul/Desktop/Screen Shot 2020-04-08 at 9.51.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nul/Desktop/Screen Shot 2020-04-08 at 9.51.0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8700" cy="1831340"/>
                    </a:xfrm>
                    <a:prstGeom prst="rect">
                      <a:avLst/>
                    </a:prstGeom>
                    <a:noFill/>
                    <a:ln>
                      <a:noFill/>
                    </a:ln>
                  </pic:spPr>
                </pic:pic>
              </a:graphicData>
            </a:graphic>
          </wp:inline>
        </w:drawing>
      </w:r>
    </w:p>
    <w:p w14:paraId="39A732C7" w14:textId="77777777" w:rsidR="00880BDA" w:rsidRDefault="00E12EC0" w:rsidP="00F61C33">
      <w:pPr>
        <w:pStyle w:val="NoSpacing"/>
      </w:pPr>
      <w:r>
        <w:rPr>
          <w:noProof/>
        </w:rPr>
        <w:lastRenderedPageBreak/>
        <w:drawing>
          <wp:inline distT="0" distB="0" distL="0" distR="0" wp14:anchorId="4410AA35" wp14:editId="72572DD4">
            <wp:extent cx="5943600" cy="3431540"/>
            <wp:effectExtent l="0" t="0" r="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53E005" w14:textId="77777777" w:rsidR="00880BDA" w:rsidRDefault="00880BDA" w:rsidP="00F61C33">
      <w:pPr>
        <w:pStyle w:val="NoSpacing"/>
      </w:pPr>
    </w:p>
    <w:p w14:paraId="15860472" w14:textId="4A4F6014" w:rsidR="009D4A20" w:rsidRPr="009D4A20" w:rsidRDefault="009D4A20" w:rsidP="00F61C33">
      <w:pPr>
        <w:pStyle w:val="NoSpacing"/>
        <w:rPr>
          <w:rFonts w:asciiTheme="majorHAnsi" w:hAnsiTheme="majorHAnsi"/>
        </w:rPr>
      </w:pPr>
      <w:r>
        <w:rPr>
          <w:rFonts w:asciiTheme="majorHAnsi" w:hAnsiTheme="majorHAnsi"/>
        </w:rPr>
        <w:t>The graph above shows</w:t>
      </w:r>
      <w:r w:rsidR="00916E60">
        <w:rPr>
          <w:rFonts w:asciiTheme="majorHAnsi" w:hAnsiTheme="majorHAnsi"/>
        </w:rPr>
        <w:t xml:space="preserve"> percolation transition as a function of the lattice size.</w:t>
      </w:r>
      <w:r w:rsidR="003D6447">
        <w:rPr>
          <w:rFonts w:asciiTheme="majorHAnsi" w:hAnsiTheme="majorHAnsi"/>
        </w:rPr>
        <w:t xml:space="preserve"> </w:t>
      </w:r>
      <w:r w:rsidR="0055549E">
        <w:rPr>
          <w:rFonts w:asciiTheme="majorHAnsi" w:hAnsiTheme="majorHAnsi"/>
        </w:rPr>
        <w:t xml:space="preserve">With lower lattice sizes, a lower probability of open pores is required to obtain a percolating system. </w:t>
      </w:r>
      <w:r w:rsidR="00145F56">
        <w:rPr>
          <w:rFonts w:asciiTheme="majorHAnsi" w:hAnsiTheme="majorHAnsi"/>
        </w:rPr>
        <w:t xml:space="preserve">Based on the lattice sizes tested, there needed to be at least a probability of 0.5 to obtain a percolating system. </w:t>
      </w:r>
      <w:r w:rsidR="00F27100">
        <w:rPr>
          <w:rFonts w:asciiTheme="majorHAnsi" w:hAnsiTheme="majorHAnsi"/>
        </w:rPr>
        <w:t xml:space="preserve">As the number of pores approach a 2x2 lattice, the system is more likely to percolate with a </w:t>
      </w:r>
      <w:r w:rsidR="00145F56">
        <w:rPr>
          <w:rFonts w:asciiTheme="majorHAnsi" w:hAnsiTheme="majorHAnsi"/>
        </w:rPr>
        <w:t>lower</w:t>
      </w:r>
      <w:r w:rsidR="00F27100">
        <w:rPr>
          <w:rFonts w:asciiTheme="majorHAnsi" w:hAnsiTheme="majorHAnsi"/>
        </w:rPr>
        <w:t xml:space="preserve"> probability. However, even with large lattice sizes, it seems that a probability of 0.9 yields a percolating system. Although there is a general increase of percolation transition at higher probabilities with larger lattice sizes, there are both maximum and minimum probabilities for respective lattice sizes. </w:t>
      </w:r>
      <w:r w:rsidR="00145F56">
        <w:rPr>
          <w:rFonts w:asciiTheme="majorHAnsi" w:hAnsiTheme="majorHAnsi"/>
        </w:rPr>
        <w:t>Therefore, within bounds, there is a dependence of percolation transition on lattice size.</w:t>
      </w:r>
    </w:p>
    <w:sectPr w:rsidR="009D4A20" w:rsidRPr="009D4A20" w:rsidSect="00AB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33"/>
    <w:rsid w:val="000E7F9B"/>
    <w:rsid w:val="00145F56"/>
    <w:rsid w:val="003D6447"/>
    <w:rsid w:val="00423AD2"/>
    <w:rsid w:val="004A30DE"/>
    <w:rsid w:val="0055549E"/>
    <w:rsid w:val="005D31DC"/>
    <w:rsid w:val="00690087"/>
    <w:rsid w:val="006A130E"/>
    <w:rsid w:val="007D043B"/>
    <w:rsid w:val="008242DC"/>
    <w:rsid w:val="00880BDA"/>
    <w:rsid w:val="008B2A95"/>
    <w:rsid w:val="008F4A8A"/>
    <w:rsid w:val="00916E60"/>
    <w:rsid w:val="00997AF8"/>
    <w:rsid w:val="009D4A20"/>
    <w:rsid w:val="00A66073"/>
    <w:rsid w:val="00AB5330"/>
    <w:rsid w:val="00C0470A"/>
    <w:rsid w:val="00CD1A6A"/>
    <w:rsid w:val="00CF041D"/>
    <w:rsid w:val="00E12EC0"/>
    <w:rsid w:val="00F27100"/>
    <w:rsid w:val="00F52629"/>
    <w:rsid w:val="00F6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70A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1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73361">
      <w:bodyDiv w:val="1"/>
      <w:marLeft w:val="0"/>
      <w:marRight w:val="0"/>
      <w:marTop w:val="0"/>
      <w:marBottom w:val="0"/>
      <w:divBdr>
        <w:top w:val="none" w:sz="0" w:space="0" w:color="auto"/>
        <w:left w:val="none" w:sz="0" w:space="0" w:color="auto"/>
        <w:bottom w:val="none" w:sz="0" w:space="0" w:color="auto"/>
        <w:right w:val="none" w:sz="0" w:space="0" w:color="auto"/>
      </w:divBdr>
    </w:div>
    <w:div w:id="2012559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inul/Documents/Xcode/CME%20427/Assignment%203/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Minul/Documents/Xcode/CME%20427/Assignment%203/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clusters as a function of p</a:t>
            </a:r>
          </a:p>
        </c:rich>
      </c:tx>
      <c:layout>
        <c:manualLayout>
          <c:xMode val="edge"/>
          <c:yMode val="edge"/>
          <c:x val="0.271889657384969"/>
          <c:y val="0.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36320155958054"/>
          <c:y val="0.0974850279937918"/>
          <c:w val="0.894998064437455"/>
          <c:h val="0.791237705607084"/>
        </c:manualLayout>
      </c:layout>
      <c:scatterChart>
        <c:scatterStyle val="smoothMarker"/>
        <c:varyColors val="0"/>
        <c:ser>
          <c:idx val="0"/>
          <c:order val="0"/>
          <c:tx>
            <c:v>N = 8</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Sheet1!$A$3:$A$20</c:f>
              <c:numCache>
                <c:formatCode>General</c:formatCode>
                <c:ptCount val="18"/>
                <c:pt idx="0">
                  <c:v>0.1</c:v>
                </c:pt>
                <c:pt idx="1">
                  <c:v>0.15</c:v>
                </c:pt>
                <c:pt idx="2">
                  <c:v>0.2</c:v>
                </c:pt>
                <c:pt idx="3">
                  <c:v>0.25</c:v>
                </c:pt>
                <c:pt idx="4">
                  <c:v>0.3</c:v>
                </c:pt>
                <c:pt idx="5">
                  <c:v>0.35</c:v>
                </c:pt>
                <c:pt idx="6">
                  <c:v>0.4</c:v>
                </c:pt>
                <c:pt idx="7">
                  <c:v>0.45</c:v>
                </c:pt>
                <c:pt idx="8">
                  <c:v>0.5</c:v>
                </c:pt>
                <c:pt idx="9">
                  <c:v>0.55</c:v>
                </c:pt>
                <c:pt idx="10">
                  <c:v>0.6</c:v>
                </c:pt>
                <c:pt idx="11">
                  <c:v>0.65</c:v>
                </c:pt>
                <c:pt idx="12">
                  <c:v>0.7</c:v>
                </c:pt>
                <c:pt idx="13">
                  <c:v>0.75</c:v>
                </c:pt>
                <c:pt idx="14">
                  <c:v>0.8</c:v>
                </c:pt>
                <c:pt idx="15">
                  <c:v>0.85</c:v>
                </c:pt>
                <c:pt idx="16">
                  <c:v>0.9</c:v>
                </c:pt>
                <c:pt idx="17">
                  <c:v>0.95</c:v>
                </c:pt>
              </c:numCache>
            </c:numRef>
          </c:xVal>
          <c:yVal>
            <c:numRef>
              <c:f>Sheet1!$B$3:$B$20</c:f>
              <c:numCache>
                <c:formatCode>General</c:formatCode>
                <c:ptCount val="18"/>
                <c:pt idx="0">
                  <c:v>5.0</c:v>
                </c:pt>
                <c:pt idx="1">
                  <c:v>8.0</c:v>
                </c:pt>
                <c:pt idx="2">
                  <c:v>10.0</c:v>
                </c:pt>
                <c:pt idx="3">
                  <c:v>12.0</c:v>
                </c:pt>
                <c:pt idx="4">
                  <c:v>11.0</c:v>
                </c:pt>
                <c:pt idx="5">
                  <c:v>10.0</c:v>
                </c:pt>
                <c:pt idx="6">
                  <c:v>7.0</c:v>
                </c:pt>
                <c:pt idx="7">
                  <c:v>11.0</c:v>
                </c:pt>
                <c:pt idx="8">
                  <c:v>6.0</c:v>
                </c:pt>
                <c:pt idx="9">
                  <c:v>3.0</c:v>
                </c:pt>
                <c:pt idx="10">
                  <c:v>6.0</c:v>
                </c:pt>
                <c:pt idx="11">
                  <c:v>5.0</c:v>
                </c:pt>
                <c:pt idx="12">
                  <c:v>1.0</c:v>
                </c:pt>
                <c:pt idx="13">
                  <c:v>5.0</c:v>
                </c:pt>
                <c:pt idx="14">
                  <c:v>1.0</c:v>
                </c:pt>
                <c:pt idx="15">
                  <c:v>1.0</c:v>
                </c:pt>
                <c:pt idx="16">
                  <c:v>2.0</c:v>
                </c:pt>
                <c:pt idx="17">
                  <c:v>1.0</c:v>
                </c:pt>
              </c:numCache>
            </c:numRef>
          </c:yVal>
          <c:smooth val="1"/>
        </c:ser>
        <c:ser>
          <c:idx val="1"/>
          <c:order val="1"/>
          <c:tx>
            <c:v>N = 16</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Sheet1!$D$3:$D$20</c:f>
              <c:numCache>
                <c:formatCode>General</c:formatCode>
                <c:ptCount val="18"/>
                <c:pt idx="0">
                  <c:v>0.1</c:v>
                </c:pt>
                <c:pt idx="1">
                  <c:v>0.15</c:v>
                </c:pt>
                <c:pt idx="2">
                  <c:v>0.2</c:v>
                </c:pt>
                <c:pt idx="3">
                  <c:v>0.25</c:v>
                </c:pt>
                <c:pt idx="4">
                  <c:v>0.3</c:v>
                </c:pt>
                <c:pt idx="5">
                  <c:v>0.35</c:v>
                </c:pt>
                <c:pt idx="6">
                  <c:v>0.4</c:v>
                </c:pt>
                <c:pt idx="7">
                  <c:v>0.45</c:v>
                </c:pt>
                <c:pt idx="8">
                  <c:v>0.5</c:v>
                </c:pt>
                <c:pt idx="9">
                  <c:v>0.55</c:v>
                </c:pt>
                <c:pt idx="10">
                  <c:v>0.6</c:v>
                </c:pt>
                <c:pt idx="11">
                  <c:v>0.65</c:v>
                </c:pt>
                <c:pt idx="12">
                  <c:v>0.7</c:v>
                </c:pt>
                <c:pt idx="13">
                  <c:v>0.75</c:v>
                </c:pt>
                <c:pt idx="14">
                  <c:v>0.8</c:v>
                </c:pt>
                <c:pt idx="15">
                  <c:v>0.85</c:v>
                </c:pt>
                <c:pt idx="16">
                  <c:v>0.9</c:v>
                </c:pt>
                <c:pt idx="17">
                  <c:v>0.95</c:v>
                </c:pt>
              </c:numCache>
            </c:numRef>
          </c:xVal>
          <c:yVal>
            <c:numRef>
              <c:f>Sheet1!$E$3:$E$20</c:f>
              <c:numCache>
                <c:formatCode>General</c:formatCode>
                <c:ptCount val="18"/>
                <c:pt idx="0">
                  <c:v>26.0</c:v>
                </c:pt>
                <c:pt idx="1">
                  <c:v>27.0</c:v>
                </c:pt>
                <c:pt idx="2">
                  <c:v>28.0</c:v>
                </c:pt>
                <c:pt idx="3">
                  <c:v>38.0</c:v>
                </c:pt>
                <c:pt idx="4">
                  <c:v>44.0</c:v>
                </c:pt>
                <c:pt idx="5">
                  <c:v>42.0</c:v>
                </c:pt>
                <c:pt idx="6">
                  <c:v>36.0</c:v>
                </c:pt>
                <c:pt idx="7">
                  <c:v>31.0</c:v>
                </c:pt>
                <c:pt idx="8">
                  <c:v>30.0</c:v>
                </c:pt>
                <c:pt idx="9">
                  <c:v>23.0</c:v>
                </c:pt>
                <c:pt idx="10">
                  <c:v>15.0</c:v>
                </c:pt>
                <c:pt idx="11">
                  <c:v>14.0</c:v>
                </c:pt>
                <c:pt idx="12">
                  <c:v>9.0</c:v>
                </c:pt>
                <c:pt idx="13">
                  <c:v>10.0</c:v>
                </c:pt>
                <c:pt idx="14">
                  <c:v>10.0</c:v>
                </c:pt>
                <c:pt idx="15">
                  <c:v>8.0</c:v>
                </c:pt>
                <c:pt idx="16">
                  <c:v>4.0</c:v>
                </c:pt>
                <c:pt idx="17">
                  <c:v>1.0</c:v>
                </c:pt>
              </c:numCache>
            </c:numRef>
          </c:yVal>
          <c:smooth val="1"/>
        </c:ser>
        <c:ser>
          <c:idx val="2"/>
          <c:order val="2"/>
          <c:tx>
            <c:v>N = 40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Sheet1!$G$3:$G$20</c:f>
              <c:numCache>
                <c:formatCode>General</c:formatCode>
                <c:ptCount val="18"/>
                <c:pt idx="0">
                  <c:v>0.1</c:v>
                </c:pt>
                <c:pt idx="1">
                  <c:v>0.15</c:v>
                </c:pt>
                <c:pt idx="2">
                  <c:v>0.2</c:v>
                </c:pt>
                <c:pt idx="3">
                  <c:v>0.25</c:v>
                </c:pt>
                <c:pt idx="4">
                  <c:v>0.3</c:v>
                </c:pt>
                <c:pt idx="5">
                  <c:v>0.35</c:v>
                </c:pt>
                <c:pt idx="6">
                  <c:v>0.4</c:v>
                </c:pt>
                <c:pt idx="7">
                  <c:v>0.45</c:v>
                </c:pt>
                <c:pt idx="8">
                  <c:v>0.5</c:v>
                </c:pt>
                <c:pt idx="9">
                  <c:v>0.55</c:v>
                </c:pt>
                <c:pt idx="10">
                  <c:v>0.6</c:v>
                </c:pt>
                <c:pt idx="11">
                  <c:v>0.65</c:v>
                </c:pt>
                <c:pt idx="12">
                  <c:v>0.7</c:v>
                </c:pt>
                <c:pt idx="13">
                  <c:v>0.75</c:v>
                </c:pt>
                <c:pt idx="14">
                  <c:v>0.8</c:v>
                </c:pt>
                <c:pt idx="15">
                  <c:v>0.85</c:v>
                </c:pt>
                <c:pt idx="16">
                  <c:v>0.9</c:v>
                </c:pt>
                <c:pt idx="17">
                  <c:v>0.95</c:v>
                </c:pt>
              </c:numCache>
            </c:numRef>
          </c:xVal>
          <c:yVal>
            <c:numRef>
              <c:f>Sheet1!$H$3:$H$20</c:f>
              <c:numCache>
                <c:formatCode>General</c:formatCode>
                <c:ptCount val="18"/>
                <c:pt idx="0">
                  <c:v>122.0</c:v>
                </c:pt>
                <c:pt idx="1">
                  <c:v>167.0</c:v>
                </c:pt>
                <c:pt idx="2">
                  <c:v>198.0</c:v>
                </c:pt>
                <c:pt idx="3">
                  <c:v>227.0</c:v>
                </c:pt>
                <c:pt idx="4">
                  <c:v>223.0</c:v>
                </c:pt>
                <c:pt idx="5">
                  <c:v>233.0</c:v>
                </c:pt>
                <c:pt idx="6">
                  <c:v>188.0</c:v>
                </c:pt>
                <c:pt idx="7">
                  <c:v>152.0</c:v>
                </c:pt>
                <c:pt idx="8">
                  <c:v>135.0</c:v>
                </c:pt>
                <c:pt idx="9">
                  <c:v>110.0</c:v>
                </c:pt>
                <c:pt idx="10">
                  <c:v>82.0</c:v>
                </c:pt>
                <c:pt idx="11">
                  <c:v>50.0</c:v>
                </c:pt>
                <c:pt idx="12">
                  <c:v>43.0</c:v>
                </c:pt>
                <c:pt idx="13">
                  <c:v>19.0</c:v>
                </c:pt>
                <c:pt idx="14">
                  <c:v>12.0</c:v>
                </c:pt>
                <c:pt idx="15">
                  <c:v>10.0</c:v>
                </c:pt>
                <c:pt idx="16">
                  <c:v>2.0</c:v>
                </c:pt>
                <c:pt idx="17">
                  <c:v>1.0</c:v>
                </c:pt>
              </c:numCache>
            </c:numRef>
          </c:yVal>
          <c:smooth val="1"/>
        </c:ser>
        <c:ser>
          <c:idx val="3"/>
          <c:order val="3"/>
          <c:tx>
            <c:v>N = 64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Sheet1!$J$3:$J$20</c:f>
              <c:numCache>
                <c:formatCode>General</c:formatCode>
                <c:ptCount val="18"/>
                <c:pt idx="0">
                  <c:v>0.1</c:v>
                </c:pt>
                <c:pt idx="1">
                  <c:v>0.15</c:v>
                </c:pt>
                <c:pt idx="2">
                  <c:v>0.2</c:v>
                </c:pt>
                <c:pt idx="3">
                  <c:v>0.25</c:v>
                </c:pt>
                <c:pt idx="4">
                  <c:v>0.3</c:v>
                </c:pt>
                <c:pt idx="5">
                  <c:v>0.35</c:v>
                </c:pt>
                <c:pt idx="6">
                  <c:v>0.4</c:v>
                </c:pt>
                <c:pt idx="7">
                  <c:v>0.45</c:v>
                </c:pt>
                <c:pt idx="8">
                  <c:v>0.5</c:v>
                </c:pt>
                <c:pt idx="9">
                  <c:v>0.55</c:v>
                </c:pt>
                <c:pt idx="10">
                  <c:v>0.6</c:v>
                </c:pt>
                <c:pt idx="11">
                  <c:v>0.65</c:v>
                </c:pt>
                <c:pt idx="12">
                  <c:v>0.7</c:v>
                </c:pt>
                <c:pt idx="13">
                  <c:v>0.75</c:v>
                </c:pt>
                <c:pt idx="14">
                  <c:v>0.8</c:v>
                </c:pt>
                <c:pt idx="15">
                  <c:v>0.85</c:v>
                </c:pt>
                <c:pt idx="16">
                  <c:v>0.9</c:v>
                </c:pt>
                <c:pt idx="17">
                  <c:v>0.95</c:v>
                </c:pt>
              </c:numCache>
            </c:numRef>
          </c:xVal>
          <c:yVal>
            <c:numRef>
              <c:f>Sheet1!$K$3:$K$20</c:f>
              <c:numCache>
                <c:formatCode>General</c:formatCode>
                <c:ptCount val="18"/>
                <c:pt idx="0">
                  <c:v>319.0</c:v>
                </c:pt>
                <c:pt idx="1">
                  <c:v>442.0</c:v>
                </c:pt>
                <c:pt idx="2">
                  <c:v>514.0</c:v>
                </c:pt>
                <c:pt idx="3">
                  <c:v>540.0</c:v>
                </c:pt>
                <c:pt idx="4">
                  <c:v>540.0</c:v>
                </c:pt>
                <c:pt idx="5">
                  <c:v>527.0</c:v>
                </c:pt>
                <c:pt idx="6">
                  <c:v>478.0</c:v>
                </c:pt>
                <c:pt idx="7">
                  <c:v>394.0</c:v>
                </c:pt>
                <c:pt idx="8">
                  <c:v>366.0</c:v>
                </c:pt>
                <c:pt idx="9">
                  <c:v>291.0</c:v>
                </c:pt>
                <c:pt idx="10">
                  <c:v>196.0</c:v>
                </c:pt>
                <c:pt idx="11">
                  <c:v>142.0</c:v>
                </c:pt>
                <c:pt idx="12">
                  <c:v>97.0</c:v>
                </c:pt>
                <c:pt idx="13">
                  <c:v>60.0</c:v>
                </c:pt>
                <c:pt idx="14">
                  <c:v>32.0</c:v>
                </c:pt>
                <c:pt idx="15">
                  <c:v>15.0</c:v>
                </c:pt>
                <c:pt idx="16">
                  <c:v>5.0</c:v>
                </c:pt>
                <c:pt idx="17">
                  <c:v>2.0</c:v>
                </c:pt>
              </c:numCache>
            </c:numRef>
          </c:yVal>
          <c:smooth val="1"/>
        </c:ser>
        <c:ser>
          <c:idx val="4"/>
          <c:order val="4"/>
          <c:tx>
            <c:v>N = 96</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Sheet1!$M$3:$M$20</c:f>
              <c:numCache>
                <c:formatCode>General</c:formatCode>
                <c:ptCount val="18"/>
                <c:pt idx="0">
                  <c:v>0.1</c:v>
                </c:pt>
                <c:pt idx="1">
                  <c:v>0.15</c:v>
                </c:pt>
                <c:pt idx="2">
                  <c:v>0.2</c:v>
                </c:pt>
                <c:pt idx="3">
                  <c:v>0.25</c:v>
                </c:pt>
                <c:pt idx="4">
                  <c:v>0.3</c:v>
                </c:pt>
                <c:pt idx="5">
                  <c:v>0.35</c:v>
                </c:pt>
                <c:pt idx="6">
                  <c:v>0.4</c:v>
                </c:pt>
                <c:pt idx="7">
                  <c:v>0.45</c:v>
                </c:pt>
                <c:pt idx="8">
                  <c:v>0.5</c:v>
                </c:pt>
                <c:pt idx="9">
                  <c:v>0.55</c:v>
                </c:pt>
                <c:pt idx="10">
                  <c:v>0.6</c:v>
                </c:pt>
                <c:pt idx="11">
                  <c:v>0.65</c:v>
                </c:pt>
                <c:pt idx="12">
                  <c:v>0.7</c:v>
                </c:pt>
                <c:pt idx="13">
                  <c:v>0.75</c:v>
                </c:pt>
                <c:pt idx="14">
                  <c:v>0.8</c:v>
                </c:pt>
                <c:pt idx="15">
                  <c:v>0.85</c:v>
                </c:pt>
                <c:pt idx="16">
                  <c:v>0.9</c:v>
                </c:pt>
                <c:pt idx="17">
                  <c:v>0.95</c:v>
                </c:pt>
              </c:numCache>
            </c:numRef>
          </c:xVal>
          <c:yVal>
            <c:numRef>
              <c:f>Sheet1!$N$3:$N$20</c:f>
              <c:numCache>
                <c:formatCode>General</c:formatCode>
                <c:ptCount val="18"/>
                <c:pt idx="0">
                  <c:v>749.0</c:v>
                </c:pt>
                <c:pt idx="1">
                  <c:v>983.0</c:v>
                </c:pt>
                <c:pt idx="2">
                  <c:v>1089.0</c:v>
                </c:pt>
                <c:pt idx="3">
                  <c:v>1182.0</c:v>
                </c:pt>
                <c:pt idx="4">
                  <c:v>1209.0</c:v>
                </c:pt>
                <c:pt idx="5">
                  <c:v>1139.0</c:v>
                </c:pt>
                <c:pt idx="6">
                  <c:v>1048.0</c:v>
                </c:pt>
                <c:pt idx="7">
                  <c:v>910.0</c:v>
                </c:pt>
                <c:pt idx="8">
                  <c:v>828.0</c:v>
                </c:pt>
                <c:pt idx="9">
                  <c:v>649.0</c:v>
                </c:pt>
                <c:pt idx="10">
                  <c:v>499.0</c:v>
                </c:pt>
                <c:pt idx="11">
                  <c:v>333.0</c:v>
                </c:pt>
                <c:pt idx="12">
                  <c:v>204.0</c:v>
                </c:pt>
                <c:pt idx="13">
                  <c:v>132.0</c:v>
                </c:pt>
                <c:pt idx="14">
                  <c:v>56.0</c:v>
                </c:pt>
                <c:pt idx="15">
                  <c:v>27.0</c:v>
                </c:pt>
                <c:pt idx="16">
                  <c:v>12.0</c:v>
                </c:pt>
                <c:pt idx="17">
                  <c:v>5.0</c:v>
                </c:pt>
              </c:numCache>
            </c:numRef>
          </c:yVal>
          <c:smooth val="1"/>
        </c:ser>
        <c:ser>
          <c:idx val="5"/>
          <c:order val="5"/>
          <c:tx>
            <c:v>N = 128</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Sheet1!$P$3:$P$20</c:f>
              <c:numCache>
                <c:formatCode>General</c:formatCode>
                <c:ptCount val="18"/>
                <c:pt idx="0">
                  <c:v>0.1</c:v>
                </c:pt>
                <c:pt idx="1">
                  <c:v>0.15</c:v>
                </c:pt>
                <c:pt idx="2">
                  <c:v>0.2</c:v>
                </c:pt>
                <c:pt idx="3">
                  <c:v>0.25</c:v>
                </c:pt>
                <c:pt idx="4">
                  <c:v>0.3</c:v>
                </c:pt>
                <c:pt idx="5">
                  <c:v>0.35</c:v>
                </c:pt>
                <c:pt idx="6">
                  <c:v>0.4</c:v>
                </c:pt>
                <c:pt idx="7">
                  <c:v>0.45</c:v>
                </c:pt>
                <c:pt idx="8">
                  <c:v>0.5</c:v>
                </c:pt>
                <c:pt idx="9">
                  <c:v>0.55</c:v>
                </c:pt>
                <c:pt idx="10">
                  <c:v>0.6</c:v>
                </c:pt>
                <c:pt idx="11">
                  <c:v>0.65</c:v>
                </c:pt>
                <c:pt idx="12">
                  <c:v>0.7</c:v>
                </c:pt>
                <c:pt idx="13">
                  <c:v>0.75</c:v>
                </c:pt>
                <c:pt idx="14">
                  <c:v>0.8</c:v>
                </c:pt>
                <c:pt idx="15">
                  <c:v>0.85</c:v>
                </c:pt>
                <c:pt idx="16">
                  <c:v>0.9</c:v>
                </c:pt>
                <c:pt idx="17">
                  <c:v>0.95</c:v>
                </c:pt>
              </c:numCache>
            </c:numRef>
          </c:xVal>
          <c:yVal>
            <c:numRef>
              <c:f>Sheet1!$Q$3:$Q$20</c:f>
              <c:numCache>
                <c:formatCode>General</c:formatCode>
                <c:ptCount val="18"/>
                <c:pt idx="0">
                  <c:v>1302.0</c:v>
                </c:pt>
                <c:pt idx="1">
                  <c:v>1708.0</c:v>
                </c:pt>
                <c:pt idx="2">
                  <c:v>2027.0</c:v>
                </c:pt>
                <c:pt idx="3">
                  <c:v>2084.0</c:v>
                </c:pt>
                <c:pt idx="4">
                  <c:v>2211.0</c:v>
                </c:pt>
                <c:pt idx="5">
                  <c:v>2022.0</c:v>
                </c:pt>
                <c:pt idx="6">
                  <c:v>1833.0</c:v>
                </c:pt>
                <c:pt idx="7">
                  <c:v>1590.0</c:v>
                </c:pt>
                <c:pt idx="8">
                  <c:v>1380.0</c:v>
                </c:pt>
                <c:pt idx="9">
                  <c:v>1136.0</c:v>
                </c:pt>
                <c:pt idx="10">
                  <c:v>866.0</c:v>
                </c:pt>
                <c:pt idx="11">
                  <c:v>564.0</c:v>
                </c:pt>
                <c:pt idx="12">
                  <c:v>362.0</c:v>
                </c:pt>
                <c:pt idx="13">
                  <c:v>216.0</c:v>
                </c:pt>
                <c:pt idx="14">
                  <c:v>96.0</c:v>
                </c:pt>
                <c:pt idx="15">
                  <c:v>42.0</c:v>
                </c:pt>
                <c:pt idx="16">
                  <c:v>10.0</c:v>
                </c:pt>
                <c:pt idx="17">
                  <c:v>5.0</c:v>
                </c:pt>
              </c:numCache>
            </c:numRef>
          </c:yVal>
          <c:smooth val="1"/>
        </c:ser>
        <c:dLbls>
          <c:showLegendKey val="0"/>
          <c:showVal val="0"/>
          <c:showCatName val="0"/>
          <c:showSerName val="0"/>
          <c:showPercent val="0"/>
          <c:showBubbleSize val="0"/>
        </c:dLbls>
        <c:axId val="1496392384"/>
        <c:axId val="1496395776"/>
      </c:scatterChart>
      <c:valAx>
        <c:axId val="1496392384"/>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 </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395776"/>
        <c:crosses val="autoZero"/>
        <c:crossBetween val="midCat"/>
      </c:valAx>
      <c:valAx>
        <c:axId val="149639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Clusters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392384"/>
        <c:crosses val="autoZero"/>
        <c:crossBetween val="midCat"/>
      </c:valAx>
      <c:spPr>
        <a:noFill/>
        <a:ln>
          <a:noFill/>
        </a:ln>
        <a:effectLst/>
      </c:spPr>
    </c:plotArea>
    <c:legend>
      <c:legendPos val="r"/>
      <c:layout>
        <c:manualLayout>
          <c:xMode val="edge"/>
          <c:yMode val="edge"/>
          <c:x val="0.866874545265565"/>
          <c:y val="0.101319486766941"/>
          <c:w val="0.124810310778505"/>
          <c:h val="0.4674951853928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Percolation</a:t>
            </a:r>
            <a:r>
              <a:rPr lang="en-US" baseline="0"/>
              <a:t> Transition as a Function of Lattice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718318863988"/>
          <c:y val="0.142921739130435"/>
          <c:w val="0.843506124234471"/>
          <c:h val="0.693936323176994"/>
        </c:manualLayout>
      </c:layout>
      <c:scatterChart>
        <c:scatterStyle val="lineMarker"/>
        <c:varyColors val="0"/>
        <c:ser>
          <c:idx val="0"/>
          <c:order val="0"/>
          <c:tx>
            <c:v>N = 8</c:v>
          </c:tx>
          <c:spPr>
            <a:ln w="25400" cap="rnd">
              <a:noFill/>
              <a:round/>
            </a:ln>
            <a:effectLst/>
          </c:spPr>
          <c:marker>
            <c:symbol val="circle"/>
            <c:size val="5"/>
            <c:spPr>
              <a:solidFill>
                <a:schemeClr val="accent1"/>
              </a:solidFill>
              <a:ln w="9525">
                <a:solidFill>
                  <a:schemeClr val="accent1"/>
                </a:solidFill>
              </a:ln>
              <a:effectLst/>
            </c:spPr>
          </c:marker>
          <c:xVal>
            <c:numLit>
              <c:formatCode>General</c:formatCode>
              <c:ptCount val="1"/>
              <c:pt idx="0">
                <c:v>8.0</c:v>
              </c:pt>
            </c:numLit>
          </c:xVal>
          <c:yVal>
            <c:numRef>
              <c:f>Sheet1!$A$11</c:f>
              <c:numCache>
                <c:formatCode>General</c:formatCode>
                <c:ptCount val="1"/>
                <c:pt idx="0">
                  <c:v>0.5</c:v>
                </c:pt>
              </c:numCache>
            </c:numRef>
          </c:yVal>
          <c:smooth val="0"/>
        </c:ser>
        <c:ser>
          <c:idx val="1"/>
          <c:order val="1"/>
          <c:tx>
            <c:strRef>
              <c:f>Sheet1!$D$1</c:f>
              <c:strCache>
                <c:ptCount val="1"/>
                <c:pt idx="0">
                  <c:v>N = 16</c:v>
                </c:pt>
              </c:strCache>
            </c:strRef>
          </c:tx>
          <c:spPr>
            <a:ln w="25400" cap="rnd">
              <a:noFill/>
              <a:round/>
            </a:ln>
            <a:effectLst/>
          </c:spPr>
          <c:marker>
            <c:symbol val="circle"/>
            <c:size val="5"/>
            <c:spPr>
              <a:solidFill>
                <a:schemeClr val="accent2"/>
              </a:solidFill>
              <a:ln w="9525">
                <a:solidFill>
                  <a:schemeClr val="accent2"/>
                </a:solidFill>
              </a:ln>
              <a:effectLst/>
            </c:spPr>
          </c:marker>
          <c:xVal>
            <c:numLit>
              <c:formatCode>General</c:formatCode>
              <c:ptCount val="1"/>
              <c:pt idx="0">
                <c:v>16.0</c:v>
              </c:pt>
            </c:numLit>
          </c:xVal>
          <c:yVal>
            <c:numRef>
              <c:f>Sheet1!$D$13</c:f>
              <c:numCache>
                <c:formatCode>General</c:formatCode>
                <c:ptCount val="1"/>
                <c:pt idx="0">
                  <c:v>0.6</c:v>
                </c:pt>
              </c:numCache>
            </c:numRef>
          </c:yVal>
          <c:smooth val="0"/>
        </c:ser>
        <c:ser>
          <c:idx val="2"/>
          <c:order val="2"/>
          <c:tx>
            <c:strRef>
              <c:f>Sheet1!$G$1</c:f>
              <c:strCache>
                <c:ptCount val="1"/>
                <c:pt idx="0">
                  <c:v>N = 40</c:v>
                </c:pt>
              </c:strCache>
            </c:strRef>
          </c:tx>
          <c:spPr>
            <a:ln w="25400" cap="rnd">
              <a:noFill/>
              <a:round/>
            </a:ln>
            <a:effectLst/>
          </c:spPr>
          <c:marker>
            <c:symbol val="circle"/>
            <c:size val="5"/>
            <c:spPr>
              <a:solidFill>
                <a:schemeClr val="accent3"/>
              </a:solidFill>
              <a:ln w="9525">
                <a:solidFill>
                  <a:schemeClr val="accent3"/>
                </a:solidFill>
              </a:ln>
              <a:effectLst/>
            </c:spPr>
          </c:marker>
          <c:xVal>
            <c:numLit>
              <c:formatCode>General</c:formatCode>
              <c:ptCount val="1"/>
              <c:pt idx="0">
                <c:v>40.0</c:v>
              </c:pt>
            </c:numLit>
          </c:xVal>
          <c:yVal>
            <c:numRef>
              <c:f>Sheet1!$G$14</c:f>
              <c:numCache>
                <c:formatCode>General</c:formatCode>
                <c:ptCount val="1"/>
                <c:pt idx="0">
                  <c:v>0.65</c:v>
                </c:pt>
              </c:numCache>
            </c:numRef>
          </c:yVal>
          <c:smooth val="0"/>
        </c:ser>
        <c:ser>
          <c:idx val="3"/>
          <c:order val="3"/>
          <c:tx>
            <c:strRef>
              <c:f>Sheet1!$J$1</c:f>
              <c:strCache>
                <c:ptCount val="1"/>
                <c:pt idx="0">
                  <c:v>N = 64</c:v>
                </c:pt>
              </c:strCache>
            </c:strRef>
          </c:tx>
          <c:spPr>
            <a:ln w="25400" cap="rnd">
              <a:noFill/>
              <a:round/>
            </a:ln>
            <a:effectLst/>
          </c:spPr>
          <c:marker>
            <c:symbol val="circle"/>
            <c:size val="5"/>
            <c:spPr>
              <a:solidFill>
                <a:schemeClr val="accent4"/>
              </a:solidFill>
              <a:ln w="9525">
                <a:solidFill>
                  <a:schemeClr val="accent4"/>
                </a:solidFill>
              </a:ln>
              <a:effectLst/>
            </c:spPr>
          </c:marker>
          <c:xVal>
            <c:numLit>
              <c:formatCode>General</c:formatCode>
              <c:ptCount val="1"/>
              <c:pt idx="0">
                <c:v>64.0</c:v>
              </c:pt>
            </c:numLit>
          </c:xVal>
          <c:yVal>
            <c:numRef>
              <c:f>Sheet1!$J$19</c:f>
              <c:numCache>
                <c:formatCode>General</c:formatCode>
                <c:ptCount val="1"/>
                <c:pt idx="0">
                  <c:v>0.9</c:v>
                </c:pt>
              </c:numCache>
            </c:numRef>
          </c:yVal>
          <c:smooth val="0"/>
        </c:ser>
        <c:ser>
          <c:idx val="4"/>
          <c:order val="4"/>
          <c:tx>
            <c:strRef>
              <c:f>Sheet1!$M$1</c:f>
              <c:strCache>
                <c:ptCount val="1"/>
                <c:pt idx="0">
                  <c:v>N = 96</c:v>
                </c:pt>
              </c:strCache>
            </c:strRef>
          </c:tx>
          <c:spPr>
            <a:ln w="25400" cap="rnd">
              <a:noFill/>
              <a:round/>
            </a:ln>
            <a:effectLst/>
          </c:spPr>
          <c:marker>
            <c:symbol val="circle"/>
            <c:size val="5"/>
            <c:spPr>
              <a:solidFill>
                <a:schemeClr val="accent5"/>
              </a:solidFill>
              <a:ln w="9525">
                <a:solidFill>
                  <a:schemeClr val="accent5"/>
                </a:solidFill>
              </a:ln>
              <a:effectLst/>
            </c:spPr>
          </c:marker>
          <c:xVal>
            <c:numLit>
              <c:formatCode>General</c:formatCode>
              <c:ptCount val="1"/>
              <c:pt idx="0">
                <c:v>96.0</c:v>
              </c:pt>
            </c:numLit>
          </c:xVal>
          <c:yVal>
            <c:numRef>
              <c:f>Sheet1!$M$19</c:f>
              <c:numCache>
                <c:formatCode>General</c:formatCode>
                <c:ptCount val="1"/>
                <c:pt idx="0">
                  <c:v>0.9</c:v>
                </c:pt>
              </c:numCache>
            </c:numRef>
          </c:yVal>
          <c:smooth val="0"/>
        </c:ser>
        <c:ser>
          <c:idx val="5"/>
          <c:order val="5"/>
          <c:tx>
            <c:strRef>
              <c:f>Sheet1!$P$1</c:f>
              <c:strCache>
                <c:ptCount val="1"/>
                <c:pt idx="0">
                  <c:v>N = 128</c:v>
                </c:pt>
              </c:strCache>
            </c:strRef>
          </c:tx>
          <c:spPr>
            <a:ln w="25400" cap="rnd">
              <a:noFill/>
              <a:round/>
            </a:ln>
            <a:effectLst/>
          </c:spPr>
          <c:marker>
            <c:symbol val="circle"/>
            <c:size val="5"/>
            <c:spPr>
              <a:solidFill>
                <a:schemeClr val="accent6"/>
              </a:solidFill>
              <a:ln w="9525">
                <a:solidFill>
                  <a:schemeClr val="accent6"/>
                </a:solidFill>
              </a:ln>
              <a:effectLst/>
            </c:spPr>
          </c:marker>
          <c:xVal>
            <c:numLit>
              <c:formatCode>General</c:formatCode>
              <c:ptCount val="1"/>
              <c:pt idx="0">
                <c:v>128.0</c:v>
              </c:pt>
            </c:numLit>
          </c:xVal>
          <c:yVal>
            <c:numRef>
              <c:f>Sheet1!$P$19</c:f>
              <c:numCache>
                <c:formatCode>General</c:formatCode>
                <c:ptCount val="1"/>
                <c:pt idx="0">
                  <c:v>0.9</c:v>
                </c:pt>
              </c:numCache>
            </c:numRef>
          </c:yVal>
          <c:smooth val="0"/>
        </c:ser>
        <c:dLbls>
          <c:showLegendKey val="0"/>
          <c:showVal val="0"/>
          <c:showCatName val="0"/>
          <c:showSerName val="0"/>
          <c:showPercent val="0"/>
          <c:showBubbleSize val="0"/>
        </c:dLbls>
        <c:axId val="1484701424"/>
        <c:axId val="1496379568"/>
      </c:scatterChart>
      <c:valAx>
        <c:axId val="1484701424"/>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(Lattice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379568"/>
        <c:crosses val="autoZero"/>
        <c:crossBetween val="midCat"/>
      </c:valAx>
      <c:valAx>
        <c:axId val="149637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Pores (Percolation Transition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701424"/>
        <c:crosses val="autoZero"/>
        <c:crossBetween val="midCat"/>
      </c:valAx>
      <c:spPr>
        <a:noFill/>
        <a:ln>
          <a:noFill/>
        </a:ln>
        <a:effectLst/>
      </c:spPr>
    </c:plotArea>
    <c:legend>
      <c:legendPos val="r"/>
      <c:layout>
        <c:manualLayout>
          <c:xMode val="edge"/>
          <c:yMode val="edge"/>
          <c:x val="0.835384615384615"/>
          <c:y val="0.348416021910305"/>
          <c:w val="0.0981336227202369"/>
          <c:h val="0.419136597562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249</Words>
  <Characters>1420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Minul Haque</dc:creator>
  <cp:keywords/>
  <dc:description/>
  <cp:lastModifiedBy>Minul Haque</cp:lastModifiedBy>
  <cp:revision>6</cp:revision>
  <cp:lastPrinted>2020-04-09T01:59:00Z</cp:lastPrinted>
  <dcterms:created xsi:type="dcterms:W3CDTF">2020-04-08T17:45:00Z</dcterms:created>
  <dcterms:modified xsi:type="dcterms:W3CDTF">2020-04-19T05:15:00Z</dcterms:modified>
</cp:coreProperties>
</file>