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Лабораторная работа № 2</w:t>
      </w:r>
    </w:p>
    <w:p>
      <w:pPr>
        <w:jc w:val="center"/>
      </w:pPr>
      <w:r>
        <w:rPr>
          <w:b/>
          <w:color w:val="24527A"/>
          <w:sz w:val="24"/>
        </w:rPr>
        <w:t>Карточка набора данных, модель, лицензии и риски · вариант 7</w:t>
      </w:r>
    </w:p>
    <w:p>
      <w:pPr>
        <w:spacing w:after="100" w:line="259" w:lineRule="auto"/>
      </w:pPr>
      <w:r>
        <w:t>Дисциплина: Искусственный интеллект в креативных технологиях</w:t>
      </w:r>
    </w:p>
    <w:p>
      <w:pPr>
        <w:spacing w:after="100" w:line="259" w:lineRule="auto"/>
      </w:pPr>
      <w:r>
        <w:t>Студент: Скрыпник Михаил Дмитриевич   Группа: МИК11</w:t>
      </w:r>
    </w:p>
    <w:p>
      <w:pPr>
        <w:spacing w:after="100" w:line="259" w:lineRule="auto"/>
      </w:pPr>
      <w:r>
        <w:t>Сценарий: создание и публикация монетизируемых обложек подкастов</w:t>
      </w:r>
    </w:p>
    <w:p>
      <w:pPr>
        <w:pStyle w:val="Heading1"/>
      </w:pPr>
      <w:r>
        <w:t>Итог</w:t>
      </w:r>
    </w:p>
    <w:p>
      <w:pPr>
        <w:spacing w:after="100" w:line="259" w:lineRule="auto"/>
      </w:pPr>
      <w:r>
        <w:t>Исходный набор нельзя без изменений допускать в рабочий конвейер: для четырёх объектов указана лицензия с условием NonCommercial, несовместимая с монетизацией, а для одного объекта не указана дата получения. Четыре объекта с NC следует исключить или получить отдельное коммерческое разрешение; item09 держать в карантине до подтверждения даты и источника. Условие ShareAlike само по себе сценарию не противоречит: автор готов передавать производные на тех же условиях. После исключения NC-объектов и документальной проверки item09 остаётся до 8 пригодных объектов из 12.</w:t>
      </w:r>
    </w:p>
    <w:p>
      <w:pPr>
        <w:spacing w:after="100" w:line="259" w:lineRule="auto"/>
      </w:pPr>
      <w:r>
        <w:t>Это инженерное решение по учебной политике. Правомерность конкретного использования, достаточность разрешений и квалификация производной работы требуют проверки первичных документов и, при необходимости, юриста. Настоящий отчёт не является юридической консультацией.</w:t>
      </w:r>
    </w:p>
    <w:p>
      <w:pPr>
        <w:pStyle w:val="Heading1"/>
      </w:pPr>
      <w:r>
        <w:t>1. Сценарий и политика использования</w:t>
      </w:r>
    </w:p>
    <w:p>
      <w:pPr>
        <w:spacing w:after="100" w:line="259" w:lineRule="auto"/>
      </w:pPr>
      <w:r>
        <w:t>Подкастовые обложки создаются из синтетического учебного набора, публикуются в сети и используются в монетизируемом проекте. Создание производных разрешено; команда готова распространять производные на тех же условиях ShareAlike. Поэтому коммерческая цель исключает материалы с NonCommercial, а ShareAlike можно соблюдать при корректной атрибуции и распространении производной на соответствующих условиях.</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2835"/>
            <w:vAlign w:val="center"/>
            <w:shd w:fill="17365D"/>
          </w:tcPr>
          <w:p>
            <w:pPr>
              <w:spacing w:after="40"/>
            </w:pPr>
            <w:r/>
            <w:r>
              <w:rPr>
                <w:rFonts w:ascii="Arial" w:hAnsi="Arial"/>
                <w:b/>
                <w:color w:val="FFFFFF"/>
                <w:sz w:val="17"/>
              </w:rPr>
              <w:t>Параметр</w:t>
            </w:r>
          </w:p>
        </w:tc>
        <w:tc>
          <w:tcPr>
            <w:tcW w:type="dxa" w:w="6803"/>
            <w:vAlign w:val="center"/>
            <w:shd w:fill="17365D"/>
          </w:tcPr>
          <w:p>
            <w:pPr>
              <w:spacing w:after="40"/>
            </w:pPr>
            <w:r/>
            <w:r>
              <w:rPr>
                <w:rFonts w:ascii="Arial" w:hAnsi="Arial"/>
                <w:b/>
                <w:color w:val="FFFFFF"/>
                <w:sz w:val="17"/>
              </w:rPr>
              <w:t>Принятое значение</w:t>
            </w:r>
          </w:p>
        </w:tc>
      </w:tr>
      <w:tr>
        <w:tc>
          <w:tcPr>
            <w:tcW w:type="dxa" w:w="2835"/>
            <w:vAlign w:val="center"/>
          </w:tcPr>
          <w:p>
            <w:pPr>
              <w:spacing w:after="40"/>
            </w:pPr>
            <w:r/>
            <w:r>
              <w:rPr>
                <w:rFonts w:ascii="Arial" w:hAnsi="Arial"/>
                <w:b w:val="0"/>
                <w:sz w:val="17"/>
              </w:rPr>
              <w:t>Коммерческое использование</w:t>
            </w:r>
          </w:p>
        </w:tc>
        <w:tc>
          <w:tcPr>
            <w:tcW w:type="dxa" w:w="6803"/>
            <w:vAlign w:val="center"/>
          </w:tcPr>
          <w:p>
            <w:pPr>
              <w:spacing w:after="40"/>
            </w:pPr>
            <w:r/>
            <w:r>
              <w:rPr>
                <w:rFonts w:ascii="Arial" w:hAnsi="Arial"/>
                <w:b w:val="0"/>
                <w:sz w:val="17"/>
              </w:rPr>
              <w:t>Да: проект монетизируется</w:t>
            </w:r>
          </w:p>
        </w:tc>
      </w:tr>
      <w:tr>
        <w:tc>
          <w:tcPr>
            <w:tcW w:type="dxa" w:w="2835"/>
            <w:vAlign w:val="center"/>
          </w:tcPr>
          <w:p>
            <w:pPr>
              <w:spacing w:after="40"/>
            </w:pPr>
            <w:r/>
            <w:r>
              <w:rPr>
                <w:rFonts w:ascii="Arial" w:hAnsi="Arial"/>
                <w:b w:val="0"/>
                <w:sz w:val="17"/>
              </w:rPr>
              <w:t>Публикация / передача набора</w:t>
            </w:r>
          </w:p>
        </w:tc>
        <w:tc>
          <w:tcPr>
            <w:tcW w:type="dxa" w:w="6803"/>
            <w:vAlign w:val="center"/>
          </w:tcPr>
          <w:p>
            <w:pPr>
              <w:spacing w:after="40"/>
            </w:pPr>
            <w:r/>
            <w:r>
              <w:rPr>
                <w:rFonts w:ascii="Arial" w:hAnsi="Arial"/>
                <w:b w:val="0"/>
                <w:sz w:val="17"/>
              </w:rPr>
              <w:t>Да, обложки публикуются</w:t>
            </w:r>
          </w:p>
        </w:tc>
      </w:tr>
      <w:tr>
        <w:tc>
          <w:tcPr>
            <w:tcW w:type="dxa" w:w="2835"/>
            <w:vAlign w:val="center"/>
          </w:tcPr>
          <w:p>
            <w:pPr>
              <w:spacing w:after="40"/>
            </w:pPr>
            <w:r/>
            <w:r>
              <w:rPr>
                <w:rFonts w:ascii="Arial" w:hAnsi="Arial"/>
                <w:b w:val="0"/>
                <w:sz w:val="17"/>
              </w:rPr>
              <w:t>Создание производных</w:t>
            </w:r>
          </w:p>
        </w:tc>
        <w:tc>
          <w:tcPr>
            <w:tcW w:type="dxa" w:w="6803"/>
            <w:vAlign w:val="center"/>
          </w:tcPr>
          <w:p>
            <w:pPr>
              <w:spacing w:after="40"/>
            </w:pPr>
            <w:r/>
            <w:r>
              <w:rPr>
                <w:rFonts w:ascii="Arial" w:hAnsi="Arial"/>
                <w:b w:val="0"/>
                <w:sz w:val="17"/>
              </w:rPr>
              <w:t>Да</w:t>
            </w:r>
          </w:p>
        </w:tc>
      </w:tr>
      <w:tr>
        <w:tc>
          <w:tcPr>
            <w:tcW w:type="dxa" w:w="2835"/>
            <w:vAlign w:val="center"/>
          </w:tcPr>
          <w:p>
            <w:pPr>
              <w:spacing w:after="40"/>
            </w:pPr>
            <w:r/>
            <w:r>
              <w:rPr>
                <w:rFonts w:ascii="Arial" w:hAnsi="Arial"/>
                <w:b w:val="0"/>
                <w:sz w:val="17"/>
              </w:rPr>
              <w:t>Передача производных на тех же условиях</w:t>
            </w:r>
          </w:p>
        </w:tc>
        <w:tc>
          <w:tcPr>
            <w:tcW w:type="dxa" w:w="6803"/>
            <w:vAlign w:val="center"/>
          </w:tcPr>
          <w:p>
            <w:pPr>
              <w:spacing w:after="40"/>
            </w:pPr>
            <w:r/>
            <w:r>
              <w:rPr>
                <w:rFonts w:ascii="Arial" w:hAnsi="Arial"/>
                <w:b w:val="0"/>
                <w:sz w:val="17"/>
              </w:rPr>
              <w:t>Да</w:t>
            </w:r>
          </w:p>
        </w:tc>
      </w:tr>
      <w:tr>
        <w:tc>
          <w:tcPr>
            <w:tcW w:type="dxa" w:w="2835"/>
            <w:vAlign w:val="center"/>
          </w:tcPr>
          <w:p>
            <w:pPr>
              <w:spacing w:after="40"/>
            </w:pPr>
            <w:r/>
            <w:r>
              <w:rPr>
                <w:rFonts w:ascii="Arial" w:hAnsi="Arial"/>
                <w:b w:val="0"/>
                <w:sz w:val="17"/>
              </w:rPr>
              <w:t>Ожидание до аудита</w:t>
            </w:r>
          </w:p>
        </w:tc>
        <w:tc>
          <w:tcPr>
            <w:tcW w:type="dxa" w:w="6803"/>
            <w:vAlign w:val="center"/>
          </w:tcPr>
          <w:p>
            <w:pPr>
              <w:spacing w:after="40"/>
            </w:pPr>
            <w:r/>
            <w:r>
              <w:rPr>
                <w:rFonts w:ascii="Arial" w:hAnsi="Arial"/>
                <w:b w:val="0"/>
                <w:sz w:val="17"/>
              </w:rPr>
              <w:t>Не использовать материалы NC; SA допустимо при соблюдении условий; неизвестные права и происхождение — карантин до проверки</w:t>
            </w:r>
          </w:p>
        </w:tc>
      </w:tr>
    </w:tbl>
    <w:p>
      <w:pPr>
        <w:spacing w:after="0"/>
      </w:pPr>
    </w:p>
    <w:p>
      <w:pPr>
        <w:pStyle w:val="Heading1"/>
      </w:pPr>
      <w:r>
        <w:t>2. Аудит манифеста и решения</w:t>
      </w:r>
    </w:p>
    <w:p>
      <w:pPr>
        <w:spacing w:after="100" w:line="259" w:lineRule="auto"/>
      </w:pPr>
      <w:r>
        <w:t>Вариант 7 имеет тот же профиль дефектов NonCommercial, что и демонстрационный вариант методички. Ниже применены показанные в методичке записи профиля: item01, item04, item08 и item10 помечены NC; item09 имеет пробел по дате. Повторяющиеся правила для одного объекта объединяются в одно решение. В отличие от демонстрационного сценария, политика варианта 7 разрешает ShareAlike, поэтому R5 по item01/item04 не возникает.</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rPr>
          <w:tblHeader w:val="true"/>
        </w:trPr>
        <w:tc>
          <w:tcPr>
            <w:tcW w:type="dxa" w:w="1134"/>
            <w:vAlign w:val="center"/>
            <w:shd w:fill="17365D"/>
          </w:tcPr>
          <w:p>
            <w:pPr>
              <w:spacing w:after="40"/>
            </w:pPr>
            <w:r/>
            <w:r>
              <w:rPr>
                <w:rFonts w:ascii="Arial" w:hAnsi="Arial"/>
                <w:b/>
                <w:color w:val="FFFFFF"/>
                <w:sz w:val="15"/>
              </w:rPr>
              <w:t>Объект</w:t>
            </w:r>
          </w:p>
        </w:tc>
        <w:tc>
          <w:tcPr>
            <w:tcW w:type="dxa" w:w="1984"/>
            <w:vAlign w:val="center"/>
            <w:shd w:fill="17365D"/>
          </w:tcPr>
          <w:p>
            <w:pPr>
              <w:spacing w:after="40"/>
            </w:pPr>
            <w:r/>
            <w:r>
              <w:rPr>
                <w:rFonts w:ascii="Arial" w:hAnsi="Arial"/>
                <w:b/>
                <w:color w:val="FFFFFF"/>
                <w:sz w:val="15"/>
              </w:rPr>
              <w:t>Находка</w:t>
            </w:r>
          </w:p>
        </w:tc>
        <w:tc>
          <w:tcPr>
            <w:tcW w:type="dxa" w:w="2381"/>
            <w:vAlign w:val="center"/>
            <w:shd w:fill="17365D"/>
          </w:tcPr>
          <w:p>
            <w:pPr>
              <w:spacing w:after="40"/>
            </w:pPr>
            <w:r/>
            <w:r>
              <w:rPr>
                <w:rFonts w:ascii="Arial" w:hAnsi="Arial"/>
                <w:b/>
                <w:color w:val="FFFFFF"/>
                <w:sz w:val="15"/>
              </w:rPr>
              <w:t>Решение</w:t>
            </w:r>
          </w:p>
        </w:tc>
        <w:tc>
          <w:tcPr>
            <w:tcW w:type="dxa" w:w="4139"/>
            <w:vAlign w:val="center"/>
            <w:shd w:fill="17365D"/>
          </w:tcPr>
          <w:p>
            <w:pPr>
              <w:spacing w:after="40"/>
            </w:pPr>
            <w:r/>
            <w:r>
              <w:rPr>
                <w:rFonts w:ascii="Arial" w:hAnsi="Arial"/>
                <w:b/>
                <w:color w:val="FFFFFF"/>
                <w:sz w:val="15"/>
              </w:rPr>
              <w:t>Обоснование / следующий шаг</w:t>
            </w:r>
          </w:p>
        </w:tc>
      </w:tr>
      <w:tr>
        <w:tc>
          <w:tcPr>
            <w:tcW w:type="dxa" w:w="1134"/>
            <w:vAlign w:val="center"/>
          </w:tcPr>
          <w:p>
            <w:pPr>
              <w:spacing w:after="40"/>
            </w:pPr>
            <w:r/>
            <w:r>
              <w:rPr>
                <w:rFonts w:ascii="Arial" w:hAnsi="Arial"/>
                <w:b w:val="0"/>
                <w:sz w:val="15"/>
              </w:rPr>
              <w:t>item01</w:t>
            </w:r>
          </w:p>
        </w:tc>
        <w:tc>
          <w:tcPr>
            <w:tcW w:type="dxa" w:w="1984"/>
            <w:vAlign w:val="center"/>
          </w:tcPr>
          <w:p>
            <w:pPr>
              <w:spacing w:after="40"/>
            </w:pPr>
            <w:r/>
            <w:r>
              <w:rPr>
                <w:rFonts w:ascii="Arial" w:hAnsi="Arial"/>
                <w:b w:val="0"/>
                <w:sz w:val="15"/>
              </w:rPr>
              <w:t>R3 · ошибка · CC-BY-NC-SA-4.0</w:t>
            </w:r>
          </w:p>
        </w:tc>
        <w:tc>
          <w:tcPr>
            <w:tcW w:type="dxa" w:w="2381"/>
            <w:vAlign w:val="center"/>
          </w:tcPr>
          <w:p>
            <w:pPr>
              <w:spacing w:after="40"/>
            </w:pPr>
            <w:r/>
            <w:r>
              <w:rPr>
                <w:rFonts w:ascii="Arial" w:hAnsi="Arial"/>
                <w:b w:val="0"/>
                <w:sz w:val="15"/>
              </w:rPr>
              <w:t>Исключить либо запросить отдельное коммерческое разрешение</w:t>
            </w:r>
          </w:p>
        </w:tc>
        <w:tc>
          <w:tcPr>
            <w:tcW w:type="dxa" w:w="4139"/>
            <w:vAlign w:val="center"/>
          </w:tcPr>
          <w:p>
            <w:pPr>
              <w:spacing w:after="40"/>
            </w:pPr>
            <w:r/>
            <w:r>
              <w:rPr>
                <w:rFonts w:ascii="Arial" w:hAnsi="Arial"/>
                <w:b w:val="0"/>
                <w:sz w:val="15"/>
              </w:rPr>
              <w:t>NC конфликтует с монетизацией. SA можно соблюсти, но оно не отменяет NC.</w:t>
            </w:r>
          </w:p>
        </w:tc>
      </w:tr>
      <w:tr>
        <w:tc>
          <w:tcPr>
            <w:tcW w:type="dxa" w:w="1134"/>
            <w:vAlign w:val="center"/>
          </w:tcPr>
          <w:p>
            <w:pPr>
              <w:spacing w:after="40"/>
            </w:pPr>
            <w:r/>
            <w:r>
              <w:rPr>
                <w:rFonts w:ascii="Arial" w:hAnsi="Arial"/>
                <w:b w:val="0"/>
                <w:sz w:val="15"/>
              </w:rPr>
              <w:t>item04</w:t>
            </w:r>
          </w:p>
        </w:tc>
        <w:tc>
          <w:tcPr>
            <w:tcW w:type="dxa" w:w="1984"/>
            <w:vAlign w:val="center"/>
          </w:tcPr>
          <w:p>
            <w:pPr>
              <w:spacing w:after="40"/>
            </w:pPr>
            <w:r/>
            <w:r>
              <w:rPr>
                <w:rFonts w:ascii="Arial" w:hAnsi="Arial"/>
                <w:b w:val="0"/>
                <w:sz w:val="15"/>
              </w:rPr>
              <w:t>R3 · ошибка · CC-BY-NC-SA-4.0</w:t>
            </w:r>
          </w:p>
        </w:tc>
        <w:tc>
          <w:tcPr>
            <w:tcW w:type="dxa" w:w="2381"/>
            <w:vAlign w:val="center"/>
          </w:tcPr>
          <w:p>
            <w:pPr>
              <w:spacing w:after="40"/>
            </w:pPr>
            <w:r/>
            <w:r>
              <w:rPr>
                <w:rFonts w:ascii="Arial" w:hAnsi="Arial"/>
                <w:b w:val="0"/>
                <w:sz w:val="15"/>
              </w:rPr>
              <w:t>Исключить либо запросить отдельное коммерческое разрешение</w:t>
            </w:r>
          </w:p>
        </w:tc>
        <w:tc>
          <w:tcPr>
            <w:tcW w:type="dxa" w:w="4139"/>
            <w:vAlign w:val="center"/>
          </w:tcPr>
          <w:p>
            <w:pPr>
              <w:spacing w:after="40"/>
            </w:pPr>
            <w:r/>
            <w:r>
              <w:rPr>
                <w:rFonts w:ascii="Arial" w:hAnsi="Arial"/>
                <w:b w:val="0"/>
                <w:sz w:val="15"/>
              </w:rPr>
              <w:t>Та же причина; если разрешение получено, фиксировать атрибуцию и передачу производной на тех же условиях.</w:t>
            </w:r>
          </w:p>
        </w:tc>
      </w:tr>
      <w:tr>
        <w:tc>
          <w:tcPr>
            <w:tcW w:type="dxa" w:w="1134"/>
            <w:vAlign w:val="center"/>
          </w:tcPr>
          <w:p>
            <w:pPr>
              <w:spacing w:after="40"/>
            </w:pPr>
            <w:r/>
            <w:r>
              <w:rPr>
                <w:rFonts w:ascii="Arial" w:hAnsi="Arial"/>
                <w:b w:val="0"/>
                <w:sz w:val="15"/>
              </w:rPr>
              <w:t>item08</w:t>
            </w:r>
          </w:p>
        </w:tc>
        <w:tc>
          <w:tcPr>
            <w:tcW w:type="dxa" w:w="1984"/>
            <w:vAlign w:val="center"/>
          </w:tcPr>
          <w:p>
            <w:pPr>
              <w:spacing w:after="40"/>
            </w:pPr>
            <w:r/>
            <w:r>
              <w:rPr>
                <w:rFonts w:ascii="Arial" w:hAnsi="Arial"/>
                <w:b w:val="0"/>
                <w:sz w:val="15"/>
              </w:rPr>
              <w:t>R3 · ошибка · CC-BY-NC-4.0</w:t>
            </w:r>
          </w:p>
        </w:tc>
        <w:tc>
          <w:tcPr>
            <w:tcW w:type="dxa" w:w="2381"/>
            <w:vAlign w:val="center"/>
          </w:tcPr>
          <w:p>
            <w:pPr>
              <w:spacing w:after="40"/>
            </w:pPr>
            <w:r/>
            <w:r>
              <w:rPr>
                <w:rFonts w:ascii="Arial" w:hAnsi="Arial"/>
                <w:b w:val="0"/>
                <w:sz w:val="15"/>
              </w:rPr>
              <w:t>Исключить либо запросить отдельное коммерческое разрешение</w:t>
            </w:r>
          </w:p>
        </w:tc>
        <w:tc>
          <w:tcPr>
            <w:tcW w:type="dxa" w:w="4139"/>
            <w:vAlign w:val="center"/>
          </w:tcPr>
          <w:p>
            <w:pPr>
              <w:spacing w:after="40"/>
            </w:pPr>
            <w:r/>
            <w:r>
              <w:rPr>
                <w:rFonts w:ascii="Arial" w:hAnsi="Arial"/>
                <w:b w:val="0"/>
                <w:sz w:val="15"/>
              </w:rPr>
              <w:t>NC запрещает выбранный коммерческий сценарий по учебной модели.</w:t>
            </w:r>
          </w:p>
        </w:tc>
      </w:tr>
      <w:tr>
        <w:tc>
          <w:tcPr>
            <w:tcW w:type="dxa" w:w="1134"/>
            <w:vAlign w:val="center"/>
          </w:tcPr>
          <w:p>
            <w:pPr>
              <w:spacing w:after="40"/>
            </w:pPr>
            <w:r/>
            <w:r>
              <w:rPr>
                <w:rFonts w:ascii="Arial" w:hAnsi="Arial"/>
                <w:b w:val="0"/>
                <w:sz w:val="15"/>
              </w:rPr>
              <w:t>item09</w:t>
            </w:r>
          </w:p>
        </w:tc>
        <w:tc>
          <w:tcPr>
            <w:tcW w:type="dxa" w:w="1984"/>
            <w:vAlign w:val="center"/>
          </w:tcPr>
          <w:p>
            <w:pPr>
              <w:spacing w:after="40"/>
            </w:pPr>
            <w:r/>
            <w:r>
              <w:rPr>
                <w:rFonts w:ascii="Arial" w:hAnsi="Arial"/>
                <w:b w:val="0"/>
                <w:sz w:val="15"/>
              </w:rPr>
              <w:t>R8 · предупреждение · дата не указана</w:t>
            </w:r>
          </w:p>
        </w:tc>
        <w:tc>
          <w:tcPr>
            <w:tcW w:type="dxa" w:w="2381"/>
            <w:vAlign w:val="center"/>
          </w:tcPr>
          <w:p>
            <w:pPr>
              <w:spacing w:after="40"/>
            </w:pPr>
            <w:r/>
            <w:r>
              <w:rPr>
                <w:rFonts w:ascii="Arial" w:hAnsi="Arial"/>
                <w:b w:val="0"/>
                <w:sz w:val="15"/>
              </w:rPr>
              <w:t>Карантин; запросить дату и подтверждение источника</w:t>
            </w:r>
          </w:p>
        </w:tc>
        <w:tc>
          <w:tcPr>
            <w:tcW w:type="dxa" w:w="4139"/>
            <w:vAlign w:val="center"/>
          </w:tcPr>
          <w:p>
            <w:pPr>
              <w:spacing w:after="40"/>
            </w:pPr>
            <w:r/>
            <w:r>
              <w:rPr>
                <w:rFonts w:ascii="Arial" w:hAnsi="Arial"/>
                <w:b w:val="0"/>
                <w:sz w:val="15"/>
              </w:rPr>
              <w:t>Не восстанавливать дату догадкой. После подтверждения повторно проверить запись источника.</w:t>
            </w:r>
          </w:p>
        </w:tc>
      </w:tr>
      <w:tr>
        <w:tc>
          <w:tcPr>
            <w:tcW w:type="dxa" w:w="1134"/>
            <w:vAlign w:val="center"/>
          </w:tcPr>
          <w:p>
            <w:pPr>
              <w:spacing w:after="40"/>
            </w:pPr>
            <w:r/>
            <w:r>
              <w:rPr>
                <w:rFonts w:ascii="Arial" w:hAnsi="Arial"/>
                <w:b w:val="0"/>
                <w:sz w:val="15"/>
              </w:rPr>
              <w:t>item10</w:t>
            </w:r>
          </w:p>
        </w:tc>
        <w:tc>
          <w:tcPr>
            <w:tcW w:type="dxa" w:w="1984"/>
            <w:vAlign w:val="center"/>
          </w:tcPr>
          <w:p>
            <w:pPr>
              <w:spacing w:after="40"/>
            </w:pPr>
            <w:r/>
            <w:r>
              <w:rPr>
                <w:rFonts w:ascii="Arial" w:hAnsi="Arial"/>
                <w:b w:val="0"/>
                <w:sz w:val="15"/>
              </w:rPr>
              <w:t>R3 · ошибка · CC-BY-NC-4.0</w:t>
            </w:r>
          </w:p>
        </w:tc>
        <w:tc>
          <w:tcPr>
            <w:tcW w:type="dxa" w:w="2381"/>
            <w:vAlign w:val="center"/>
          </w:tcPr>
          <w:p>
            <w:pPr>
              <w:spacing w:after="40"/>
            </w:pPr>
            <w:r/>
            <w:r>
              <w:rPr>
                <w:rFonts w:ascii="Arial" w:hAnsi="Arial"/>
                <w:b w:val="0"/>
                <w:sz w:val="15"/>
              </w:rPr>
              <w:t>Исключить либо запросить отдельное коммерческое разрешение</w:t>
            </w:r>
          </w:p>
        </w:tc>
        <w:tc>
          <w:tcPr>
            <w:tcW w:type="dxa" w:w="4139"/>
            <w:vAlign w:val="center"/>
          </w:tcPr>
          <w:p>
            <w:pPr>
              <w:spacing w:after="40"/>
            </w:pPr>
            <w:r/>
            <w:r>
              <w:rPr>
                <w:rFonts w:ascii="Arial" w:hAnsi="Arial"/>
                <w:b w:val="0"/>
                <w:sz w:val="15"/>
              </w:rPr>
              <w:t>До получения разрешения не включать в публикацию или обучение/генерацию.</w:t>
            </w:r>
          </w:p>
        </w:tc>
      </w:tr>
    </w:tbl>
    <w:p>
      <w:pPr>
        <w:spacing w:after="0"/>
      </w:pPr>
    </w:p>
    <w:p>
      <w:pPr>
        <w:spacing w:after="100" w:line="259" w:lineRule="auto"/>
      </w:pPr>
      <w:r>
        <w:t>Итог по находкам: 4 ошибки R3 и 1 предупреждение R8. Дублирующих предупреждений R5 нет, поскольку для этого варианта разрешено передавать производные на тех же условиях. Оценка 8 из 12 — верхняя граница после исключения четырёх NC-объектов; пока item09 не верифицирован, практический список подтверждённо допущенных объектов может составлять 7.</w:t>
      </w:r>
    </w:p>
    <w:p>
      <w:pPr>
        <w:pStyle w:val="Heading1"/>
      </w:pPr>
      <w:r>
        <w:t>3. Паспорт набора данных</w:t>
      </w:r>
    </w:p>
    <w:p>
      <w:pPr>
        <w:pStyle w:val="Heading2"/>
      </w:pPr>
      <w:r>
        <w:t>3.1 Мотивация</w:t>
      </w:r>
    </w:p>
    <w:p>
      <w:pPr>
        <w:spacing w:after="100" w:line="259" w:lineRule="auto"/>
      </w:pPr>
      <w:r>
        <w:t>Учебный набор предназначен для отработки документирования происхождения, лицензий и рисков при подготовке изображений для монетизируемых обложек подкастов. Цель паспорта — зафиксировать состав, допустимое использование и обнаруженные ограничения.</w:t>
      </w:r>
    </w:p>
    <w:p>
      <w:pPr>
        <w:pStyle w:val="Heading2"/>
      </w:pPr>
      <w:r>
        <w:t>3.2 Состав</w:t>
      </w:r>
    </w:p>
    <w:p>
      <w:pPr>
        <w:spacing w:after="100" w:line="259" w:lineRule="auto"/>
      </w:pPr>
      <w:r>
        <w:t>12 синтетических объектов изображений (item01–item12). Условные правообладатели и учебные источники; реальные люди и реальные охраняемые материалы методичкой не предполагаются. В известной части профиля присутствуют CC-BY-NC-SA-4.0 и CC-BY-NC-4.0; для item09 дата получения отсутствует. Полный перечень форматов, размеров, хешей и распределения лицензий нужно хранить в манифесте генератора.</w:t>
      </w:r>
    </w:p>
    <w:p>
      <w:pPr>
        <w:pStyle w:val="Heading2"/>
      </w:pPr>
      <w:r>
        <w:t>3.3 Процесс сбора</w:t>
      </w:r>
    </w:p>
    <w:p>
      <w:pPr>
        <w:spacing w:after="100" w:line="259" w:lineRule="auto"/>
      </w:pPr>
      <w:r>
        <w:t>Набор формируется учебным скриптом lab02_make_variant.py из 12 синтетических записей по номеру варианта. Внешний сбор реальных материалов и персональных данных не производится. Для воспроизводимого архива следует сохранить исходный CSV-манифест, JSON-политику и версию генератора; отсутствующую дату item09 не подменять предположением.</w:t>
      </w:r>
    </w:p>
    <w:p>
      <w:pPr>
        <w:pStyle w:val="Heading2"/>
      </w:pPr>
      <w:r>
        <w:t>3.4 Предобработка, очистка и разметка</w:t>
      </w:r>
    </w:p>
    <w:p>
      <w:pPr>
        <w:spacing w:after="100" w:line="259" w:lineRule="auto"/>
      </w:pPr>
      <w:r>
        <w:t>В этой работе подтверждённый перечень операций предобработки отсутствует. Перед использованием фиксировать преобразования (кадрирование, масштабирование, цветокоррекция), назначение объекта и автора разметки. Проверить, не изменяет ли преобразование условия конкретной лицензии; пограничный вопрос передавать юристу.</w:t>
      </w:r>
    </w:p>
    <w:p>
      <w:pPr>
        <w:pStyle w:val="Heading2"/>
      </w:pPr>
      <w:r>
        <w:t>3.5 Использование</w:t>
      </w:r>
    </w:p>
    <w:p>
      <w:pPr>
        <w:spacing w:after="100" w:line="259" w:lineRule="auto"/>
      </w:pPr>
      <w:r>
        <w:t>Разрешённый целевой сценарий — подготовка производных изображений для опубликованных и монетизируемых обложек при условии подтверждённых прав. Все NC-объекты исключены до коммерческого разрешения. SA-материалы могут применяться при выполнении атрибуции и обязанности распространять производную на тех же условиях. Нельзя считать аудиторскую запись доказательством права.</w:t>
      </w:r>
    </w:p>
    <w:p>
      <w:pPr>
        <w:pStyle w:val="Heading2"/>
      </w:pPr>
      <w:r>
        <w:t>3.6 Распространение</w:t>
      </w:r>
    </w:p>
    <w:p>
      <w:pPr>
        <w:spacing w:after="100" w:line="259" w:lineRule="auto"/>
      </w:pPr>
      <w:r>
        <w:t>Публикуются только прошедшие проверку обложки и необходимые сведения об атрибуции. Перед передачей исходного набора третьим лицам отдельно проверить право на распространение каждого элемента и соблюсти применимые условия CC. Учебная политика варианта допускает передачу производных на тех же условиях.</w:t>
      </w:r>
    </w:p>
    <w:p>
      <w:pPr>
        <w:pStyle w:val="Heading2"/>
      </w:pPr>
      <w:r>
        <w:t>3.7 Сопровождение</w:t>
      </w:r>
    </w:p>
    <w:p>
      <w:pPr>
        <w:spacing w:after="100" w:line="259" w:lineRule="auto"/>
      </w:pPr>
      <w:r>
        <w:t>Куратор данных ведёт версию манифеста, журнал решений, первичные подтверждения лицензий и запрос по item09. При изменении сценария, состава, лицензий или условий монетизации аудит выполняется повторно. Неизвестные поля сохраняются как неизвестные до документального подтверждения.</w:t>
      </w:r>
    </w:p>
    <w:p>
      <w:pPr>
        <w:pStyle w:val="Heading1"/>
      </w:pPr>
      <w:r>
        <w:t>4. Карточка модели</w:t>
      </w:r>
    </w:p>
    <w:p>
      <w:pPr>
        <w:spacing w:after="100" w:line="259" w:lineRule="auto"/>
      </w:pPr>
      <w:r>
        <w:t>Объект карточки — учебный процедурный генератор бумажной текстуры из ЛР 1, а не обученная нейросетевая модель. Вариант ЛР 1: 96×96 пикселей, решётка cell=4, три октавы, persistence 0,60, сглаженная интерполяция, квантование 8 бит. Фактор эксперимента — увеличение размера до 144×144 при остальных неизменных параметрах.</w:t>
      </w:r>
    </w:p>
    <w:p>
      <w:pPr>
        <w:pStyle w:val="Heading2"/>
      </w:pPr>
      <w:r>
        <w:t>4.1 Сведения о модели</w:t>
      </w:r>
    </w:p>
    <w:p>
      <w:pPr>
        <w:spacing w:after="100" w:line="259" w:lineRule="auto"/>
      </w:pPr>
      <w:r>
        <w:t>Учебный процедурный генератор версии 1.0; код указан в ЛР 1 как src/lab01_generator.py. Используется локальный random.Random(seed). Код и веса не являются отдельной обученной моделью; веса отсутствуют.</w:t>
      </w:r>
    </w:p>
    <w:p>
      <w:pPr>
        <w:pStyle w:val="Heading2"/>
      </w:pPr>
      <w:r>
        <w:t>4.2 Назначение</w:t>
      </w:r>
    </w:p>
    <w:p>
      <w:pPr>
        <w:spacing w:after="100" w:line="259" w:lineRule="auto"/>
      </w:pPr>
      <w:r>
        <w:t>Создание синтетических фоновых текстур для учебных экспериментов и возможных иллюстративных макетов. Эта карточка сама по себе не разрешает использовать реальные входные изображения из аудируемого набора.</w:t>
      </w:r>
    </w:p>
    <w:p>
      <w:pPr>
        <w:pStyle w:val="Heading2"/>
      </w:pPr>
      <w:r>
        <w:t>4.3 Факторы</w:t>
      </w:r>
    </w:p>
    <w:p>
      <w:pPr>
        <w:spacing w:after="100" w:line="259" w:lineRule="auto"/>
      </w:pPr>
      <w:r>
        <w:t>Размер 96 или 144; cell=4; 3 октавы; persistence=0,60; сглаженная интерполяция; 8 бит; seed фиксируется для повтора. В ЛР 1 рассмотрен один фактор и одна текстура.</w:t>
      </w:r>
    </w:p>
    <w:p>
      <w:pPr>
        <w:pStyle w:val="Heading2"/>
      </w:pPr>
      <w:r>
        <w:t>4.4 Метрики</w:t>
      </w:r>
    </w:p>
    <w:p>
      <w:pPr>
        <w:spacing w:after="100" w:line="259" w:lineRule="auto"/>
      </w:pPr>
      <w:r>
        <w:t>В ЛР 1 измерялись средняя яркость, контраст, граничная энергия и энтропия. При 5 seed эффект размера не превысил учебный порог |Δ|/s_baseline &gt; 2 ни для одной метрики.</w:t>
      </w:r>
    </w:p>
    <w:p>
      <w:pPr>
        <w:pStyle w:val="Heading2"/>
      </w:pPr>
      <w:r>
        <w:t>4.5 Данные для оценки</w:t>
      </w:r>
    </w:p>
    <w:p>
      <w:pPr>
        <w:spacing w:after="100" w:line="259" w:lineRule="auto"/>
      </w:pPr>
      <w:r>
        <w:t>Тестировались синтетические пиксельные массивы генератора; внешние наборы не использовались. Разбиение на обучающую/тестовую выборки неприменимо.</w:t>
      </w:r>
    </w:p>
    <w:p>
      <w:pPr>
        <w:pStyle w:val="Heading2"/>
      </w:pPr>
      <w:r>
        <w:t>4.6 Данные для обучения</w:t>
      </w:r>
    </w:p>
    <w:p>
      <w:pPr>
        <w:spacing w:after="100" w:line="259" w:lineRule="auto"/>
      </w:pPr>
      <w:r>
        <w:t>Обучающих данных нет: генератор процедурный, параметры заданы вручную. Для создаваемых обложек следует отдельно указать входные референсы и их правовой статус.</w:t>
      </w:r>
    </w:p>
    <w:p>
      <w:pPr>
        <w:pStyle w:val="Heading2"/>
      </w:pPr>
      <w:r>
        <w:t>4.7 Количественные результаты</w:t>
      </w:r>
    </w:p>
    <w:p>
      <w:pPr>
        <w:spacing w:after="100" w:line="259" w:lineRule="auto"/>
      </w:pPr>
      <w:r>
        <w:t>Средняя яркость: база 0,503641 (s=0,007828), фактор 0,501223, |Δ|/s=0,309. Контраст: 0,139268 (s=0,002117) против 0,138971, отношение 0,140. Граничная энергия: 0,083476 (s=0,000643) против 0,083575, отношение 0,153. Энтропия: 7,174098 (s=0,018270) против 7,179723, отношение 0,308. По учебному порогу существенный эффект не обнаружен.</w:t>
      </w:r>
    </w:p>
    <w:p>
      <w:pPr>
        <w:pStyle w:val="Heading2"/>
      </w:pPr>
      <w:r>
        <w:t>4.8 Этические аспекты</w:t>
      </w:r>
    </w:p>
    <w:p>
      <w:pPr>
        <w:spacing w:after="100" w:line="259" w:lineRule="auto"/>
      </w:pPr>
      <w:r>
        <w:t>Результаты синтетические и не изображают конкретных лиц. При применении генератора как части визуального конвейера проверить стереотипность, разнообразие образов и маркировку синтетического контента. Генератор не гарантирует разнообразия или культурной уместности.</w:t>
      </w:r>
    </w:p>
    <w:p>
      <w:pPr>
        <w:pStyle w:val="Heading2"/>
      </w:pPr>
      <w:r>
        <w:t>4.9 Ограничения и рекомендации</w:t>
      </w:r>
    </w:p>
    <w:p>
      <w:pPr>
        <w:spacing w:after="100" w:line="259" w:lineRule="auto"/>
      </w:pPr>
      <w:r>
        <w:t>Пять seed, один тип текстуры и один изменяемый фактор не дают оснований для обобщения на иные генераторы или художественное качество. Лицензия исходного кода и ответственный за сопровождение в паспорте ЛР 1 не определены: до распространения кода назначить ответственного и выбрать/зафиксировать лицензию. Лицензия на входные данные, лицензия на код/веса и права на результат — разные вопросы.</w:t>
      </w:r>
    </w:p>
    <w:p>
      <w:pPr>
        <w:pStyle w:val="Heading1"/>
      </w:pPr>
      <w:r>
        <w:t>5. Реестр рисков генеративного ИИ</w:t>
      </w:r>
    </w:p>
    <w:p>
      <w:pPr>
        <w:spacing w:after="100" w:line="259" w:lineRule="auto"/>
      </w:pPr>
      <w:r>
        <w:t>Шкала: вероятность и влияние от 1 до 5; оценка равна произведению. Ответственные и признаки наступления заданы для наблюдаемого контроля.</w:t>
      </w:r>
    </w:p>
    <w:tbl>
      <w:tblPr>
        <w:tblStyle w:val="TableGrid"/>
        <w:tblW w:type="auto" w:w="0"/>
        <w:jc w:val="center"/>
        <w:tblLayout w:type="autofit"/>
        <w:tblLook w:firstColumn="1" w:firstRow="1" w:lastColumn="0" w:lastRow="0" w:noHBand="0" w:noVBand="1" w:val="04A0"/>
      </w:tblPr>
      <w:tblGrid>
        <w:gridCol w:w="1102"/>
        <w:gridCol w:w="1102"/>
        <w:gridCol w:w="1102"/>
        <w:gridCol w:w="1102"/>
        <w:gridCol w:w="1102"/>
        <w:gridCol w:w="1102"/>
        <w:gridCol w:w="1102"/>
        <w:gridCol w:w="1102"/>
        <w:gridCol w:w="1102"/>
      </w:tblGrid>
      <w:tr>
        <w:trPr>
          <w:tblHeader w:val="true"/>
        </w:trPr>
        <w:tc>
          <w:tcPr>
            <w:tcW w:type="dxa" w:w="567"/>
            <w:vAlign w:val="center"/>
            <w:shd w:fill="17365D"/>
          </w:tcPr>
          <w:p>
            <w:pPr>
              <w:spacing w:after="40"/>
            </w:pPr>
            <w:r/>
            <w:r>
              <w:rPr>
                <w:rFonts w:ascii="Arial" w:hAnsi="Arial"/>
                <w:b/>
                <w:color w:val="FFFFFF"/>
                <w:sz w:val="14"/>
              </w:rPr>
              <w:t>ID</w:t>
            </w:r>
          </w:p>
        </w:tc>
        <w:tc>
          <w:tcPr>
            <w:tcW w:type="dxa" w:w="1757"/>
            <w:vAlign w:val="center"/>
            <w:shd w:fill="17365D"/>
          </w:tcPr>
          <w:p>
            <w:pPr>
              <w:spacing w:after="40"/>
            </w:pPr>
            <w:r/>
            <w:r>
              <w:rPr>
                <w:rFonts w:ascii="Arial" w:hAnsi="Arial"/>
                <w:b/>
                <w:color w:val="FFFFFF"/>
                <w:sz w:val="14"/>
              </w:rPr>
              <w:t>Группа риска</w:t>
            </w:r>
          </w:p>
        </w:tc>
        <w:tc>
          <w:tcPr>
            <w:tcW w:type="dxa" w:w="397"/>
            <w:vAlign w:val="center"/>
            <w:shd w:fill="17365D"/>
          </w:tcPr>
          <w:p>
            <w:pPr>
              <w:spacing w:after="40"/>
            </w:pPr>
            <w:r/>
            <w:r>
              <w:rPr>
                <w:rFonts w:ascii="Arial" w:hAnsi="Arial"/>
                <w:b/>
                <w:color w:val="FFFFFF"/>
                <w:sz w:val="14"/>
              </w:rPr>
              <w:t>В</w:t>
            </w:r>
          </w:p>
        </w:tc>
        <w:tc>
          <w:tcPr>
            <w:tcW w:type="dxa" w:w="454"/>
            <w:vAlign w:val="center"/>
            <w:shd w:fill="17365D"/>
          </w:tcPr>
          <w:p>
            <w:pPr>
              <w:spacing w:after="40"/>
            </w:pPr>
            <w:r/>
            <w:r>
              <w:rPr>
                <w:rFonts w:ascii="Arial" w:hAnsi="Arial"/>
                <w:b/>
                <w:color w:val="FFFFFF"/>
                <w:sz w:val="14"/>
              </w:rPr>
              <w:t>Вл.</w:t>
            </w:r>
          </w:p>
        </w:tc>
        <w:tc>
          <w:tcPr>
            <w:tcW w:type="dxa" w:w="567"/>
            <w:vAlign w:val="center"/>
            <w:shd w:fill="17365D"/>
          </w:tcPr>
          <w:p>
            <w:pPr>
              <w:spacing w:after="40"/>
            </w:pPr>
            <w:r/>
            <w:r>
              <w:rPr>
                <w:rFonts w:ascii="Arial" w:hAnsi="Arial"/>
                <w:b/>
                <w:color w:val="FFFFFF"/>
                <w:sz w:val="14"/>
              </w:rPr>
              <w:t>Балл</w:t>
            </w:r>
          </w:p>
        </w:tc>
        <w:tc>
          <w:tcPr>
            <w:tcW w:type="dxa" w:w="2381"/>
            <w:vAlign w:val="center"/>
            <w:shd w:fill="17365D"/>
          </w:tcPr>
          <w:p>
            <w:pPr>
              <w:spacing w:after="40"/>
            </w:pPr>
            <w:r/>
            <w:r>
              <w:rPr>
                <w:rFonts w:ascii="Arial" w:hAnsi="Arial"/>
                <w:b/>
                <w:color w:val="FFFFFF"/>
                <w:sz w:val="14"/>
              </w:rPr>
              <w:t>Событие риска</w:t>
            </w:r>
          </w:p>
        </w:tc>
        <w:tc>
          <w:tcPr>
            <w:tcW w:type="dxa" w:w="2948"/>
            <w:vAlign w:val="center"/>
            <w:shd w:fill="17365D"/>
          </w:tcPr>
          <w:p>
            <w:pPr>
              <w:spacing w:after="40"/>
            </w:pPr>
            <w:r/>
            <w:r>
              <w:rPr>
                <w:rFonts w:ascii="Arial" w:hAnsi="Arial"/>
                <w:b/>
                <w:color w:val="FFFFFF"/>
                <w:sz w:val="14"/>
              </w:rPr>
              <w:t>Мера</w:t>
            </w:r>
          </w:p>
        </w:tc>
        <w:tc>
          <w:tcPr>
            <w:tcW w:type="dxa" w:w="1361"/>
            <w:vAlign w:val="center"/>
            <w:shd w:fill="17365D"/>
          </w:tcPr>
          <w:p>
            <w:pPr>
              <w:spacing w:after="40"/>
            </w:pPr>
            <w:r/>
            <w:r>
              <w:rPr>
                <w:rFonts w:ascii="Arial" w:hAnsi="Arial"/>
                <w:b/>
                <w:color w:val="FFFFFF"/>
                <w:sz w:val="14"/>
              </w:rPr>
              <w:t>Ответственный</w:t>
            </w:r>
          </w:p>
        </w:tc>
        <w:tc>
          <w:tcPr>
            <w:tcW w:type="dxa" w:w="2551"/>
            <w:vAlign w:val="center"/>
            <w:shd w:fill="17365D"/>
          </w:tcPr>
          <w:p>
            <w:pPr>
              <w:spacing w:after="40"/>
            </w:pPr>
            <w:r/>
            <w:r>
              <w:rPr>
                <w:rFonts w:ascii="Arial" w:hAnsi="Arial"/>
                <w:b/>
                <w:color w:val="FFFFFF"/>
                <w:sz w:val="14"/>
              </w:rPr>
              <w:t>Признак наступления</w:t>
            </w:r>
          </w:p>
        </w:tc>
      </w:tr>
      <w:tr>
        <w:tc>
          <w:tcPr>
            <w:tcW w:type="dxa" w:w="567"/>
            <w:vAlign w:val="center"/>
          </w:tcPr>
          <w:p>
            <w:pPr>
              <w:spacing w:after="40"/>
            </w:pPr>
            <w:r/>
            <w:r>
              <w:rPr>
                <w:rFonts w:ascii="Arial" w:hAnsi="Arial"/>
                <w:b w:val="0"/>
                <w:sz w:val="14"/>
              </w:rPr>
              <w:t>R01</w:t>
            </w:r>
          </w:p>
        </w:tc>
        <w:tc>
          <w:tcPr>
            <w:tcW w:type="dxa" w:w="1757"/>
            <w:vAlign w:val="center"/>
          </w:tcPr>
          <w:p>
            <w:pPr>
              <w:spacing w:after="40"/>
            </w:pPr>
            <w:r/>
            <w:r>
              <w:rPr>
                <w:rFonts w:ascii="Arial" w:hAnsi="Arial"/>
                <w:b w:val="0"/>
                <w:sz w:val="14"/>
              </w:rPr>
              <w:t>Intellectual Property</w:t>
            </w:r>
          </w:p>
        </w:tc>
        <w:tc>
          <w:tcPr>
            <w:tcW w:type="dxa" w:w="397"/>
            <w:vAlign w:val="center"/>
          </w:tcPr>
          <w:p>
            <w:pPr>
              <w:spacing w:after="40"/>
            </w:pPr>
            <w:r/>
            <w:r>
              <w:rPr>
                <w:rFonts w:ascii="Arial" w:hAnsi="Arial"/>
                <w:b w:val="0"/>
                <w:sz w:val="14"/>
              </w:rPr>
              <w:t>4</w:t>
            </w:r>
          </w:p>
        </w:tc>
        <w:tc>
          <w:tcPr>
            <w:tcW w:type="dxa" w:w="454"/>
            <w:vAlign w:val="center"/>
          </w:tcPr>
          <w:p>
            <w:pPr>
              <w:spacing w:after="40"/>
            </w:pPr>
            <w:r/>
            <w:r>
              <w:rPr>
                <w:rFonts w:ascii="Arial" w:hAnsi="Arial"/>
                <w:b w:val="0"/>
                <w:sz w:val="14"/>
              </w:rPr>
              <w:t>5</w:t>
            </w:r>
          </w:p>
        </w:tc>
        <w:tc>
          <w:tcPr>
            <w:tcW w:type="dxa" w:w="567"/>
            <w:vAlign w:val="center"/>
          </w:tcPr>
          <w:p>
            <w:pPr>
              <w:spacing w:after="40"/>
            </w:pPr>
            <w:r/>
            <w:r>
              <w:rPr>
                <w:rFonts w:ascii="Arial" w:hAnsi="Arial"/>
                <w:b w:val="0"/>
                <w:sz w:val="14"/>
              </w:rPr>
              <w:t>20</w:t>
            </w:r>
          </w:p>
        </w:tc>
        <w:tc>
          <w:tcPr>
            <w:tcW w:type="dxa" w:w="2381"/>
            <w:vAlign w:val="center"/>
          </w:tcPr>
          <w:p>
            <w:pPr>
              <w:spacing w:after="40"/>
            </w:pPr>
            <w:r/>
            <w:r>
              <w:rPr>
                <w:rFonts w:ascii="Arial" w:hAnsi="Arial"/>
                <w:b w:val="0"/>
                <w:sz w:val="14"/>
              </w:rPr>
              <w:t>NC-материал попадает в коммерческую обложку или выход генератора воспроизводит защищённый фрагмент.</w:t>
            </w:r>
          </w:p>
        </w:tc>
        <w:tc>
          <w:tcPr>
            <w:tcW w:type="dxa" w:w="2948"/>
            <w:vAlign w:val="center"/>
          </w:tcPr>
          <w:p>
            <w:pPr>
              <w:spacing w:after="40"/>
            </w:pPr>
            <w:r/>
            <w:r>
              <w:rPr>
                <w:rFonts w:ascii="Arial" w:hAnsi="Arial"/>
                <w:b w:val="0"/>
                <w:sz w:val="14"/>
              </w:rPr>
              <w:t>Автоматическая проверка лицензий на входе; исключать NC; хранить атрибуцию; ручное сравнение результата с референсами.</w:t>
            </w:r>
          </w:p>
        </w:tc>
        <w:tc>
          <w:tcPr>
            <w:tcW w:type="dxa" w:w="1361"/>
            <w:vAlign w:val="center"/>
          </w:tcPr>
          <w:p>
            <w:pPr>
              <w:spacing w:after="40"/>
            </w:pPr>
            <w:r/>
            <w:r>
              <w:rPr>
                <w:rFonts w:ascii="Arial" w:hAnsi="Arial"/>
                <w:b w:val="0"/>
                <w:sz w:val="14"/>
              </w:rPr>
              <w:t>Куратор данных</w:t>
            </w:r>
          </w:p>
        </w:tc>
        <w:tc>
          <w:tcPr>
            <w:tcW w:type="dxa" w:w="2551"/>
            <w:vAlign w:val="center"/>
          </w:tcPr>
          <w:p>
            <w:pPr>
              <w:spacing w:after="40"/>
            </w:pPr>
            <w:r/>
            <w:r>
              <w:rPr>
                <w:rFonts w:ascii="Arial" w:hAnsi="Arial"/>
                <w:b w:val="0"/>
                <w:sz w:val="14"/>
              </w:rPr>
              <w:t>Аудит находит NC в рабочем наборе либо правообладатель направил претензию.</w:t>
            </w:r>
          </w:p>
        </w:tc>
      </w:tr>
      <w:tr>
        <w:tc>
          <w:tcPr>
            <w:tcW w:type="dxa" w:w="567"/>
            <w:vAlign w:val="center"/>
          </w:tcPr>
          <w:p>
            <w:pPr>
              <w:spacing w:after="40"/>
            </w:pPr>
            <w:r/>
            <w:r>
              <w:rPr>
                <w:rFonts w:ascii="Arial" w:hAnsi="Arial"/>
                <w:b w:val="0"/>
                <w:sz w:val="14"/>
              </w:rPr>
              <w:t>R02</w:t>
            </w:r>
          </w:p>
        </w:tc>
        <w:tc>
          <w:tcPr>
            <w:tcW w:type="dxa" w:w="1757"/>
            <w:vAlign w:val="center"/>
          </w:tcPr>
          <w:p>
            <w:pPr>
              <w:spacing w:after="40"/>
            </w:pPr>
            <w:r/>
            <w:r>
              <w:rPr>
                <w:rFonts w:ascii="Arial" w:hAnsi="Arial"/>
                <w:b w:val="0"/>
                <w:sz w:val="14"/>
              </w:rPr>
              <w:t>Harmful Bias or Homogenization</w:t>
            </w:r>
          </w:p>
        </w:tc>
        <w:tc>
          <w:tcPr>
            <w:tcW w:type="dxa" w:w="397"/>
            <w:vAlign w:val="center"/>
          </w:tcPr>
          <w:p>
            <w:pPr>
              <w:spacing w:after="40"/>
            </w:pPr>
            <w:r/>
            <w:r>
              <w:rPr>
                <w:rFonts w:ascii="Arial" w:hAnsi="Arial"/>
                <w:b w:val="0"/>
                <w:sz w:val="14"/>
              </w:rPr>
              <w:t>3</w:t>
            </w:r>
          </w:p>
        </w:tc>
        <w:tc>
          <w:tcPr>
            <w:tcW w:type="dxa" w:w="454"/>
            <w:vAlign w:val="center"/>
          </w:tcPr>
          <w:p>
            <w:pPr>
              <w:spacing w:after="40"/>
            </w:pPr>
            <w:r/>
            <w:r>
              <w:rPr>
                <w:rFonts w:ascii="Arial" w:hAnsi="Arial"/>
                <w:b w:val="0"/>
                <w:sz w:val="14"/>
              </w:rPr>
              <w:t>4</w:t>
            </w:r>
          </w:p>
        </w:tc>
        <w:tc>
          <w:tcPr>
            <w:tcW w:type="dxa" w:w="567"/>
            <w:vAlign w:val="center"/>
          </w:tcPr>
          <w:p>
            <w:pPr>
              <w:spacing w:after="40"/>
            </w:pPr>
            <w:r/>
            <w:r>
              <w:rPr>
                <w:rFonts w:ascii="Arial" w:hAnsi="Arial"/>
                <w:b w:val="0"/>
                <w:sz w:val="14"/>
              </w:rPr>
              <w:t>12</w:t>
            </w:r>
          </w:p>
        </w:tc>
        <w:tc>
          <w:tcPr>
            <w:tcW w:type="dxa" w:w="2381"/>
            <w:vAlign w:val="center"/>
          </w:tcPr>
          <w:p>
            <w:pPr>
              <w:spacing w:after="40"/>
            </w:pPr>
            <w:r/>
            <w:r>
              <w:rPr>
                <w:rFonts w:ascii="Arial" w:hAnsi="Arial"/>
                <w:b w:val="0"/>
                <w:sz w:val="14"/>
              </w:rPr>
              <w:t>Серия обложек повторяет стереотипные образы или неоправданно сужает визуальное представление тем/групп.</w:t>
            </w:r>
          </w:p>
        </w:tc>
        <w:tc>
          <w:tcPr>
            <w:tcW w:type="dxa" w:w="2948"/>
            <w:vAlign w:val="center"/>
          </w:tcPr>
          <w:p>
            <w:pPr>
              <w:spacing w:after="40"/>
            </w:pPr>
            <w:r/>
            <w:r>
              <w:rPr>
                <w:rFonts w:ascii="Arial" w:hAnsi="Arial"/>
                <w:b w:val="0"/>
                <w:sz w:val="14"/>
              </w:rPr>
              <w:t>Проверять серию по чек-листу; включать разнообразные референсы; проводить редакторский просмотр.</w:t>
            </w:r>
          </w:p>
        </w:tc>
        <w:tc>
          <w:tcPr>
            <w:tcW w:type="dxa" w:w="1361"/>
            <w:vAlign w:val="center"/>
          </w:tcPr>
          <w:p>
            <w:pPr>
              <w:spacing w:after="40"/>
            </w:pPr>
            <w:r/>
            <w:r>
              <w:rPr>
                <w:rFonts w:ascii="Arial" w:hAnsi="Arial"/>
                <w:b w:val="0"/>
                <w:sz w:val="14"/>
              </w:rPr>
              <w:t>Арт-директор</w:t>
            </w:r>
          </w:p>
        </w:tc>
        <w:tc>
          <w:tcPr>
            <w:tcW w:type="dxa" w:w="2551"/>
            <w:vAlign w:val="center"/>
          </w:tcPr>
          <w:p>
            <w:pPr>
              <w:spacing w:after="40"/>
            </w:pPr>
            <w:r/>
            <w:r>
              <w:rPr>
                <w:rFonts w:ascii="Arial" w:hAnsi="Arial"/>
                <w:b w:val="0"/>
                <w:sz w:val="14"/>
              </w:rPr>
              <w:t>Чек-лист фиксирует повторяющийся стереотип или получена обоснованная жалоба.</w:t>
            </w:r>
          </w:p>
        </w:tc>
      </w:tr>
      <w:tr>
        <w:tc>
          <w:tcPr>
            <w:tcW w:type="dxa" w:w="567"/>
            <w:vAlign w:val="center"/>
          </w:tcPr>
          <w:p>
            <w:pPr>
              <w:spacing w:after="40"/>
            </w:pPr>
            <w:r/>
            <w:r>
              <w:rPr>
                <w:rFonts w:ascii="Arial" w:hAnsi="Arial"/>
                <w:b w:val="0"/>
                <w:sz w:val="14"/>
              </w:rPr>
              <w:t>R03</w:t>
            </w:r>
          </w:p>
        </w:tc>
        <w:tc>
          <w:tcPr>
            <w:tcW w:type="dxa" w:w="1757"/>
            <w:vAlign w:val="center"/>
          </w:tcPr>
          <w:p>
            <w:pPr>
              <w:spacing w:after="40"/>
            </w:pPr>
            <w:r/>
            <w:r>
              <w:rPr>
                <w:rFonts w:ascii="Arial" w:hAnsi="Arial"/>
                <w:b w:val="0"/>
                <w:sz w:val="14"/>
              </w:rPr>
              <w:t>Confabulation</w:t>
            </w:r>
          </w:p>
        </w:tc>
        <w:tc>
          <w:tcPr>
            <w:tcW w:type="dxa" w:w="397"/>
            <w:vAlign w:val="center"/>
          </w:tcPr>
          <w:p>
            <w:pPr>
              <w:spacing w:after="40"/>
            </w:pPr>
            <w:r/>
            <w:r>
              <w:rPr>
                <w:rFonts w:ascii="Arial" w:hAnsi="Arial"/>
                <w:b w:val="0"/>
                <w:sz w:val="14"/>
              </w:rPr>
              <w:t>3</w:t>
            </w:r>
          </w:p>
        </w:tc>
        <w:tc>
          <w:tcPr>
            <w:tcW w:type="dxa" w:w="454"/>
            <w:vAlign w:val="center"/>
          </w:tcPr>
          <w:p>
            <w:pPr>
              <w:spacing w:after="40"/>
            </w:pPr>
            <w:r/>
            <w:r>
              <w:rPr>
                <w:rFonts w:ascii="Arial" w:hAnsi="Arial"/>
                <w:b w:val="0"/>
                <w:sz w:val="14"/>
              </w:rPr>
              <w:t>3</w:t>
            </w:r>
          </w:p>
        </w:tc>
        <w:tc>
          <w:tcPr>
            <w:tcW w:type="dxa" w:w="567"/>
            <w:vAlign w:val="center"/>
          </w:tcPr>
          <w:p>
            <w:pPr>
              <w:spacing w:after="40"/>
            </w:pPr>
            <w:r/>
            <w:r>
              <w:rPr>
                <w:rFonts w:ascii="Arial" w:hAnsi="Arial"/>
                <w:b w:val="0"/>
                <w:sz w:val="14"/>
              </w:rPr>
              <w:t>9</w:t>
            </w:r>
          </w:p>
        </w:tc>
        <w:tc>
          <w:tcPr>
            <w:tcW w:type="dxa" w:w="2381"/>
            <w:vAlign w:val="center"/>
          </w:tcPr>
          <w:p>
            <w:pPr>
              <w:spacing w:after="40"/>
            </w:pPr>
            <w:r/>
            <w:r>
              <w:rPr>
                <w:rFonts w:ascii="Arial" w:hAnsi="Arial"/>
                <w:b w:val="0"/>
                <w:sz w:val="14"/>
              </w:rPr>
              <w:t>Сгенерированная типографика или текст содержит неверное название, дату, имя автора.</w:t>
            </w:r>
          </w:p>
        </w:tc>
        <w:tc>
          <w:tcPr>
            <w:tcW w:type="dxa" w:w="2948"/>
            <w:vAlign w:val="center"/>
          </w:tcPr>
          <w:p>
            <w:pPr>
              <w:spacing w:after="40"/>
            </w:pPr>
            <w:r/>
            <w:r>
              <w:rPr>
                <w:rFonts w:ascii="Arial" w:hAnsi="Arial"/>
                <w:b w:val="0"/>
                <w:sz w:val="14"/>
              </w:rPr>
              <w:t>Не использовать сгенерированный текст как источник фактов; вводить текст вручную и вычитывать вторым человеком.</w:t>
            </w:r>
          </w:p>
        </w:tc>
        <w:tc>
          <w:tcPr>
            <w:tcW w:type="dxa" w:w="1361"/>
            <w:vAlign w:val="center"/>
          </w:tcPr>
          <w:p>
            <w:pPr>
              <w:spacing w:after="40"/>
            </w:pPr>
            <w:r/>
            <w:r>
              <w:rPr>
                <w:rFonts w:ascii="Arial" w:hAnsi="Arial"/>
                <w:b w:val="0"/>
                <w:sz w:val="14"/>
              </w:rPr>
              <w:t>Редактор</w:t>
            </w:r>
          </w:p>
        </w:tc>
        <w:tc>
          <w:tcPr>
            <w:tcW w:type="dxa" w:w="2551"/>
            <w:vAlign w:val="center"/>
          </w:tcPr>
          <w:p>
            <w:pPr>
              <w:spacing w:after="40"/>
            </w:pPr>
            <w:r/>
            <w:r>
              <w:rPr>
                <w:rFonts w:ascii="Arial" w:hAnsi="Arial"/>
                <w:b w:val="0"/>
                <w:sz w:val="14"/>
              </w:rPr>
              <w:t>Фактическая ошибка найдена после публикации или в утверждённом макете.</w:t>
            </w:r>
          </w:p>
        </w:tc>
      </w:tr>
      <w:tr>
        <w:tc>
          <w:tcPr>
            <w:tcW w:type="dxa" w:w="567"/>
            <w:vAlign w:val="center"/>
          </w:tcPr>
          <w:p>
            <w:pPr>
              <w:spacing w:after="40"/>
            </w:pPr>
            <w:r/>
            <w:r>
              <w:rPr>
                <w:rFonts w:ascii="Arial" w:hAnsi="Arial"/>
                <w:b w:val="0"/>
                <w:sz w:val="14"/>
              </w:rPr>
              <w:t>R04</w:t>
            </w:r>
          </w:p>
        </w:tc>
        <w:tc>
          <w:tcPr>
            <w:tcW w:type="dxa" w:w="1757"/>
            <w:vAlign w:val="center"/>
          </w:tcPr>
          <w:p>
            <w:pPr>
              <w:spacing w:after="40"/>
            </w:pPr>
            <w:r/>
            <w:r>
              <w:rPr>
                <w:rFonts w:ascii="Arial" w:hAnsi="Arial"/>
                <w:b w:val="0"/>
                <w:sz w:val="14"/>
              </w:rPr>
              <w:t>Human-AI Configuration</w:t>
            </w:r>
          </w:p>
        </w:tc>
        <w:tc>
          <w:tcPr>
            <w:tcW w:type="dxa" w:w="397"/>
            <w:vAlign w:val="center"/>
          </w:tcPr>
          <w:p>
            <w:pPr>
              <w:spacing w:after="40"/>
            </w:pPr>
            <w:r/>
            <w:r>
              <w:rPr>
                <w:rFonts w:ascii="Arial" w:hAnsi="Arial"/>
                <w:b w:val="0"/>
                <w:sz w:val="14"/>
              </w:rPr>
              <w:t>3</w:t>
            </w:r>
          </w:p>
        </w:tc>
        <w:tc>
          <w:tcPr>
            <w:tcW w:type="dxa" w:w="454"/>
            <w:vAlign w:val="center"/>
          </w:tcPr>
          <w:p>
            <w:pPr>
              <w:spacing w:after="40"/>
            </w:pPr>
            <w:r/>
            <w:r>
              <w:rPr>
                <w:rFonts w:ascii="Arial" w:hAnsi="Arial"/>
                <w:b w:val="0"/>
                <w:sz w:val="14"/>
              </w:rPr>
              <w:t>3</w:t>
            </w:r>
          </w:p>
        </w:tc>
        <w:tc>
          <w:tcPr>
            <w:tcW w:type="dxa" w:w="567"/>
            <w:vAlign w:val="center"/>
          </w:tcPr>
          <w:p>
            <w:pPr>
              <w:spacing w:after="40"/>
            </w:pPr>
            <w:r/>
            <w:r>
              <w:rPr>
                <w:rFonts w:ascii="Arial" w:hAnsi="Arial"/>
                <w:b w:val="0"/>
                <w:sz w:val="14"/>
              </w:rPr>
              <w:t>9</w:t>
            </w:r>
          </w:p>
        </w:tc>
        <w:tc>
          <w:tcPr>
            <w:tcW w:type="dxa" w:w="2381"/>
            <w:vAlign w:val="center"/>
          </w:tcPr>
          <w:p>
            <w:pPr>
              <w:spacing w:after="40"/>
            </w:pPr>
            <w:r/>
            <w:r>
              <w:rPr>
                <w:rFonts w:ascii="Arial" w:hAnsi="Arial"/>
                <w:b w:val="0"/>
                <w:sz w:val="14"/>
              </w:rPr>
              <w:t>Редактор чрезмерно доверяет результату или принимает генератор за нейтрального эксперта.</w:t>
            </w:r>
          </w:p>
        </w:tc>
        <w:tc>
          <w:tcPr>
            <w:tcW w:type="dxa" w:w="2948"/>
            <w:vAlign w:val="center"/>
          </w:tcPr>
          <w:p>
            <w:pPr>
              <w:spacing w:after="40"/>
            </w:pPr>
            <w:r/>
            <w:r>
              <w:rPr>
                <w:rFonts w:ascii="Arial" w:hAnsi="Arial"/>
                <w:b w:val="0"/>
                <w:sz w:val="14"/>
              </w:rPr>
              <w:t>Обязательная человеческая проверка прав, фактов и визуального содержания; интерфейс маркирует результат как синтетический.</w:t>
            </w:r>
          </w:p>
        </w:tc>
        <w:tc>
          <w:tcPr>
            <w:tcW w:type="dxa" w:w="1361"/>
            <w:vAlign w:val="center"/>
          </w:tcPr>
          <w:p>
            <w:pPr>
              <w:spacing w:after="40"/>
            </w:pPr>
            <w:r/>
            <w:r>
              <w:rPr>
                <w:rFonts w:ascii="Arial" w:hAnsi="Arial"/>
                <w:b w:val="0"/>
                <w:sz w:val="14"/>
              </w:rPr>
              <w:t>Руководитель выпуска</w:t>
            </w:r>
          </w:p>
        </w:tc>
        <w:tc>
          <w:tcPr>
            <w:tcW w:type="dxa" w:w="2551"/>
            <w:vAlign w:val="center"/>
          </w:tcPr>
          <w:p>
            <w:pPr>
              <w:spacing w:after="40"/>
            </w:pPr>
            <w:r/>
            <w:r>
              <w:rPr>
                <w:rFonts w:ascii="Arial" w:hAnsi="Arial"/>
                <w:b w:val="0"/>
                <w:sz w:val="14"/>
              </w:rPr>
              <w:t>Макет опубликован без назначенного рецензента либо его проверки.</w:t>
            </w:r>
          </w:p>
        </w:tc>
      </w:tr>
      <w:tr>
        <w:tc>
          <w:tcPr>
            <w:tcW w:type="dxa" w:w="567"/>
            <w:vAlign w:val="center"/>
          </w:tcPr>
          <w:p>
            <w:pPr>
              <w:spacing w:after="40"/>
            </w:pPr>
            <w:r/>
            <w:r>
              <w:rPr>
                <w:rFonts w:ascii="Arial" w:hAnsi="Arial"/>
                <w:b w:val="0"/>
                <w:sz w:val="14"/>
              </w:rPr>
              <w:t>R05</w:t>
            </w:r>
          </w:p>
        </w:tc>
        <w:tc>
          <w:tcPr>
            <w:tcW w:type="dxa" w:w="1757"/>
            <w:vAlign w:val="center"/>
          </w:tcPr>
          <w:p>
            <w:pPr>
              <w:spacing w:after="40"/>
            </w:pPr>
            <w:r/>
            <w:r>
              <w:rPr>
                <w:rFonts w:ascii="Arial" w:hAnsi="Arial"/>
                <w:b w:val="0"/>
                <w:sz w:val="14"/>
              </w:rPr>
              <w:t>Data Privacy</w:t>
            </w:r>
          </w:p>
        </w:tc>
        <w:tc>
          <w:tcPr>
            <w:tcW w:type="dxa" w:w="397"/>
            <w:vAlign w:val="center"/>
          </w:tcPr>
          <w:p>
            <w:pPr>
              <w:spacing w:after="40"/>
            </w:pPr>
            <w:r/>
            <w:r>
              <w:rPr>
                <w:rFonts w:ascii="Arial" w:hAnsi="Arial"/>
                <w:b w:val="0"/>
                <w:sz w:val="14"/>
              </w:rPr>
              <w:t>2</w:t>
            </w:r>
          </w:p>
        </w:tc>
        <w:tc>
          <w:tcPr>
            <w:tcW w:type="dxa" w:w="454"/>
            <w:vAlign w:val="center"/>
          </w:tcPr>
          <w:p>
            <w:pPr>
              <w:spacing w:after="40"/>
            </w:pPr>
            <w:r/>
            <w:r>
              <w:rPr>
                <w:rFonts w:ascii="Arial" w:hAnsi="Arial"/>
                <w:b w:val="0"/>
                <w:sz w:val="14"/>
              </w:rPr>
              <w:t>4</w:t>
            </w:r>
          </w:p>
        </w:tc>
        <w:tc>
          <w:tcPr>
            <w:tcW w:type="dxa" w:w="567"/>
            <w:vAlign w:val="center"/>
          </w:tcPr>
          <w:p>
            <w:pPr>
              <w:spacing w:after="40"/>
            </w:pPr>
            <w:r/>
            <w:r>
              <w:rPr>
                <w:rFonts w:ascii="Arial" w:hAnsi="Arial"/>
                <w:b w:val="0"/>
                <w:sz w:val="14"/>
              </w:rPr>
              <w:t>8</w:t>
            </w:r>
          </w:p>
        </w:tc>
        <w:tc>
          <w:tcPr>
            <w:tcW w:type="dxa" w:w="2381"/>
            <w:vAlign w:val="center"/>
          </w:tcPr>
          <w:p>
            <w:pPr>
              <w:spacing w:after="40"/>
            </w:pPr>
            <w:r/>
            <w:r>
              <w:rPr>
                <w:rFonts w:ascii="Arial" w:hAnsi="Arial"/>
                <w:b w:val="0"/>
                <w:sz w:val="14"/>
              </w:rPr>
              <w:t>В запрос или внешний сервис попадают персональные/конфиденциальные изображения либо выход раскрывает их.</w:t>
            </w:r>
          </w:p>
        </w:tc>
        <w:tc>
          <w:tcPr>
            <w:tcW w:type="dxa" w:w="2948"/>
            <w:vAlign w:val="center"/>
          </w:tcPr>
          <w:p>
            <w:pPr>
              <w:spacing w:after="40"/>
            </w:pPr>
            <w:r/>
            <w:r>
              <w:rPr>
                <w:rFonts w:ascii="Arial" w:hAnsi="Arial"/>
                <w:b w:val="0"/>
                <w:sz w:val="14"/>
              </w:rPr>
              <w:t>Не передавать реальные персональные данные без основания; минимизировать вход; проверять метаданные и согласия.</w:t>
            </w:r>
          </w:p>
        </w:tc>
        <w:tc>
          <w:tcPr>
            <w:tcW w:type="dxa" w:w="1361"/>
            <w:vAlign w:val="center"/>
          </w:tcPr>
          <w:p>
            <w:pPr>
              <w:spacing w:after="40"/>
            </w:pPr>
            <w:r/>
            <w:r>
              <w:rPr>
                <w:rFonts w:ascii="Arial" w:hAnsi="Arial"/>
                <w:b w:val="0"/>
                <w:sz w:val="14"/>
              </w:rPr>
              <w:t>Ответственный за данные</w:t>
            </w:r>
          </w:p>
        </w:tc>
        <w:tc>
          <w:tcPr>
            <w:tcW w:type="dxa" w:w="2551"/>
            <w:vAlign w:val="center"/>
          </w:tcPr>
          <w:p>
            <w:pPr>
              <w:spacing w:after="40"/>
            </w:pPr>
            <w:r/>
            <w:r>
              <w:rPr>
                <w:rFonts w:ascii="Arial" w:hAnsi="Arial"/>
                <w:b w:val="0"/>
                <w:sz w:val="14"/>
              </w:rPr>
              <w:t>В журнале сервиса обнаружен персональный файл без подтверждённого основания/согласия.</w:t>
            </w:r>
          </w:p>
        </w:tc>
      </w:tr>
      <w:tr>
        <w:tc>
          <w:tcPr>
            <w:tcW w:type="dxa" w:w="567"/>
            <w:vAlign w:val="center"/>
          </w:tcPr>
          <w:p>
            <w:pPr>
              <w:spacing w:after="40"/>
            </w:pPr>
            <w:r/>
            <w:r>
              <w:rPr>
                <w:rFonts w:ascii="Arial" w:hAnsi="Arial"/>
                <w:b w:val="0"/>
                <w:sz w:val="14"/>
              </w:rPr>
              <w:t>R06</w:t>
            </w:r>
          </w:p>
        </w:tc>
        <w:tc>
          <w:tcPr>
            <w:tcW w:type="dxa" w:w="1757"/>
            <w:vAlign w:val="center"/>
          </w:tcPr>
          <w:p>
            <w:pPr>
              <w:spacing w:after="40"/>
            </w:pPr>
            <w:r/>
            <w:r>
              <w:rPr>
                <w:rFonts w:ascii="Arial" w:hAnsi="Arial"/>
                <w:b w:val="0"/>
                <w:sz w:val="14"/>
              </w:rPr>
              <w:t>Value Chain and Component Integration</w:t>
            </w:r>
          </w:p>
        </w:tc>
        <w:tc>
          <w:tcPr>
            <w:tcW w:type="dxa" w:w="397"/>
            <w:vAlign w:val="center"/>
          </w:tcPr>
          <w:p>
            <w:pPr>
              <w:spacing w:after="40"/>
            </w:pPr>
            <w:r/>
            <w:r>
              <w:rPr>
                <w:rFonts w:ascii="Arial" w:hAnsi="Arial"/>
                <w:b w:val="0"/>
                <w:sz w:val="14"/>
              </w:rPr>
              <w:t>3</w:t>
            </w:r>
          </w:p>
        </w:tc>
        <w:tc>
          <w:tcPr>
            <w:tcW w:type="dxa" w:w="454"/>
            <w:vAlign w:val="center"/>
          </w:tcPr>
          <w:p>
            <w:pPr>
              <w:spacing w:after="40"/>
            </w:pPr>
            <w:r/>
            <w:r>
              <w:rPr>
                <w:rFonts w:ascii="Arial" w:hAnsi="Arial"/>
                <w:b w:val="0"/>
                <w:sz w:val="14"/>
              </w:rPr>
              <w:t>3</w:t>
            </w:r>
          </w:p>
        </w:tc>
        <w:tc>
          <w:tcPr>
            <w:tcW w:type="dxa" w:w="567"/>
            <w:vAlign w:val="center"/>
          </w:tcPr>
          <w:p>
            <w:pPr>
              <w:spacing w:after="40"/>
            </w:pPr>
            <w:r/>
            <w:r>
              <w:rPr>
                <w:rFonts w:ascii="Arial" w:hAnsi="Arial"/>
                <w:b w:val="0"/>
                <w:sz w:val="14"/>
              </w:rPr>
              <w:t>9</w:t>
            </w:r>
          </w:p>
        </w:tc>
        <w:tc>
          <w:tcPr>
            <w:tcW w:type="dxa" w:w="2381"/>
            <w:vAlign w:val="center"/>
          </w:tcPr>
          <w:p>
            <w:pPr>
              <w:spacing w:after="40"/>
            </w:pPr>
            <w:r/>
            <w:r>
              <w:rPr>
                <w:rFonts w:ascii="Arial" w:hAnsi="Arial"/>
                <w:b w:val="0"/>
                <w:sz w:val="14"/>
              </w:rPr>
              <w:t>Неизвестны происхождение входа, условия стороннего сервиса или ответственное лицо за код и модель.</w:t>
            </w:r>
          </w:p>
        </w:tc>
        <w:tc>
          <w:tcPr>
            <w:tcW w:type="dxa" w:w="2948"/>
            <w:vAlign w:val="center"/>
          </w:tcPr>
          <w:p>
            <w:pPr>
              <w:spacing w:after="40"/>
            </w:pPr>
            <w:r/>
            <w:r>
              <w:rPr>
                <w:rFonts w:ascii="Arial" w:hAnsi="Arial"/>
                <w:b w:val="0"/>
                <w:sz w:val="14"/>
              </w:rPr>
              <w:t>Вести манифест и карточку компонентов; закрепить версии, условия сервиса и владельца; карантин для записей без источника/даты.</w:t>
            </w:r>
          </w:p>
        </w:tc>
        <w:tc>
          <w:tcPr>
            <w:tcW w:type="dxa" w:w="1361"/>
            <w:vAlign w:val="center"/>
          </w:tcPr>
          <w:p>
            <w:pPr>
              <w:spacing w:after="40"/>
            </w:pPr>
            <w:r/>
            <w:r>
              <w:rPr>
                <w:rFonts w:ascii="Arial" w:hAnsi="Arial"/>
                <w:b w:val="0"/>
                <w:sz w:val="14"/>
              </w:rPr>
              <w:t>Технический руководитель</w:t>
            </w:r>
          </w:p>
        </w:tc>
        <w:tc>
          <w:tcPr>
            <w:tcW w:type="dxa" w:w="2551"/>
            <w:vAlign w:val="center"/>
          </w:tcPr>
          <w:p>
            <w:pPr>
              <w:spacing w:after="40"/>
            </w:pPr>
            <w:r/>
            <w:r>
              <w:rPr>
                <w:rFonts w:ascii="Arial" w:hAnsi="Arial"/>
                <w:b w:val="0"/>
                <w:sz w:val="14"/>
              </w:rPr>
              <w:t>В выпуске обнаружена зависимость или материал без записи источника, версии либо ответственного.</w:t>
            </w:r>
          </w:p>
        </w:tc>
      </w:tr>
    </w:tbl>
    <w:p>
      <w:pPr>
        <w:spacing w:after="0"/>
      </w:pPr>
    </w:p>
    <w:p>
      <w:pPr>
        <w:spacing w:after="100" w:line="259" w:lineRule="auto"/>
      </w:pPr>
      <w:r>
        <w:t>Ранжирование: Intellectual Property (20); Harmful Bias or Homogenization (12); Confabulation, Human-AI Configuration и Value Chain and Component Integration (по 9); Data Privacy (8). В реестр включено 6 рисков и 6 различных групп NIST; обязательные для варианта Intellectual Property и Harmful Bias or Homogenization присутствуют.</w:t>
      </w:r>
    </w:p>
    <w:p>
      <w:pPr>
        <w:pStyle w:val="Heading1"/>
      </w:pPr>
      <w:r>
        <w:t>6. Вывод и пределы проверки</w:t>
      </w:r>
    </w:p>
    <w:p>
      <w:pPr>
        <w:spacing w:after="100" w:line="259" w:lineRule="auto"/>
      </w:pPr>
      <w:r>
        <w:t>Набор пригоден для сценария только после удаления или отдельного коммерческого разрешения для четырёх объектов с NonCommercial и подтверждения даты/источника item09. Условие ShareAlike по варианту можно принять с обязательством передавать производные на тех же условиях и выполнять атрибуцию; это не устраняет запрет NC. Карточка генератора описывает синтетический инструмент из ЛР 1 и фиксирует пробелы по лицензии кода и ответственному.</w:t>
      </w:r>
    </w:p>
    <w:p>
      <w:pPr>
        <w:spacing w:after="100" w:line="259" w:lineRule="auto"/>
      </w:pPr>
      <w:r>
        <w:t>Автоматический аудит проверяет только записанные поля. Он не подтверждает подлинность лицензии, наличие согласия, существование источника, соответствие конкретного изображения записи или юридическую квалификацию результата. До реального использования сверить лицензии по первоисточникам, запросить правообладателя по спорным пунктам и передать правовой вопрос юристу. Сценарий и набор в методичке учебные; приведённые решения являются разбором учебного кейса.</w:t>
      </w:r>
    </w:p>
    <w:p>
      <w:pPr>
        <w:pStyle w:val="Heading1"/>
      </w:pPr>
      <w:r>
        <w:t>Источники и исходные материалы</w:t>
      </w:r>
    </w:p>
    <w:p>
      <w:pPr>
        <w:spacing w:after="100" w:line="259" w:lineRule="auto"/>
      </w:pPr>
      <w:r>
        <w:t>Методические указания к лабораторной работе № 2 «Карточка модели, лицензии, происхождение данных и анализ рисков», вариант 7.</w:t>
      </w:r>
    </w:p>
    <w:p>
      <w:pPr>
        <w:spacing w:after="100" w:line="259" w:lineRule="auto"/>
      </w:pPr>
      <w:r>
        <w:t>Отчёт и паспорт воспроизводимого AI-эксперимента по лабораторной работе № 1, вариант 7 (30.09.2026): процедурный генератор текстуры и результаты измерений.</w:t>
      </w:r>
    </w:p>
    <w:p>
      <w:pPr>
        <w:spacing w:after="100" w:line="259" w:lineRule="auto"/>
      </w:pPr>
      <w:r>
        <w:t>NIST AI 600-1, Generative Artificial Intelligence Profile (26.07.2024); названия групп рисков приведены согласно перечню в методических указаниях.</w:t>
      </w:r>
    </w:p>
    <w:sectPr w:rsidR="00FC693F" w:rsidRPr="0006063C" w:rsidSect="00034616">
      <w:pgSz w:w="12240" w:h="15840"/>
      <w:pgMar w:top="1020"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2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 вариант 7</dc:title>
  <dc:subject>Карточка набора данных, карточка модели, аудит лицензий и рисков</dc:subject>
  <dc:creator>Скрыпник Михаил Дмитриевич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