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Лабораторная работа № 3</w:t>
        <w:br/>
        <w:t>Подготовка изображений и визуализация</w:t>
      </w:r>
    </w:p>
    <w:p>
      <w:pPr>
        <w:jc w:val="center"/>
      </w:pPr>
      <w:r>
        <w:rPr>
          <w:b/>
        </w:rPr>
        <w:t>Вариант 7</w:t>
      </w:r>
    </w:p>
    <w:p>
      <w:r>
        <w:t>Дисциплина: Искусственный интеллект в креативных технологиях</w:t>
        <w:br/>
        <w:t>Студент: Скрыпник Михаил Дмитриевич   Группа: МИК11</w:t>
      </w:r>
    </w:p>
    <w:p>
      <w:pPr>
        <w:pStyle w:val="Heading1"/>
      </w:pPr>
      <w:r>
        <w:t>Итог</w:t>
      </w:r>
    </w:p>
    <w:p>
      <w:r>
        <w:t>Квантование яркости сцены низкого контраста до 4 бит практически не изменило среднее значение (0.01%), но увеличило контраст на 15.94% и снизило энтропию гистограммы на 45.30%. Средний PSNR составил 34.39 дБ, что выше принятого порога 30 дБ. Контрольная сумма для seed 101 совпала при повторном построении сцены.</w:t>
      </w:r>
    </w:p>
    <w:p>
      <w:pPr>
        <w:pStyle w:val="Heading1"/>
      </w:pPr>
      <w:r>
        <w:t>1. Цель и постановка задачи</w:t>
      </w:r>
    </w:p>
    <w:p>
      <w:r>
        <w:t>Цель работы — оценить, как подготовительная операция изменяет данные изображения, сравнить метрики яркости и оценить потери по PSNR.</w:t>
      </w:r>
    </w:p>
    <w:p>
      <w:r>
        <w:t>Вариант 7: сцена 2 — низкий контраст, диапазон яркости 0,40–0,60; воздействие — квантование яркости до 4 бит (16 уровней).</w:t>
      </w:r>
    </w:p>
    <w:p>
      <w:r>
        <w:t>Гипотеза до запуска: энтропия и контраст изменятся заметнее средней яркости.</w:t>
      </w:r>
    </w:p>
    <w:p>
      <w:r>
        <w:t>Практический допуск, установленный до расчётов: относительное изменение метрики более 5% или PSNR ниже 30 дБ.</w:t>
      </w:r>
    </w:p>
    <w:p>
      <w:pPr>
        <w:pStyle w:val="Heading1"/>
      </w:pPr>
      <w:r>
        <w:t>2. Данные и среда эксперимента</w:t>
      </w:r>
    </w:p>
    <w:p>
      <w:r>
        <w:t>Сцена: 128×128 пикселей, RGB{Float64}, минимум 0.40000, максимум 0.58715, объём 393,216 байт. Использованы seed 101–105 и 32 интервала гистограммы.</w:t>
      </w:r>
    </w:p>
    <w:p>
      <w:r>
        <w:t>Среда: Engee 26.8.2-H3; Julia 1.12.4; учебная библиотека lab03_lib.jl.</w:t>
      </w:r>
    </w:p>
    <w:p>
      <w:r>
        <w:t>Дата выполнения: 2026-10-07.</w:t>
      </w:r>
    </w:p>
    <w:p>
      <w:pPr>
        <w:pStyle w:val="Heading1"/>
      </w:pPr>
      <w:r>
        <w:t>3. Ход работы</w:t>
      </w:r>
    </w:p>
    <w:p>
      <w:pPr>
        <w:pStyle w:val="ListNumber"/>
      </w:pPr>
      <w:r>
        <w:t>Создана сцена варианта 7 и записаны её размер, тип элемента, диапазон значений и объём.</w:t>
      </w:r>
    </w:p>
    <w:p>
      <w:pPr>
        <w:pStyle w:val="ListNumber"/>
      </w:pPr>
      <w:r>
        <w:t>Яркость рассчитана вручную по BT.601 и отдельным преобразованием каналов; максимум модуля разности составил 1.110e-16.</w:t>
      </w:r>
    </w:p>
    <w:p>
      <w:pPr>
        <w:pStyle w:val="ListNumber"/>
      </w:pPr>
      <w:r>
        <w:t>Для массива яркостей seed 101 вычислена контрольная сумма SHA-256; повторное построение дало ту же сумму.</w:t>
      </w:r>
    </w:p>
    <w:p>
      <w:pPr>
        <w:pStyle w:val="ListNumber"/>
      </w:pPr>
      <w:r>
        <w:t>Для исходного и обработанного изображения построены гистограммы с 32 интервалами.</w:t>
      </w:r>
    </w:p>
    <w:p>
      <w:pPr>
        <w:pStyle w:val="ListNumber"/>
      </w:pPr>
      <w:r>
        <w:t>Применено квантование до 4 бит; рассчитаны метрики и PSNR для пяти seed.</w:t>
      </w:r>
    </w:p>
    <w:p>
      <w:pPr>
        <w:pStyle w:val="Heading1"/>
      </w:pPr>
      <w:r>
        <w:t>4. Результаты</w:t>
      </w:r>
    </w:p>
    <w:p>
      <w:r>
        <w:t>SHA-256 яркостей для seed 101: 33e5829b64f98d42fee3aaf6f67b1bad92302d2a27f443218547ceb96a39b37b.</w:t>
      </w:r>
    </w:p>
    <w:p>
      <w:r>
        <w:t>Повторная контрольная сумма совпала: да.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Метрика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До: среднее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До: s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После: среднее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После: s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Δ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|Δ|/s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Среднее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0.46893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0.000083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0.46899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0.000136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0.00006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0.75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Контраст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0.03028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0.000140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0.03511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0.000260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0.00483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34.52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Энтропия, бит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2.06642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0.008428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1.13034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0.009938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-0.93608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111.07</w:t>
            </w:r>
          </w:p>
        </w:tc>
      </w:tr>
    </w:tbl>
    <w:p>
      <w:r>
        <w:t>Сводка по seed: изменение метрик и PSNR.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7"/>
              </w:rPr>
              <w:t>Seed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/>
                <w:sz w:val="17"/>
              </w:rPr>
              <w:t>Δ среднего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/>
                <w:sz w:val="17"/>
              </w:rPr>
              <w:t>Δ контраста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/>
                <w:sz w:val="17"/>
              </w:rPr>
              <w:t>Δ энтропии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/>
                <w:sz w:val="17"/>
              </w:rPr>
              <w:t>PSNR, дБ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101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0.000196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0.005089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-0.92580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34.35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102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0.000087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0.004936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-0.93672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34.37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103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-0.000101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0.004807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-0.93430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34.41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104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0.000027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0.004493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-0.94302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34.43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105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0.000106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0.004813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-0.94058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34.39</w:t>
            </w:r>
          </w:p>
        </w:tc>
      </w:tr>
    </w:tbl>
    <w:p>
      <w:r>
        <w:t>Средний PSNR по пяти seed: 34.39 дБ. PSNR &lt; 30 дБ: нет.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_bef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изображение до квантования.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_af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2 — изображение после квантования до 4 бит.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1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3 — гистограммы яркости до и после воздействия.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14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1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4 — средние значения метрик по серии seed; усы показывают выборочное стандартное отклонение.</w:t>
      </w:r>
    </w:p>
    <w:p>
      <w:pPr>
        <w:pStyle w:val="Heading1"/>
      </w:pPr>
      <w:r>
        <w:t>5. Анализ и вывод</w:t>
      </w:r>
    </w:p>
    <w:p>
      <w:r>
        <w:t>Среднее: |Δ|/s = 0.75, что не превышает статистический порог 2; относительное изменение 0.01% не превышает практический порог 5%.</w:t>
      </w:r>
    </w:p>
    <w:p>
      <w:r>
        <w:t>Контраст: |Δ|/s = 34.52, что превышает статистический порог 2; относительное изменение 15.94% превышает практический порог 5%.</w:t>
      </w:r>
    </w:p>
    <w:p>
      <w:r>
        <w:t>Энтропия: |Δ|/s = 111.07, что превышает статистический порог 2; относительное изменение 45.30% превышает практический порог 5%.</w:t>
      </w:r>
    </w:p>
    <w:p>
      <w:r>
        <w:t>Средняя яркость изменилась менее чем на 1%, поэтому изменение находится в пределах практического допуска. Контраст вырос примерно на 15,94%, энтропия снизилась примерно на 45,30%; оба изменения превышают допуск. PSNR 34.39 дБ выше порога 30 дБ. Таким образом, основное изменение связано с распределением яркости, а не со средним уровнем; статистическая и практическая значимость для среднего различаются.</w:t>
      </w:r>
    </w:p>
    <w:p>
      <w:r>
        <w:t>Ограничения: одна сцена и пять seed; метрики описывают статистику яркости, а PSNR не измеряет воспринимаемое качество изображения.</w:t>
      </w:r>
    </w:p>
    <w:p>
      <w:pPr>
        <w:pStyle w:val="Heading1"/>
      </w:pPr>
      <w:r>
        <w:t>6. Паспорт эксперимента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7"/>
              </w:rPr>
              <w:t>2026-10-07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Лабораторная / вариант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7"/>
              </w:rPr>
              <w:t>ЛР03 / 7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Среда и версии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7"/>
              </w:rPr>
              <w:t>Engee 26.8.2-H3; Julia 1.12.4; библиотека lab03_lib.jl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Сцена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7"/>
              </w:rPr>
              <w:t>2 — низкий контраст; 128×128; диапазон 0,40–0,60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Seed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7"/>
              </w:rPr>
              <w:t>101–105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Воздействие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7"/>
              </w:rPr>
              <w:t>Квантование яркости до 4 бит (16 уровней)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Гистограмма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7"/>
              </w:rPr>
              <w:t>32 интервала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Практический допуск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7"/>
              </w:rPr>
              <w:t>Изменение метрики &gt;5% или PSNR &lt;30 дБ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SHA-256, seed 101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7"/>
              </w:rPr>
              <w:t>33e5829b64f98d42fee3aaf6f67b1bad92302d2a27f443218547ceb96a39b37b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Артефакты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7"/>
              </w:rPr>
              <w:t>Скрипт, изображения до/после, гистограммы, график метрик, CSV и JSON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6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6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36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