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 № 1</w:t>
        <w:br/>
        <w:t>Подготовка среды и паспорт воспроизводимого AI эксперимента</w:t>
      </w:r>
    </w:p>
    <w:p>
      <w:pPr>
        <w:jc w:val="center"/>
      </w:pPr>
      <w:r>
        <w:rPr>
          <w:b w:val="0"/>
          <w:i w:val="0"/>
        </w:rPr>
        <w:t>Дисциплина: Искусственный интеллект в креативных технологиях</w:t>
      </w:r>
    </w:p>
    <w:p>
      <w:pPr>
        <w:jc w:val="center"/>
      </w:pPr>
      <w:r>
        <w:rPr>
          <w:b w:val="0"/>
          <w:i w:val="0"/>
        </w:rPr>
        <w:t>Направление: 09.04.02 Информационные системы и технологии</w:t>
      </w:r>
    </w:p>
    <w:p>
      <w:pPr>
        <w:jc w:val="center"/>
      </w:pPr>
      <w:r>
        <w:rPr>
          <w:b w:val="0"/>
          <w:i w:val="0"/>
        </w:rPr>
        <w:t>Студент: Скрыпник Михаил Дмитриевич   Группа: МИК11</w:t>
      </w:r>
    </w:p>
    <w:p>
      <w:pPr>
        <w:jc w:val="center"/>
      </w:pPr>
      <w:r>
        <w:rPr>
          <w:b w:val="0"/>
          <w:i w:val="0"/>
        </w:rPr>
        <w:t>Вариант 7</w:t>
      </w:r>
    </w:p>
    <w:p>
      <w:pPr>
        <w:jc w:val="center"/>
      </w:pPr>
      <w:r>
        <w:rPr>
          <w:b w:val="0"/>
          <w:i w:val="0"/>
        </w:rPr>
        <w:t>Дата выполнения: 30.09.2026</w:t>
      </w:r>
    </w:p>
    <w:p>
      <w:pPr>
        <w:pStyle w:val="Heading1"/>
      </w:pPr>
      <w:r>
        <w:t>1. Цель и постановка</w:t>
      </w:r>
    </w:p>
    <w:p>
      <w:r>
        <w:rPr>
          <w:b w:val="0"/>
          <w:i w:val="0"/>
        </w:rPr>
        <w:t>Цель — подготовить изолированную среду Python, зафиксировать условия вычислительного эксперимента и проверить воспроизводимость измерениями. Рассматривается учебный генератор процедурной текстуры; реальная генеративная модель в этой работе не используется.</w:t>
      </w:r>
    </w:p>
    <w:p>
      <w:r>
        <w:rPr>
          <w:b w:val="0"/>
          <w:i w:val="0"/>
        </w:rPr>
        <w:t>Вариант 7 задаёт контекст «бумажная текстура»: размер 96 × 96 пикселей, шаг решётки 4, три октавы, затухание 0,60, сглаженная интерполяция, квантование 8 бит. Изменяемый фактор — увеличение размера изображения в 1,5 раза (96 → 144) при неизменности остальных параметров.</w:t>
      </w:r>
    </w:p>
    <w:p>
      <w:r>
        <w:rPr>
          <w:b w:val="0"/>
          <w:i w:val="0"/>
        </w:rPr>
        <w:t>До запуска зафиксирована гипотеза: увеличение размера изображения при тех же параметрах текстуры не должно менять метрики заметнее обычного разброса между seed. Порог учебного критерия заранее принят равным 2: эффект считается существенным, если |разность средних| / s_baseline &gt; 2, где s_baseline — выборочное стандартное отклонение пяти базовых измерений.</w:t>
      </w:r>
    </w:p>
    <w:p>
      <w:r>
        <w:rPr>
          <w:b w:val="0"/>
          <w:i/>
        </w:rPr>
      </w:r>
    </w:p>
    <w:p>
      <w:pPr>
        <w:pStyle w:val="Heading1"/>
      </w:pPr>
      <w:r>
        <w:t>2. Среда и ход работы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Пункт</w:t>
            </w:r>
          </w:p>
        </w:tc>
        <w:tc>
          <w:tcPr>
            <w:tcW w:type="dxa" w:w="4968"/>
          </w:tcPr>
          <w:p>
            <w:r>
              <w:rPr>
                <w:b/>
              </w:rPr>
              <w:t>Зафиксированное состояние</w:t>
            </w:r>
          </w:p>
        </w:tc>
      </w:tr>
      <w:tr>
        <w:tc>
          <w:tcPr>
            <w:tcW w:type="dxa" w:w="4968"/>
          </w:tcPr>
          <w:p>
            <w:r>
              <w:t>ОС и архитектура</w:t>
            </w:r>
          </w:p>
        </w:tc>
        <w:tc>
          <w:tcPr>
            <w:tcW w:type="dxa" w:w="4968"/>
          </w:tcPr>
          <w:p>
            <w:r>
              <w:t>Windows 11 x64 (10.0.26200), сведения из среды выполнения проекта</w:t>
            </w:r>
          </w:p>
        </w:tc>
      </w:tr>
      <w:tr>
        <w:tc>
          <w:tcPr>
            <w:tcW w:type="dxa" w:w="4968"/>
          </w:tcPr>
          <w:p>
            <w:r>
              <w:t>Интерпретатор</w:t>
            </w:r>
          </w:p>
        </w:tc>
        <w:tc>
          <w:tcPr>
            <w:tcW w:type="dxa" w:w="4968"/>
          </w:tcPr>
          <w:p>
            <w:r>
              <w:t>CPython 3.12.14; удовлетворяет требованию Python ≥ 3.10</w:t>
            </w:r>
          </w:p>
        </w:tc>
      </w:tr>
      <w:tr>
        <w:tc>
          <w:tcPr>
            <w:tcW w:type="dxa" w:w="4968"/>
          </w:tcPr>
          <w:p>
            <w:r>
              <w:t>Изоляция</w:t>
            </w:r>
          </w:p>
        </w:tc>
        <w:tc>
          <w:tcPr>
            <w:tcW w:type="dxa" w:w="4968"/>
          </w:tcPr>
          <w:p>
            <w:r>
              <w:t>Локальная .venv; команды выполнялись через .venv\Scripts\python.exe</w:t>
            </w:r>
          </w:p>
        </w:tc>
      </w:tr>
      <w:tr>
        <w:tc>
          <w:tcPr>
            <w:tcW w:type="dxa" w:w="4968"/>
          </w:tcPr>
          <w:p>
            <w:r>
              <w:t>Пакеты</w:t>
            </w:r>
          </w:p>
        </w:tc>
        <w:tc>
          <w:tcPr>
            <w:tcW w:type="dxa" w:w="4968"/>
          </w:tcPr>
          <w:p>
            <w:r>
              <w:t>Сторонние пакеты не используются; pip freeze в .venv пуст</w:t>
            </w:r>
          </w:p>
        </w:tc>
      </w:tr>
      <w:tr>
        <w:tc>
          <w:tcPr>
            <w:tcW w:type="dxa" w:w="4968"/>
          </w:tcPr>
          <w:p>
            <w:r>
              <w:t>zlib</w:t>
            </w:r>
          </w:p>
        </w:tc>
        <w:tc>
          <w:tcPr>
            <w:tcW w:type="dxa" w:w="4968"/>
          </w:tcPr>
          <w:p>
            <w:r>
              <w:t>1.3.2</w:t>
            </w:r>
          </w:p>
        </w:tc>
      </w:tr>
      <w:tr>
        <w:tc>
          <w:tcPr>
            <w:tcW w:type="dxa" w:w="4968"/>
          </w:tcPr>
          <w:p>
            <w:r>
              <w:t>Создание среды</w:t>
            </w:r>
          </w:p>
        </w:tc>
        <w:tc>
          <w:tcPr>
            <w:tcW w:type="dxa" w:w="4968"/>
          </w:tcPr>
          <w:p>
            <w:r>
              <w:t>python -m venv .venv</w:t>
            </w:r>
          </w:p>
        </w:tc>
      </w:tr>
      <w:tr>
        <w:tc>
          <w:tcPr>
            <w:tcW w:type="dxa" w:w="4968"/>
          </w:tcPr>
          <w:p>
            <w:r>
              <w:t>Команда эксперимента</w:t>
            </w:r>
          </w:p>
        </w:tc>
        <w:tc>
          <w:tcPr>
            <w:tcW w:type="dxa" w:w="4968"/>
          </w:tcPr>
          <w:p>
            <w:r>
              <w:t>.venv\Scripts\python.exe src\lab01_experiment.py --variant 7 --out artifacts</w:t>
            </w:r>
          </w:p>
        </w:tc>
      </w:tr>
    </w:tbl>
    <w:p/>
    <w:p>
      <w:r>
        <w:rPr>
          <w:b w:val="0"/>
          <w:i w:val="0"/>
        </w:rPr>
        <w:t>Ход работы: создана виртуальная среда; дважды запущена демонстрация без seed и дважды с фиксированным seed 101; выполнен эксперимент для базовых параметров и фактора на seed 101–105; рассчитаны SHA-256 массивов пикселей и четыре метрики. Активация PowerShell-среды не выполнялась: использовался прямой путь к интерпретатору виртуальной среды.</w:t>
      </w:r>
    </w:p>
    <w:p>
      <w:pPr>
        <w:pStyle w:val="Heading1"/>
      </w:pPr>
      <w:r>
        <w:t>3. Паспорт эксперимента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Поле паспорта</w:t>
            </w:r>
          </w:p>
        </w:tc>
        <w:tc>
          <w:tcPr>
            <w:tcW w:type="dxa" w:w="3312"/>
          </w:tcPr>
          <w:p>
            <w:r>
              <w:rPr>
                <w:b/>
              </w:rPr>
              <w:t>Запись</w:t>
            </w:r>
          </w:p>
        </w:tc>
        <w:tc>
          <w:tcPr>
            <w:tcW w:type="dxa" w:w="3312"/>
          </w:tcPr>
          <w:p>
            <w:r>
              <w:rPr>
                <w:b/>
              </w:rPr>
              <w:t>Зачем фиксируется</w:t>
            </w:r>
          </w:p>
        </w:tc>
      </w:tr>
      <w:tr>
        <w:tc>
          <w:tcPr>
            <w:tcW w:type="dxa" w:w="3312"/>
          </w:tcPr>
          <w:p>
            <w:r>
              <w:t>Цель и критерий</w:t>
            </w:r>
          </w:p>
        </w:tc>
        <w:tc>
          <w:tcPr>
            <w:tcW w:type="dxa" w:w="3312"/>
          </w:tcPr>
          <w:p>
            <w:r>
              <w:t>Оценить воспроизводимость и влияние размера 96 → 144; порог |Δ|/s &gt; 2</w:t>
            </w:r>
          </w:p>
        </w:tc>
        <w:tc>
          <w:tcPr>
            <w:tcW w:type="dxa" w:w="3312"/>
          </w:tcPr>
          <w:p>
            <w:r>
              <w:t>Позволяет заранее определить, что считать эффектом</w:t>
            </w:r>
          </w:p>
        </w:tc>
      </w:tr>
      <w:tr>
        <w:tc>
          <w:tcPr>
            <w:tcW w:type="dxa" w:w="3312"/>
          </w:tcPr>
          <w:p>
            <w:r>
              <w:t>Данные и лицензия</w:t>
            </w:r>
          </w:p>
        </w:tc>
        <w:tc>
          <w:tcPr>
            <w:tcW w:type="dxa" w:w="3312"/>
          </w:tcPr>
          <w:p>
            <w:r>
              <w:t>Синтетические пиксели генератора; внешние данные не применяются; лицензия набора не требуется</w:t>
            </w:r>
          </w:p>
        </w:tc>
        <w:tc>
          <w:tcPr>
            <w:tcW w:type="dxa" w:w="3312"/>
          </w:tcPr>
          <w:p>
            <w:r>
              <w:t>Указывает происхождение и правовой статус входа</w:t>
            </w:r>
          </w:p>
        </w:tc>
      </w:tr>
      <w:tr>
        <w:tc>
          <w:tcPr>
            <w:tcW w:type="dxa" w:w="3312"/>
          </w:tcPr>
          <w:p>
            <w:r>
              <w:t>Генератор</w:t>
            </w:r>
          </w:p>
        </w:tc>
        <w:tc>
          <w:tcPr>
            <w:tcW w:type="dxa" w:w="3312"/>
          </w:tcPr>
          <w:p>
            <w:r>
              <w:t>Учебный процедурный генератор, версия 1.0; код в src/lab01_generator.py</w:t>
            </w:r>
          </w:p>
        </w:tc>
        <w:tc>
          <w:tcPr>
            <w:tcW w:type="dxa" w:w="3312"/>
          </w:tcPr>
          <w:p>
            <w:r>
              <w:t>Определяет вычислительную процедуру</w:t>
            </w:r>
          </w:p>
        </w:tc>
      </w:tr>
      <w:tr>
        <w:tc>
          <w:tcPr>
            <w:tcW w:type="dxa" w:w="3312"/>
          </w:tcPr>
          <w:p>
            <w:r>
              <w:t>Версия кода</w:t>
            </w:r>
          </w:p>
        </w:tc>
        <w:tc>
          <w:tcPr>
            <w:tcW w:type="dxa" w:w="3312"/>
          </w:tcPr>
          <w:p>
            <w:r>
              <w:t>SHA-256 исходников записаны в таблице ниже</w:t>
            </w:r>
          </w:p>
        </w:tc>
        <w:tc>
          <w:tcPr>
            <w:tcW w:type="dxa" w:w="3312"/>
          </w:tcPr>
          <w:p>
            <w:r>
              <w:t>Позволяет отличить изменённый скрипт</w:t>
            </w:r>
          </w:p>
        </w:tc>
      </w:tr>
      <w:tr>
        <w:tc>
          <w:tcPr>
            <w:tcW w:type="dxa" w:w="3312"/>
          </w:tcPr>
          <w:p>
            <w:r>
              <w:t>Параметры</w:t>
            </w:r>
          </w:p>
        </w:tc>
        <w:tc>
          <w:tcPr>
            <w:tcW w:type="dxa" w:w="3312"/>
          </w:tcPr>
          <w:p>
            <w:r>
              <w:t>Размер 96/144; cell 4; 3 октавы; persistence 0,60; smooth; 8 бит</w:t>
            </w:r>
          </w:p>
        </w:tc>
        <w:tc>
          <w:tcPr>
            <w:tcW w:type="dxa" w:w="3312"/>
          </w:tcPr>
          <w:p>
            <w:r>
              <w:t>Определяет содержание каждого запуска</w:t>
            </w:r>
          </w:p>
        </w:tc>
      </w:tr>
      <w:tr>
        <w:tc>
          <w:tcPr>
            <w:tcW w:type="dxa" w:w="3312"/>
          </w:tcPr>
          <w:p>
            <w:r>
              <w:t>Случайность</w:t>
            </w:r>
          </w:p>
        </w:tc>
        <w:tc>
          <w:tcPr>
            <w:tcW w:type="dxa" w:w="3312"/>
          </w:tcPr>
          <w:p>
            <w:r>
              <w:t>Локальный random.Random(seed); seed 101–105; воспроизводимость дополнительно проверена на 101 и 1101</w:t>
            </w:r>
          </w:p>
        </w:tc>
        <w:tc>
          <w:tcPr>
            <w:tcW w:type="dxa" w:w="3312"/>
          </w:tcPr>
          <w:p>
            <w:r>
              <w:t>Исключает зависимость от общего состояния генератора</w:t>
            </w:r>
          </w:p>
        </w:tc>
      </w:tr>
      <w:tr>
        <w:tc>
          <w:tcPr>
            <w:tcW w:type="dxa" w:w="3312"/>
          </w:tcPr>
          <w:p>
            <w:r>
              <w:t>Среда</w:t>
            </w:r>
          </w:p>
        </w:tc>
        <w:tc>
          <w:tcPr>
            <w:tcW w:type="dxa" w:w="3312"/>
          </w:tcPr>
          <w:p>
            <w:r>
              <w:t>Windows 11 x64; CPython 3.12.14; zlib 1.3.2; сторонних библиотек нет</w:t>
            </w:r>
          </w:p>
        </w:tc>
        <w:tc>
          <w:tcPr>
            <w:tcW w:type="dxa" w:w="3312"/>
          </w:tcPr>
          <w:p>
            <w:r>
              <w:t>Фиксирует возможные программные различия</w:t>
            </w:r>
          </w:p>
        </w:tc>
      </w:tr>
      <w:tr>
        <w:tc>
          <w:tcPr>
            <w:tcW w:type="dxa" w:w="3312"/>
          </w:tcPr>
          <w:p>
            <w:r>
              <w:t>Процедура</w:t>
            </w:r>
          </w:p>
        </w:tc>
        <w:tc>
          <w:tcPr>
            <w:tcW w:type="dxa" w:w="3312"/>
          </w:tcPr>
          <w:p>
            <w:r>
              <w:t>Команда запуска приведена в разделе 2; журнал — reports/lab_journal.txt</w:t>
            </w:r>
          </w:p>
        </w:tc>
        <w:tc>
          <w:tcPr>
            <w:tcW w:type="dxa" w:w="3312"/>
          </w:tcPr>
          <w:p>
            <w:r>
              <w:t>Даёт точные шаги повторения</w:t>
            </w:r>
          </w:p>
        </w:tc>
      </w:tr>
      <w:tr>
        <w:tc>
          <w:tcPr>
            <w:tcW w:type="dxa" w:w="3312"/>
          </w:tcPr>
          <w:p>
            <w:r>
              <w:t>Результаты</w:t>
            </w:r>
          </w:p>
        </w:tc>
        <w:tc>
          <w:tcPr>
            <w:tcW w:type="dxa" w:w="3312"/>
          </w:tcPr>
          <w:p>
            <w:r>
              <w:t>Полный JSON, хеши изображений и метрики — artifacts/results.json</w:t>
            </w:r>
          </w:p>
        </w:tc>
        <w:tc>
          <w:tcPr>
            <w:tcW w:type="dxa" w:w="3312"/>
          </w:tcPr>
          <w:p>
            <w:r>
              <w:t>Сохраняет измеренный результат и его контрольные суммы</w:t>
            </w:r>
          </w:p>
        </w:tc>
      </w:tr>
      <w:tr>
        <w:tc>
          <w:tcPr>
            <w:tcW w:type="dxa" w:w="3312"/>
          </w:tcPr>
          <w:p>
            <w:r>
              <w:t>Ограничения</w:t>
            </w:r>
          </w:p>
        </w:tc>
        <w:tc>
          <w:tcPr>
            <w:tcW w:type="dxa" w:w="3312"/>
          </w:tcPr>
          <w:p>
            <w:r>
              <w:t>5 seed; один генератор и одна текстура; учебный порог не является статистическим тестом</w:t>
            </w:r>
          </w:p>
        </w:tc>
        <w:tc>
          <w:tcPr>
            <w:tcW w:type="dxa" w:w="3312"/>
          </w:tcPr>
          <w:p>
            <w:r>
              <w:t>Очерчивает границы допустимых выводов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Файл кода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SHA-256</w:t>
            </w:r>
          </w:p>
        </w:tc>
      </w:tr>
      <w:tr>
        <w:tc>
          <w:tcPr>
            <w:tcW w:type="dxa" w:w="4968"/>
          </w:tcPr>
          <w:p>
            <w:r>
              <w:t>src/lab01_generator.py</w:t>
            </w:r>
          </w:p>
        </w:tc>
        <w:tc>
          <w:tcPr>
            <w:tcW w:type="dxa" w:w="4968"/>
          </w:tcPr>
          <w:p>
            <w:r>
              <w:t>a69af4412cb47eb84c61415b95951f8f1749e2042b36ba82a076369de4a7a247</w:t>
            </w:r>
          </w:p>
        </w:tc>
      </w:tr>
      <w:tr>
        <w:tc>
          <w:tcPr>
            <w:tcW w:type="dxa" w:w="4968"/>
          </w:tcPr>
          <w:p>
            <w:r>
              <w:t>src/lab01_experiment.py</w:t>
            </w:r>
          </w:p>
        </w:tc>
        <w:tc>
          <w:tcPr>
            <w:tcW w:type="dxa" w:w="4968"/>
          </w:tcPr>
          <w:p>
            <w:r>
              <w:t>ee3e5262d405cc1f43f2f6664877a1e1d825012b856cda9b6ab562fea06e0bb3</w:t>
            </w:r>
          </w:p>
        </w:tc>
      </w:tr>
      <w:tr>
        <w:tc>
          <w:tcPr>
            <w:tcW w:type="dxa" w:w="4968"/>
          </w:tcPr>
          <w:p>
            <w:r>
              <w:t>src/seed_demo.py</w:t>
            </w:r>
          </w:p>
        </w:tc>
        <w:tc>
          <w:tcPr>
            <w:tcW w:type="dxa" w:w="4968"/>
          </w:tcPr>
          <w:p>
            <w:r>
              <w:t>6af310f81cea759ca4f5f8ff58c4a5c8997cdb3c606adb7bebfeeb39bdd49583</w:t>
            </w:r>
          </w:p>
        </w:tc>
      </w:tr>
    </w:tbl>
    <w:p/>
    <w:p>
      <w:pPr>
        <w:pStyle w:val="Heading1"/>
      </w:pPr>
      <w:r>
        <w:t>4. Воспроизводимость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4968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968"/>
          </w:tcPr>
          <w:p>
            <w:r>
              <w:t>EQ_1_2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EQ_1_4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EQ_1_3</w:t>
            </w:r>
          </w:p>
        </w:tc>
        <w:tc>
          <w:tcPr>
            <w:tcW w:type="dxa" w:w="4968"/>
          </w:tcPr>
          <w:p>
            <w:r>
              <w:t>false</w:t>
            </w:r>
          </w:p>
        </w:tc>
      </w:tr>
      <w:tr>
        <w:tc>
          <w:tcPr>
            <w:tcW w:type="dxa" w:w="4968"/>
          </w:tcPr>
          <w:p>
            <w:r>
              <w:t>EQ_2_4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</w:tbl>
    <w:p/>
    <w:p>
      <w:r>
        <w:rPr>
          <w:b w:val="0"/>
          <w:i w:val="0"/>
        </w:rPr>
        <w:t>SHA-256 полного массива пикселей, запуск с seed 101: 29c6a6345d470f42cc8068deaf9530132cc70838f4bbfccc3bb1dc2f3d236c74</w:t>
      </w:r>
    </w:p>
    <w:p>
      <w:r>
        <w:rPr>
          <w:b w:val="0"/>
          <w:i w:val="0"/>
        </w:rPr>
        <w:t>При seed 1101 получен другой отпечаток: a759a35c787023a1655e34dcb8a755a457377efa50cddaa936aaf0590e85c8c0</w:t>
      </w:r>
    </w:p>
    <w:p>
      <w:r>
        <w:rPr>
          <w:b w:val="0"/>
          <w:i w:val="0"/>
        </w:rPr>
        <w:t>Без --seed получены системные значения 2885143056 и 3057706156 и разные SHA-256 a8b8496454d90d86… и e71f11496793fd83…. С seed 101 два запуска дали 29c6a6345d470f42… и 29c6a6345d470f42…. Это демонстрирует, почему seed требуется задавать и записывать.</w:t>
      </w:r>
    </w:p>
    <w:p>
      <w:pPr>
        <w:pStyle w:val="Heading1"/>
      </w:pPr>
      <w:r>
        <w:t>5. Метрики и изображения</w:t>
      </w:r>
    </w:p>
    <w:p>
      <w:r>
        <w:rPr>
          <w:b w:val="0"/>
          <w:i w:val="0"/>
        </w:rPr>
        <w:t>Таблица показывает среднее по пяти запускам и выборочное стандартное отклонение базового условия. Решение по фактору использует заранее заданное отношение |Δ|/s_baseline.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1419"/>
          </w:tcPr>
          <w:p>
            <w:r>
              <w:rPr>
                <w:b/>
              </w:rPr>
              <w:t>База: среднее</w:t>
            </w:r>
          </w:p>
        </w:tc>
        <w:tc>
          <w:tcPr>
            <w:tcW w:type="dxa" w:w="1419"/>
          </w:tcPr>
          <w:p>
            <w:r>
              <w:rPr>
                <w:b/>
              </w:rPr>
              <w:t>База: s</w:t>
            </w:r>
          </w:p>
        </w:tc>
        <w:tc>
          <w:tcPr>
            <w:tcW w:type="dxa" w:w="1419"/>
          </w:tcPr>
          <w:p>
            <w:r>
              <w:rPr>
                <w:b/>
              </w:rPr>
              <w:t>Фактор: среднее</w:t>
            </w:r>
          </w:p>
        </w:tc>
        <w:tc>
          <w:tcPr>
            <w:tcW w:type="dxa" w:w="1419"/>
          </w:tcPr>
          <w:p>
            <w:r>
              <w:rPr>
                <w:b/>
              </w:rPr>
              <w:t>Δ</w:t>
            </w:r>
          </w:p>
        </w:tc>
        <w:tc>
          <w:tcPr>
            <w:tcW w:type="dxa" w:w="1419"/>
          </w:tcPr>
          <w:p>
            <w:r>
              <w:rPr>
                <w:b/>
              </w:rPr>
              <w:t>|Δ|/s</w:t>
            </w:r>
          </w:p>
        </w:tc>
        <w:tc>
          <w:tcPr>
            <w:tcW w:type="dxa" w:w="1419"/>
          </w:tcPr>
          <w:p>
            <w:r>
              <w:rPr>
                <w:b/>
              </w:rPr>
              <w:t>Вывод при пороге 2</w:t>
            </w:r>
          </w:p>
        </w:tc>
      </w:tr>
      <w:tr>
        <w:tc>
          <w:tcPr>
            <w:tcW w:type="dxa" w:w="1419"/>
          </w:tcPr>
          <w:p>
            <w:r>
              <w:t>Среднее яркости</w:t>
            </w:r>
          </w:p>
        </w:tc>
        <w:tc>
          <w:tcPr>
            <w:tcW w:type="dxa" w:w="1419"/>
          </w:tcPr>
          <w:p>
            <w:r>
              <w:t>0.503641</w:t>
            </w:r>
          </w:p>
        </w:tc>
        <w:tc>
          <w:tcPr>
            <w:tcW w:type="dxa" w:w="1419"/>
          </w:tcPr>
          <w:p>
            <w:r>
              <w:t>0.007828</w:t>
            </w:r>
          </w:p>
        </w:tc>
        <w:tc>
          <w:tcPr>
            <w:tcW w:type="dxa" w:w="1419"/>
          </w:tcPr>
          <w:p>
            <w:r>
              <w:t>0.501223</w:t>
            </w:r>
          </w:p>
        </w:tc>
        <w:tc>
          <w:tcPr>
            <w:tcW w:type="dxa" w:w="1419"/>
          </w:tcPr>
          <w:p>
            <w:r>
              <w:t>-0.002418</w:t>
            </w:r>
          </w:p>
        </w:tc>
        <w:tc>
          <w:tcPr>
            <w:tcW w:type="dxa" w:w="1419"/>
          </w:tcPr>
          <w:p>
            <w:r>
              <w:t>0.309</w:t>
            </w:r>
          </w:p>
        </w:tc>
        <w:tc>
          <w:tcPr>
            <w:tcW w:type="dxa" w:w="1419"/>
          </w:tcPr>
          <w:p>
            <w:r>
              <w:t>не обнаружено</w:t>
            </w:r>
          </w:p>
        </w:tc>
      </w:tr>
      <w:tr>
        <w:tc>
          <w:tcPr>
            <w:tcW w:type="dxa" w:w="1419"/>
          </w:tcPr>
          <w:p>
            <w:r>
              <w:t>Контраст</w:t>
            </w:r>
          </w:p>
        </w:tc>
        <w:tc>
          <w:tcPr>
            <w:tcW w:type="dxa" w:w="1419"/>
          </w:tcPr>
          <w:p>
            <w:r>
              <w:t>0.139268</w:t>
            </w:r>
          </w:p>
        </w:tc>
        <w:tc>
          <w:tcPr>
            <w:tcW w:type="dxa" w:w="1419"/>
          </w:tcPr>
          <w:p>
            <w:r>
              <w:t>0.002117</w:t>
            </w:r>
          </w:p>
        </w:tc>
        <w:tc>
          <w:tcPr>
            <w:tcW w:type="dxa" w:w="1419"/>
          </w:tcPr>
          <w:p>
            <w:r>
              <w:t>0.138971</w:t>
            </w:r>
          </w:p>
        </w:tc>
        <w:tc>
          <w:tcPr>
            <w:tcW w:type="dxa" w:w="1419"/>
          </w:tcPr>
          <w:p>
            <w:r>
              <w:t>-0.000297</w:t>
            </w:r>
          </w:p>
        </w:tc>
        <w:tc>
          <w:tcPr>
            <w:tcW w:type="dxa" w:w="1419"/>
          </w:tcPr>
          <w:p>
            <w:r>
              <w:t>0.140</w:t>
            </w:r>
          </w:p>
        </w:tc>
        <w:tc>
          <w:tcPr>
            <w:tcW w:type="dxa" w:w="1419"/>
          </w:tcPr>
          <w:p>
            <w:r>
              <w:t>не обнаружено</w:t>
            </w:r>
          </w:p>
        </w:tc>
      </w:tr>
      <w:tr>
        <w:tc>
          <w:tcPr>
            <w:tcW w:type="dxa" w:w="1419"/>
          </w:tcPr>
          <w:p>
            <w:r>
              <w:t>Граничная энергия</w:t>
            </w:r>
          </w:p>
        </w:tc>
        <w:tc>
          <w:tcPr>
            <w:tcW w:type="dxa" w:w="1419"/>
          </w:tcPr>
          <w:p>
            <w:r>
              <w:t>0.083476</w:t>
            </w:r>
          </w:p>
        </w:tc>
        <w:tc>
          <w:tcPr>
            <w:tcW w:type="dxa" w:w="1419"/>
          </w:tcPr>
          <w:p>
            <w:r>
              <w:t>0.000643</w:t>
            </w:r>
          </w:p>
        </w:tc>
        <w:tc>
          <w:tcPr>
            <w:tcW w:type="dxa" w:w="1419"/>
          </w:tcPr>
          <w:p>
            <w:r>
              <w:t>0.083575</w:t>
            </w:r>
          </w:p>
        </w:tc>
        <w:tc>
          <w:tcPr>
            <w:tcW w:type="dxa" w:w="1419"/>
          </w:tcPr>
          <w:p>
            <w:r>
              <w:t>+0.000098</w:t>
            </w:r>
          </w:p>
        </w:tc>
        <w:tc>
          <w:tcPr>
            <w:tcW w:type="dxa" w:w="1419"/>
          </w:tcPr>
          <w:p>
            <w:r>
              <w:t>0.153</w:t>
            </w:r>
          </w:p>
        </w:tc>
        <w:tc>
          <w:tcPr>
            <w:tcW w:type="dxa" w:w="1419"/>
          </w:tcPr>
          <w:p>
            <w:r>
              <w:t>не обнаружено</w:t>
            </w:r>
          </w:p>
        </w:tc>
      </w:tr>
      <w:tr>
        <w:tc>
          <w:tcPr>
            <w:tcW w:type="dxa" w:w="1419"/>
          </w:tcPr>
          <w:p>
            <w:r>
              <w:t>Энтропия, бит</w:t>
            </w:r>
          </w:p>
        </w:tc>
        <w:tc>
          <w:tcPr>
            <w:tcW w:type="dxa" w:w="1419"/>
          </w:tcPr>
          <w:p>
            <w:r>
              <w:t>7.174098</w:t>
            </w:r>
          </w:p>
        </w:tc>
        <w:tc>
          <w:tcPr>
            <w:tcW w:type="dxa" w:w="1419"/>
          </w:tcPr>
          <w:p>
            <w:r>
              <w:t>0.018270</w:t>
            </w:r>
          </w:p>
        </w:tc>
        <w:tc>
          <w:tcPr>
            <w:tcW w:type="dxa" w:w="1419"/>
          </w:tcPr>
          <w:p>
            <w:r>
              <w:t>7.179723</w:t>
            </w:r>
          </w:p>
        </w:tc>
        <w:tc>
          <w:tcPr>
            <w:tcW w:type="dxa" w:w="1419"/>
          </w:tcPr>
          <w:p>
            <w:r>
              <w:t>+0.005625</w:t>
            </w:r>
          </w:p>
        </w:tc>
        <w:tc>
          <w:tcPr>
            <w:tcW w:type="dxa" w:w="1419"/>
          </w:tcPr>
          <w:p>
            <w:r>
              <w:t>0.308</w:t>
            </w:r>
          </w:p>
        </w:tc>
        <w:tc>
          <w:tcPr>
            <w:tcW w:type="dxa" w:w="1419"/>
          </w:tcPr>
          <w:p>
            <w:r>
              <w:t>не обнаружено</w:t>
            </w:r>
          </w:p>
        </w:tc>
      </w:tr>
    </w:tbl>
    <w:p/>
    <w:p>
      <w:r>
        <w:rPr>
          <w:b w:val="0"/>
          <w:i w:val="0"/>
        </w:rPr>
        <w:t>На рис. 1 показаны изображения seed 101, построенные при одинаковом размере и масштабе отображения. SHA-256 PNG: базовое условие 9081bc43e0b6f01e66b79ae5584a114a16649194fbd34a7a7d9da059b78e15e6; фактор 888cdfad900a155cf358f3185dbc85892b8c6cd2a95ec89780503caf85b74afb. Для проверки точного совпадения пикселей использовались хеши массивов, а не хеш PNG.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t>База · cell 24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seed1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Фактор · cell 48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148840" cy="2148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tor_seed1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2148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 w:val="0"/>
          <w:i w:val="0"/>
        </w:rPr>
        <w:t>Рисунок 1 — Сравнение текстур для seed 101</w:t>
      </w:r>
    </w:p>
    <w:p>
      <w:pPr>
        <w:pStyle w:val="Heading1"/>
      </w:pPr>
      <w:r>
        <w:t>6. Анализ, ограничения и вывод</w:t>
      </w:r>
    </w:p>
    <w:p>
      <w:r>
        <w:rPr>
          <w:b w:val="0"/>
          <w:i w:val="0"/>
        </w:rPr>
        <w:t>Решение по каждой метрике дано в таблице на основе учебного критерия. Результат относится только к данной процедурной текстуре и выбранным параметрам; он не обобщается на все изображения или генеративные модели.</w:t>
      </w:r>
    </w:p>
    <w:p>
      <w:r>
        <w:rPr>
          <w:b w:val="0"/>
          <w:i w:val="0"/>
        </w:rPr>
        <w:t>Разброс оценивается всего по пяти seed; порог 2 — заранее заданное учебное правило, а не статистический тест. Проверена одна текстура и один фактор. Метрики описывают распределение яркости и соседние пиксели, но не художественное качество. Нельзя заключать, что фактор универсально улучшает или ухудшает изображения. Отсутствие обнаруженного эффекта для среднего не доказывает его отсутствия.</w:t>
      </w:r>
    </w:p>
    <w:p>
      <w:r>
        <w:rPr>
          <w:b w:val="0"/>
          <w:i w:val="0"/>
        </w:rPr>
        <w:t>Вывод по цели: изолированная среда подготовлена; зафиксированы версии, параметры, seed и контрольные суммы; сравнение повторов подтвердило воспроизводимость для фиксированного seed и выявило ожидаемую невоспроизводимость при пропуске seed. Влияние фактора не обнаружено ни по одной из четырёх метрик согласно порогу, записанному до анализа.</w:t>
      </w:r>
    </w:p>
    <w:p>
      <w:r>
        <w:rPr>
          <w:b w:val="0"/>
          <w:i/>
        </w:rPr>
        <w:t>Часть Б по Engee не выполнялась: методичка предписывает проводить её по указанию преподавателя. Версии среды, вывод Julia и изменения переменных в паспорте не заявляются, поскольку фактическая сессия Engee не запускалась.</w:t>
      </w:r>
    </w:p>
    <w:p>
      <w:pPr>
        <w:pStyle w:val="Heading1"/>
      </w:pPr>
      <w:r>
        <w:t>7. Ответы на контрольные вопросы</w:t>
      </w:r>
    </w:p>
    <w:p>
      <w:r>
        <w:rPr>
          <w:b w:val="0"/>
          <w:i w:val="0"/>
        </w:rPr>
        <w:t>1. Один запуск не характеризует разброс результата между случайными начальными состояниями. Вместо него сообщают серию запусков с записанными seed, метрики каждого или их среднее и выборочное стандартное отклонение, а также условия и контрольные суммы.</w:t>
      </w:r>
    </w:p>
    <w:p>
      <w:r>
        <w:rPr>
          <w:b w:val="0"/>
          <w:i w:val="0"/>
        </w:rPr>
        <w:t>6. Если код не менялся, сначала дважды повторяют команду и сравнивают хеши полных массивов, затем проверяют предупреждения и источник seed. В демонстрации без --seed seed берётся из времени, поэтому запуски различаются. Исправление — явно задавать seed и использовать локальный random.Random(seed).</w:t>
      </w:r>
    </w:p>
    <w:p>
      <w:pPr>
        <w:pStyle w:val="Heading1"/>
      </w:pPr>
      <w:r>
        <w:t>8. Состав передаваемых материалов</w:t>
      </w:r>
    </w:p>
    <w:p>
      <w:r>
        <w:rPr>
          <w:b w:val="0"/>
          <w:i w:val="0"/>
        </w:rPr>
        <w:t>В папке работы находятся исходный код генератора и эксперимента, скрипт демонстрации seed, пустой список сторонних зависимостей, журнал, файл результатов JSON, два изображения и этот отчёт с паспортом. Папка .venv локальная и исключена из контроля версий; для восстановления её создают командой python -m venv .venv.</w:t>
      </w:r>
    </w:p>
    <w:p>
      <w:r>
        <w:rPr>
          <w:b w:val="0"/>
          <w:i w:val="0"/>
        </w:rPr>
        <w:t>Архив материалов: artifacts/lr01_variant07_artifacts.zip. Он содержит код, результаты, изображения, журнал и этот паспорт с отчётом.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