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wc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50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27.18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54.36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❌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rebar diameter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54.361463414634144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1087.23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0.00592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0.794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0.47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38.65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307.74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38.65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  <w:shd w:fill="FFC7CE"/>
          </w:tcPr>
          <w:p>
            <w:r>
              <w:rPr>
                <w:b w:val="0"/>
                <w:color w:val="9C0006"/>
              </w:rPr>
              <w:t>Demand Capacity Ratio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DCR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1.29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