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EverWorker</w:t>
      </w:r>
    </w:p>
    <w:p>
      <w:pPr>
        <w:pStyle w:val="Subtitle"/>
      </w:pPr>
      <w:r>
        <w:t>Эволюция интерфейса AI платформы</w:t>
      </w:r>
    </w:p>
    <w:p>
      <w:r>
        <w:t>Как сделать создание AI-агентов доступнее человеку без опыта разработки и при этом сохранить возможность понять и изменить их логику.</w:t>
      </w:r>
    </w:p>
    <w:p>
      <w:r>
        <w:t>EverWorker объединяет модели, данные, память, интеграции и последовательности действий. В развитии интерфейса главной задачей стало изменение точки входа: от ручной сборки технической схемы к описанию работы, которую нужно выполнить.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336000" cy="3520000"/>
            <wp:docPr id="1" name="Picture 1" descr="Первый интерфейс: входные данные, модель и выход соединены в явную схему. Фрагмент исходного макета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early-canv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Первый интерфейс: входные данные, модель и выход соединены в явную схему. Фрагмент исходного макета.</w:t>
      </w:r>
      <w:r>
        <w:t xml:space="preserve">  </w:t>
      </w:r>
      <w:hyperlink r:id="rId11">
        <w:r>
          <w:rPr>
            <w:color w:val="555555"/>
            <w:sz w:val="16"/>
          </w:rPr>
          <w:t>Исходный фрейм</w:t>
        </w:r>
      </w:hyperlink>
    </w:p>
    <w:p>
      <w:pPr>
        <w:pStyle w:val="Heading2"/>
      </w:pPr>
      <w:r>
        <w:t>Одна система и разная глубина настройки</w:t>
      </w:r>
    </w:p>
    <w:p>
      <w:r>
        <w:t>В разных версиях рядом существуют визуальный конструктор, пошаговое создание, разговорный сценарий и инструменты проверки. Пользователь может начать с цели, просмотреть предложенный план, затем перейти к отдельным узлам и параметрам.</w:t>
      </w:r>
    </w:p>
    <w:p>
      <w:r>
        <w:t>Кейс показывает продуктовые решения на реальных экранах из трёх дизайн-файлов: первой версии Integrail, Integrail 2.0 и EverWorker New Theme. Это дизайн-итерации; точные даты их выпуска не зафиксированы.</w:t>
      </w:r>
    </w:p>
    <w:p>
      <w:r>
        <w:rPr>
          <w:b/>
        </w:rPr>
        <w:t>Основной сдвиг в дизайне:</w:t>
      </w:r>
      <w:r>
        <w:t xml:space="preserve"> снизить сложность первого действия, оставив сложную логику доступной для проверки.</w:t>
      </w:r>
    </w:p>
    <w:p>
      <w:pPr>
        <w:pStyle w:val="Heading1"/>
        <w:pageBreakBefore/>
      </w:pPr>
      <w:r>
        <w:t>Начать с задачи</w:t>
      </w:r>
    </w:p>
    <w:p>
      <w:r>
        <w:t>Пустой canvas предполагает, что человек уже знает нужные узлы и порядок их соединения. В Integrail 2.0 появляется выбор способа начать: взять шаблон, собрать собственного агента или описать задачу словами.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5976000" cy="3320000"/>
            <wp:docPr id="2" name="Picture 2" descr="Integrail 2.0: три входа в создание агента. Примеры шаблонов и время в интерфейсе являются демонстрационными данным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entry-path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Integrail 2.0: три входа в создание агента. Примеры шаблонов и время в интерфейсе являются демонстрационными данными.</w:t>
      </w:r>
      <w:r>
        <w:t xml:space="preserve">  </w:t>
      </w:r>
      <w:hyperlink r:id="rId13">
        <w:r>
          <w:rPr>
            <w:color w:val="555555"/>
            <w:sz w:val="16"/>
          </w:rPr>
          <w:t>Исходный фрейм</w:t>
        </w:r>
      </w:hyperlink>
    </w:p>
    <w:p>
      <w:r>
        <w:t>Разговорный сценарий не должен превращать создание в непрозрачное действие. Перед генерацией интерфейс показывает план, позволяет изменить шаги и отдельно запросить создание workflow.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4860000" cy="3341250"/>
            <wp:docPr id="3" name="Picture 3" descr="Фрагмент Review: редактируемые шаги и явное подтверждение перед Generate workflow. Демонстрационный сценарий, не результат живого запуска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onversation-re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Фрагмент Review: редактируемые шаги и явное подтверждение перед Generate workflow. Демонстрационный сценарий, не результат живого запуска.</w:t>
      </w:r>
      <w:r>
        <w:t xml:space="preserve">  </w:t>
      </w:r>
      <w:hyperlink r:id="rId15">
        <w:r>
          <w:rPr>
            <w:color w:val="555555"/>
            <w:sz w:val="16"/>
          </w:rPr>
          <w:t>Исходный фрейм</w:t>
        </w:r>
      </w:hyperlink>
    </w:p>
    <w:p>
      <w:pPr>
        <w:pStyle w:val="Heading1"/>
        <w:pageBreakBefore/>
      </w:pPr>
      <w:r>
        <w:t>Сохранить доступ к логике</w:t>
      </w:r>
    </w:p>
    <w:p>
      <w:r>
        <w:t>Простой вход полезен только тогда, когда созданный результат можно понять и исправить. Поэтому визуальный редактор остаётся самостоятельной частью продукта.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5976000" cy="3464348"/>
            <wp:docPr id="4" name="Picture 4" descr="Integrail 2.0: схема показывает контекст, оценку приоритета и разные действия для разных ветвей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branching-canva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46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Integrail 2.0: схема показывает контекст, оценку приоритета и разные действия для разных ветвей.</w:t>
      </w:r>
      <w:r>
        <w:t xml:space="preserve">  </w:t>
      </w:r>
      <w:hyperlink r:id="rId17">
        <w:r>
          <w:rPr>
            <w:color w:val="555555"/>
            <w:sz w:val="16"/>
          </w:rPr>
          <w:t>Исходный фрейм</w:t>
        </w:r>
      </w:hyperlink>
    </w:p>
    <w:p>
      <w:r>
        <w:t>На примере обработки почты видно, как задача раскладывается на этапы: использовать историю переписки, определить приоритет, подготовить ответ или пометить письмо. Связи и развилка делают это поведение обозримым.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5220000" cy="3026087"/>
            <wp:docPr id="5" name="Picture 5" descr="Настройка выбранного узла: prompt, Tone and length, дополнительные параметры, Running results и помощь AskAI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node-configur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26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Настройка выбранного узла: prompt, Tone and length, дополнительные параметры, Running results и помощь AskAI.</w:t>
      </w:r>
      <w:r>
        <w:t xml:space="preserve">  </w:t>
      </w:r>
      <w:hyperlink r:id="rId19">
        <w:r>
          <w:rPr>
            <w:color w:val="555555"/>
            <w:sz w:val="16"/>
          </w:rPr>
          <w:t>Исходный фрейм</w:t>
        </w:r>
      </w:hyperlink>
    </w:p>
    <w:p>
      <w:r>
        <w:rPr>
          <w:b/>
        </w:rPr>
        <w:t>Смысл решения:</w:t>
      </w:r>
      <w:r>
        <w:t xml:space="preserve"> не заставлять пользователя выбирать между автоматическим созданием и точной настройкой. Оба способа работы остаются доступны в одном продукте.</w:t>
      </w:r>
    </w:p>
    <w:p>
      <w:pPr>
        <w:pStyle w:val="Heading1"/>
        <w:pageBreakBefore/>
      </w:pPr>
      <w:r>
        <w:t>Собрать понятную модель worker</w:t>
      </w:r>
    </w:p>
    <w:p>
      <w:r>
        <w:t>В EverWorker New Theme настройка организована вокруг Profile, Knowledge, Brain, Skills и Summary. Такой порядок переводит разговор о технических компонентах в последовательность решений: кто выполняет работу, что он знает, как рассуждает и какие действия может совершать.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336000" cy="3520000"/>
            <wp:docPr id="6" name="Picture 6" descr="EverWorker New Theme: модель, инструкции, шаблоны поведения и индикатор объёма контекста собраны на шаге Brai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worker-brai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EverWorker New Theme: модель, инструкции, шаблоны поведения и индикатор объёма контекста собраны на шаге Brain.</w:t>
      </w:r>
      <w:r>
        <w:t xml:space="preserve">  </w:t>
      </w:r>
      <w:hyperlink r:id="rId21">
        <w:r>
          <w:rPr>
            <w:color w:val="555555"/>
            <w:sz w:val="16"/>
          </w:rPr>
          <w:t>Исходный фрейм</w:t>
        </w:r>
      </w:hyperlink>
    </w:p>
    <w:p>
      <w:pPr>
        <w:pStyle w:val="Heading2"/>
      </w:pPr>
      <w:r>
        <w:t>Показать решения по мере необходимости</w:t>
      </w:r>
    </w:p>
    <w:p>
      <w:r>
        <w:t>На экране Brain пользователь видит выбор модели и Instructions &amp; Personality. Quick start templates позволяют использовать уже подготовленную основу. Постоянное знание и инструкции отражаются в индикаторе контекста.</w:t>
      </w:r>
    </w:p>
    <w:p>
      <w:r>
        <w:t>Это не устраняет технические ограничения, но делает их частью понятного сценария настройки. Вместо длинного списка разрозненных параметров интерфейс задаёт порядок работы и показывает текущий шаг.</w:t>
      </w:r>
    </w:p>
    <w:p>
      <w:pPr>
        <w:pStyle w:val="Heading2"/>
      </w:pPr>
      <w:r>
        <w:t>Управлять набором workers</w:t>
      </w:r>
    </w:p>
    <w:p>
      <w:r>
        <w:t>В этом же файле спроектированы списки workers с поиском, тегами, сортировкой и действиями перехода к чату и редактированию. Отдельные разделы Knowledge и Providers позволяют работать с общими ресурсами вне конкретного workflow.</w:t>
      </w:r>
    </w:p>
    <w:p>
      <w:r>
        <w:t>Названия моделей, лимиты и значения на скриншотах относятся к демонстрационному содержимому макетов.</w:t>
      </w:r>
    </w:p>
    <w:p>
      <w:pPr>
        <w:pStyle w:val="Heading1"/>
        <w:pageBreakBefore/>
      </w:pPr>
      <w:r>
        <w:t>Связать разговор и canvas</w:t>
      </w:r>
    </w:p>
    <w:p>
      <w:r>
        <w:t>В варианте с Worker Creator разговорный интерфейс расположен рядом со схемой. Разговор становится контекстным способом создавать и уточнять workflow, а canvas сохраняет видимую структуру действий.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084000" cy="4875650"/>
            <wp:docPr id="7" name="Picture 7" descr="EverWorker New Theme: Worker Creator и схема находятся рядом. В чате оставлен placeholder-текст; изображение подтверждает структуру взаимодействия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reator-canva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84000" cy="4875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EverWorker New Theme: Worker Creator и схема находятся рядом. В чате оставлен placeholder-текст; изображение подтверждает структуру взаимодействия.</w:t>
      </w:r>
      <w:r>
        <w:t xml:space="preserve">  </w:t>
      </w:r>
      <w:hyperlink r:id="rId23">
        <w:r>
          <w:rPr>
            <w:color w:val="555555"/>
            <w:sz w:val="16"/>
          </w:rPr>
          <w:t>Исходный фрейм</w:t>
        </w:r>
      </w:hyperlink>
    </w:p>
    <w:p>
      <w:r>
        <w:t>Узлы имеют читаемые названия и состояния Ready / Needs Input. В шапке остаются Save Worker и Run Worker. Так можно отделить создание структуры, её проверку и запуск.</w:t>
      </w:r>
    </w:p>
    <w:p>
      <w:r>
        <w:t>Это именно чат создания. Он отличается от Chat with agents в первой версии, где пользователь выбирает уже существующего агента и обращается к нему с запросом.</w:t>
      </w:r>
    </w:p>
    <w:p>
      <w:pPr>
        <w:pStyle w:val="Heading1"/>
        <w:pageBreakBefore/>
      </w:pPr>
      <w:r>
        <w:t>Проверить и использовать результат</w:t>
      </w:r>
    </w:p>
    <w:p>
      <w:r>
        <w:t>Создание агента не завершает пользовательский путь. Его нужно запустить, понять ответ, обнаружить проблему и при необходимости вернуться к настройке.</w:t>
      </w:r>
    </w:p>
    <w:p>
      <w:pPr>
        <w:pStyle w:val="Heading2"/>
      </w:pPr>
      <w:r>
        <w:t>Диалог с существующим агентом</w:t>
      </w:r>
    </w:p>
    <w:p>
      <w:r>
        <w:t>В первой версии есть отдельный Chat with agent: выбор агента, поле сообщения, Agent input, переход к редактированию и Debug mode. Этот сценарий относится к использованию и проверке уже созданного агента.</w:t>
      </w:r>
    </w:p>
    <w:p>
      <w:pPr>
        <w:pStyle w:val="Heading2"/>
      </w:pPr>
      <w:r>
        <w:t>Сравнение и benchmark</w:t>
      </w:r>
    </w:p>
    <w:p>
      <w:r>
        <w:t>Compare agents and LLMs позволяет использовать общие prompts и сопоставлять ответы. Run benchmark добавляет выбор опросника, оценку стоимости и журнал выполнения.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336000" cy="4156563"/>
            <wp:docPr id="8" name="Picture 8" descr="Первый интерфейс benchmark: выбор моделей, опросник, оценка стоимости и последовательность статусов. Числа и записи лога являются примерами из дизайна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benchmark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4156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Первый интерфейс benchmark: выбор моделей, опросник, оценка стоимости и последовательность статусов. Числа и записи лога являются примерами из дизайна.</w:t>
      </w:r>
      <w:r>
        <w:t xml:space="preserve">  </w:t>
      </w:r>
      <w:hyperlink r:id="rId25">
        <w:r>
          <w:rPr>
            <w:color w:val="555555"/>
            <w:sz w:val="16"/>
          </w:rPr>
          <w:t>Исходный фрейм</w:t>
        </w:r>
      </w:hyperlink>
    </w:p>
    <w:p>
      <w:r>
        <w:t>Важно не смешивать два результата: дизайн делает процесс проверки видимым, но сам скриншот не доказывает качество ответов, надёжность выполнения или экономию времени.</w:t>
      </w:r>
    </w:p>
    <w:p>
      <w:r>
        <w:rPr>
          <w:b/>
        </w:rPr>
        <w:t>Сквозной путь:</w:t>
      </w:r>
      <w:r>
        <w:t xml:space="preserve"> выбрать или создать агента → настроить → запустить → проверить ответ и состояние → скорректировать → использовать повторно.</w:t>
      </w:r>
    </w:p>
    <w:p>
      <w:pPr>
        <w:pStyle w:val="Heading1"/>
        <w:pageBreakBefore/>
      </w:pPr>
      <w:r>
        <w:t>Организовать знания и подключения</w:t>
      </w:r>
    </w:p>
    <w:p>
      <w:r>
        <w:t>AI-worker зависит не только от модели. Ему нужны знания и доступные действия. В EverWorker эти ресурсы представлены как отдельные управляемые сущности.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336000" cy="3519422"/>
            <wp:docPr id="9" name="Picture 9" descr="EverWorker New Theme: библиотека коллекций знаний. Фрагмент без области аккаунта; содержимое карточек демонстрационное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knowled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519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EverWorker New Theme: библиотека коллекций знаний. Фрагмент без области аккаунта; содержимое карточек демонстрационное.</w:t>
      </w:r>
      <w:r>
        <w:t xml:space="preserve">  </w:t>
      </w:r>
      <w:hyperlink r:id="rId27">
        <w:r>
          <w:rPr>
            <w:color w:val="555555"/>
            <w:sz w:val="16"/>
          </w:rPr>
          <w:t>Исходный фрейм</w:t>
        </w:r>
      </w:hyperlink>
    </w:p>
    <w:p>
      <w:pPr>
        <w:pStyle w:val="Heading2"/>
      </w:pPr>
      <w:r>
        <w:t>Знания</w:t>
      </w:r>
    </w:p>
    <w:p>
      <w:r>
        <w:t>Коллекции объединяют материалы, дают точку входа в их содержимое и позволяют создавать новые наборы. В дизайнах также выделены просмотр элементов, поиск, добавление и групповые действия.</w:t>
      </w:r>
    </w:p>
    <w:p>
      <w:pPr>
        <w:pStyle w:val="Heading2"/>
      </w:pPr>
      <w:r>
        <w:t>Подключения</w:t>
      </w:r>
    </w:p>
    <w:p>
      <w:r>
        <w:t>Раздел Providers различает Your Connectors и Your API Providers. Это полезное разделение между описанием доступной системы и конкретным подключением к ней. На уровне интерфейса предусмотрены создание connector и обновления провайдеров.</w:t>
      </w:r>
    </w:p>
    <w:p>
      <w:pPr>
        <w:pStyle w:val="Heading2"/>
      </w:pPr>
      <w:r>
        <w:t>От отдельной схемы к рабочему продукту</w:t>
      </w:r>
    </w:p>
    <w:p>
      <w:r>
        <w:t>Вместе со списками workers, настройками, аналитикой и управлением пользователями эти сценарии расширяют продукт за пределы редактора. Создание, эксплуатация и обслуживание становятся связанными частями одного опыта.</w:t>
      </w:r>
    </w:p>
    <w:p>
      <w:r>
        <w:t>Перечень разделов и макеты подтверждают проектирование этих сценариев. Они не используются как доказательство того, что каждая изображённая интеграция была выпущена.</w:t>
      </w:r>
    </w:p>
    <w:p>
      <w:pPr>
        <w:pStyle w:val="Heading1"/>
        <w:pageBreakBefore/>
      </w:pPr>
      <w:r>
        <w:t>Что изменилось</w:t>
      </w:r>
    </w:p>
    <w:p>
      <w:r>
        <w:t>Разные версии показывают переход от настройки структуры к нескольким способам работать с одной системой.</w:t>
      </w:r>
    </w:p>
    <w:p>
      <w:pPr>
        <w:pStyle w:val="ListBullet"/>
        <w:spacing w:after="100" w:line="259" w:lineRule="auto"/>
      </w:pPr>
      <w:r>
        <w:t>Первый интерфейс делает техническую схему явной: inputs, параметры модели, outputs и связи.</w:t>
      </w:r>
    </w:p>
    <w:p>
      <w:pPr>
        <w:pStyle w:val="ListBullet"/>
        <w:spacing w:after="100" w:line="259" w:lineRule="auto"/>
      </w:pPr>
      <w:r>
        <w:t>Integrail 2.0 добавляет шаблоны, описание задачи и проверку предложенного плана перед генерацией.</w:t>
      </w:r>
    </w:p>
    <w:p>
      <w:pPr>
        <w:pStyle w:val="ListBullet"/>
        <w:spacing w:after="100" w:line="259" w:lineRule="auto"/>
      </w:pPr>
      <w:r>
        <w:t>Детальная настройка сохраняется: ветвление, prompt выбранного узла, дополнительные параметры и результаты выполнения.</w:t>
      </w:r>
    </w:p>
    <w:p>
      <w:pPr>
        <w:pStyle w:val="ListBullet"/>
        <w:spacing w:after="100" w:line="259" w:lineRule="auto"/>
      </w:pPr>
      <w:r>
        <w:t>EverWorker группирует создание вокруг профиля, знаний, Brain и Skills и размещает разговорное создание рядом с canvas.</w:t>
      </w:r>
    </w:p>
    <w:p>
      <w:pPr>
        <w:pStyle w:val="ListBullet"/>
        <w:spacing w:after="100" w:line="259" w:lineRule="auto"/>
      </w:pPr>
      <w:r>
        <w:t>Чат исполнения, benchmark, знания и подключения поддерживают полный рабочий цикл.</w:t>
      </w:r>
    </w:p>
    <w:p>
      <w:pPr>
        <w:pStyle w:val="Heading2"/>
      </w:pPr>
      <w:r>
        <w:t>Результат дизайна</w:t>
      </w:r>
    </w:p>
    <w:p>
      <w:r>
        <w:t>Вместо единственного технического входа продукт предлагает разные уровни подробности. Начать можно с задачи, а перейти к устройству workflow тогда, когда требуется контроль. Именно эта связка делает эволюцию интерфейса содержательной.</w:t>
      </w:r>
    </w:p>
    <w:p>
      <w:r>
        <w:t>Количественные улучшения конверсии, времени создания или успешности задач в этом кейсе не заявлены. Для их оценки понадобились бы сравнимые пользовательские сессии и продуктовая аналитика.</w:t>
      </w:r>
    </w:p>
    <w:p>
      <w:pPr>
        <w:pStyle w:val="Heading2"/>
      </w:pPr>
      <w:r>
        <w:t>Дальнейшая проверка</w:t>
      </w:r>
    </w:p>
    <w:p>
      <w:r>
        <w:t>Проверять такой подход стоит на одном и том же задании: может ли новый пользователь получить рабочую основу, объяснить предложенные шаги, заметить неверное действие и исправить его без помощи разработчика.</w:t>
      </w:r>
    </w:p>
    <w:p>
      <w:pPr>
        <w:pStyle w:val="Heading2"/>
      </w:pPr>
      <w:r>
        <w:t>Источники экранов</w:t>
      </w:r>
    </w:p>
    <w:p>
      <w:pPr>
        <w:spacing w:after="100"/>
      </w:pPr>
      <w:hyperlink r:id="rId28">
        <w:r>
          <w:rPr>
            <w:color w:val="555555"/>
            <w:sz w:val="16"/>
          </w:rPr>
          <w:t>Первая версия Integrail</w:t>
        </w:r>
      </w:hyperlink>
    </w:p>
    <w:p>
      <w:pPr>
        <w:spacing w:after="100"/>
      </w:pPr>
      <w:hyperlink r:id="rId29">
        <w:r>
          <w:rPr>
            <w:color w:val="555555"/>
            <w:sz w:val="16"/>
          </w:rPr>
          <w:t>Integrail 2.0</w:t>
        </w:r>
      </w:hyperlink>
    </w:p>
    <w:p>
      <w:pPr>
        <w:spacing w:after="100"/>
      </w:pPr>
      <w:hyperlink r:id="rId30">
        <w:r>
          <w:rPr>
            <w:color w:val="555555"/>
            <w:sz w:val="16"/>
          </w:rPr>
          <w:t>EverWorker New Theme</w:t>
        </w:r>
      </w:hyperlink>
    </w:p>
    <w:p>
      <w:pPr>
        <w:spacing w:after="100"/>
      </w:pPr>
      <w:hyperlink r:id="rId31">
        <w:r>
          <w:rPr>
            <w:color w:val="555555"/>
            <w:sz w:val="16"/>
          </w:rPr>
          <w:t>Дополнительный Canvas Dev Ready, связанный из New Theme</w:t>
        </w:r>
      </w:hyperlink>
    </w:p>
    <w:p>
      <w:r>
        <w:t>Под каждым изображением дана ссылка на исходный фрейм. Скриншоты экспортированы из Figma; отдельные кадры обрезаны для читаемости и исключения областей аккаунта. Интерфейсы не перерисовывались.</w:t>
      </w:r>
    </w:p>
    <w:p>
      <w:r>
        <w:t>Integrail-design-system-WIP обозначен как первая версия проекта. Названия файлов и страниц, даты и числовые значения внутри UI не подтверждают даты релизов или бизнес-результаты.</w:t>
      </w:r>
    </w:p>
    <w:sectPr w:rsidR="00FC693F" w:rsidRPr="0006063C" w:rsidSect="00034616">
      <w:footerReference w:type="default" r:id="rId9"/>
      <w:pgSz w:w="11906" w:h="16838"/>
      <w:pgMar w:top="907" w:right="964" w:bottom="850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E6E6E"/>
        <w:sz w:val="16"/>
      </w:rPr>
      <w:t xml:space="preserve">EverWorker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rial" w:hAnsi="Arial"/>
      <w:color w:val="14141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2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Arial" w:hAnsi="Arial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after="180"/>
    </w:pPr>
    <w:rPr>
      <w:rFonts w:ascii="Arial" w:hAnsi="Arial"/>
      <w:b w:val="0"/>
      <w:bCs/>
      <w:i w:val="0"/>
      <w:color w:val="5A5A5A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https://www.figma.com/design/MX5BBXpqiZ1j2Yw9x5xESO/Integrail-design-system-WIP?node-id=1526-93140" TargetMode="External"/><Relationship Id="rId12" Type="http://schemas.openxmlformats.org/officeDocument/2006/relationships/image" Target="media/image2.png"/><Relationship Id="rId13" Type="http://schemas.openxmlformats.org/officeDocument/2006/relationships/hyperlink" Target="https://www.figma.com/design/DwdpO4EWu4rPYmY3R0Bhaa/Integrail-2.0?node-id=97-17069" TargetMode="External"/><Relationship Id="rId14" Type="http://schemas.openxmlformats.org/officeDocument/2006/relationships/image" Target="media/image3.png"/><Relationship Id="rId15" Type="http://schemas.openxmlformats.org/officeDocument/2006/relationships/hyperlink" Target="https://www.figma.com/design/DwdpO4EWu4rPYmY3R0Bhaa/Integrail-2.0?node-id=1021-56369" TargetMode="External"/><Relationship Id="rId16" Type="http://schemas.openxmlformats.org/officeDocument/2006/relationships/image" Target="media/image4.png"/><Relationship Id="rId17" Type="http://schemas.openxmlformats.org/officeDocument/2006/relationships/hyperlink" Target="https://www.figma.com/design/DwdpO4EWu4rPYmY3R0Bhaa/Integrail-2.0?node-id=1164-32901" TargetMode="External"/><Relationship Id="rId18" Type="http://schemas.openxmlformats.org/officeDocument/2006/relationships/image" Target="media/image5.png"/><Relationship Id="rId19" Type="http://schemas.openxmlformats.org/officeDocument/2006/relationships/hyperlink" Target="https://www.figma.com/design/DwdpO4EWu4rPYmY3R0Bhaa/Integrail-2.0?node-id=115-19742" TargetMode="External"/><Relationship Id="rId20" Type="http://schemas.openxmlformats.org/officeDocument/2006/relationships/image" Target="media/image6.png"/><Relationship Id="rId21" Type="http://schemas.openxmlformats.org/officeDocument/2006/relationships/hyperlink" Target="https://www.figma.com/design/pva4HGdQLZcRsq6hLqnKsd/EverWorker-New-Theme?node-id=5914-41878" TargetMode="External"/><Relationship Id="rId22" Type="http://schemas.openxmlformats.org/officeDocument/2006/relationships/image" Target="media/image7.png"/><Relationship Id="rId23" Type="http://schemas.openxmlformats.org/officeDocument/2006/relationships/hyperlink" Target="https://www.figma.com/design/pva4HGdQLZcRsq6hLqnKsd/EverWorker-New-Theme?node-id=5859-55563" TargetMode="External"/><Relationship Id="rId24" Type="http://schemas.openxmlformats.org/officeDocument/2006/relationships/image" Target="media/image8.png"/><Relationship Id="rId25" Type="http://schemas.openxmlformats.org/officeDocument/2006/relationships/hyperlink" Target="https://www.figma.com/design/MX5BBXpqiZ1j2Yw9x5xESO/Integrail-design-system-WIP?node-id=2192-564" TargetMode="External"/><Relationship Id="rId26" Type="http://schemas.openxmlformats.org/officeDocument/2006/relationships/image" Target="media/image9.png"/><Relationship Id="rId27" Type="http://schemas.openxmlformats.org/officeDocument/2006/relationships/hyperlink" Target="https://www.figma.com/design/pva4HGdQLZcRsq6hLqnKsd/EverWorker-New-Theme?node-id=7309-246967" TargetMode="External"/><Relationship Id="rId28" Type="http://schemas.openxmlformats.org/officeDocument/2006/relationships/hyperlink" Target="https://www.figma.com/design/MX5BBXpqiZ1j2Yw9x5xESO/Integrail-design-system-WIP?node-id=1501-15399" TargetMode="External"/><Relationship Id="rId29" Type="http://schemas.openxmlformats.org/officeDocument/2006/relationships/hyperlink" Target="https://www.figma.com/design/DwdpO4EWu4rPYmY3R0Bhaa/Integrail-2.0?node-id=1-2" TargetMode="External"/><Relationship Id="rId30" Type="http://schemas.openxmlformats.org/officeDocument/2006/relationships/hyperlink" Target="https://www.figma.com/design/pva4HGdQLZcRsq6hLqnKsd/EverWorker-New-Theme?node-id=5379-14089" TargetMode="External"/><Relationship Id="rId31" Type="http://schemas.openxmlformats.org/officeDocument/2006/relationships/hyperlink" Target="https://www.figma.com/design/NR8knyDnnk31iRBYpNjVZ7/Canvas?node-id=0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EverWorker — эволюция интерфейса AI платформы</dc:title>
  <dc:subject>Product case with original design screenshots</dc:subject>
  <dc:creator>Ilya Mikheenko</dc:creator>
  <cp:keywords>EverWorker Integrail product design UX AI canvas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