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South Timber Asset Tables</w:t>
      </w:r>
    </w:p>
    <w:p>
      <w:pPr>
        <w:pStyle w:val="Heading2"/>
      </w:pPr>
      <w:r>
        <w:t>Table 1: South: Physical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35,400 Mt</w:t>
            </w:r>
          </w:p>
        </w:tc>
        <w:tc>
          <w:tcPr>
            <w:tcW w:type="dxa" w:w="2880"/>
          </w:tcPr>
          <w:p>
            <w:r>
              <w:t>29,400 Mt</w:t>
            </w:r>
          </w:p>
        </w:tc>
      </w:tr>
    </w:tbl>
    <w:p>
      <w:pPr>
        <w:pStyle w:val="Heading2"/>
      </w:pPr>
      <w:r>
        <w:t>Table 2: South: Monetary Value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$8,091.00B</w:t>
            </w:r>
          </w:p>
        </w:tc>
        <w:tc>
          <w:tcPr>
            <w:tcW w:type="dxa" w:w="2880"/>
          </w:tcPr>
          <w:p>
            <w:r>
              <w:t>$5,571.00B</w:t>
            </w:r>
          </w:p>
        </w:tc>
      </w:tr>
    </w:tbl>
    <w:p>
      <w:pPr>
        <w:pStyle w:val="Heading2"/>
      </w:pPr>
      <w:r>
        <w:t>Table 3: South: Physical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speciesGroup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Lobolly and shortleaf pines</w:t>
            </w:r>
          </w:p>
        </w:tc>
        <w:tc>
          <w:tcPr>
            <w:tcW w:type="dxa" w:w="2880"/>
          </w:tcPr>
          <w:p>
            <w:r>
              <w:t>19,300 Mt</w:t>
            </w:r>
          </w:p>
        </w:tc>
        <w:tc>
          <w:tcPr>
            <w:tcW w:type="dxa" w:w="2880"/>
          </w:tcPr>
          <w:p>
            <w:r>
              <w:t>17,300 Mt</w:t>
            </w:r>
          </w:p>
        </w:tc>
      </w:tr>
      <w:tr>
        <w:tc>
          <w:tcPr>
            <w:tcW w:type="dxa" w:w="2880"/>
          </w:tcPr>
          <w:p>
            <w:r>
              <w:t>Longleaf and slash pines</w:t>
            </w:r>
          </w:p>
        </w:tc>
        <w:tc>
          <w:tcPr>
            <w:tcW w:type="dxa" w:w="2880"/>
          </w:tcPr>
          <w:p>
            <w:r>
              <w:t>16,100 Mt</w:t>
            </w:r>
          </w:p>
        </w:tc>
        <w:tc>
          <w:tcPr>
            <w:tcW w:type="dxa" w:w="2880"/>
          </w:tcPr>
          <w:p>
            <w:r>
              <w:t>12,100 Mt</w:t>
            </w:r>
          </w:p>
        </w:tc>
      </w:tr>
    </w:tbl>
    <w:p>
      <w:pPr>
        <w:pStyle w:val="Heading2"/>
      </w:pPr>
      <w:r>
        <w:t>Table 4: South: Monetary Value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spclass</w:t>
            </w:r>
          </w:p>
        </w:tc>
        <w:tc>
          <w:tcPr>
            <w:tcW w:type="dxa" w:w="2160"/>
          </w:tcPr>
          <w:p>
            <w:r>
              <w:t>speciesGroup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$4,357.00B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$3,734.00B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$3,137.00B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$2,434.00B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