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5C2E"/>
          <w:sz w:val="52"/>
        </w:rPr>
        <w:t>BIODEFAULT REPORT</w:t>
      </w:r>
    </w:p>
    <w:p>
      <w:pPr>
        <w:jc w:val="center"/>
      </w:pPr>
      <w:r>
        <w:rPr>
          <w:color w:val="2E8B57"/>
          <w:sz w:val="32"/>
        </w:rPr>
        <w:t>Artisanal Biochar Technology:</w:t>
        <w:br/>
        <w:t>Feasibility Analysis &amp; Carbon Accounting Defaults</w:t>
      </w:r>
    </w:p>
    <w:p/>
    <w:p>
      <w:pPr>
        <w:jc w:val="center"/>
      </w:pPr>
      <w:r>
        <w:rPr>
          <w:sz w:val="22"/>
        </w:rPr>
        <w:t>Carbon Accounting Data Repository</w:t>
        <w:br/>
        <w:t>Prepared: April 09, 2026</w:t>
        <w:br/>
        <w:t>Version 1.0</w:t>
      </w:r>
    </w:p>
    <w:p>
      <w:r>
        <w:br w:type="page"/>
      </w:r>
    </w:p>
    <w:p>
      <w:pPr>
        <w:pStyle w:val="Heading1"/>
      </w:pPr>
      <w:r>
        <w:rPr>
          <w:color w:val="1F5C2E"/>
        </w:rPr>
        <w:t>Table of Contents</w:t>
      </w:r>
    </w:p>
    <w:p>
      <w:pPr>
        <w:pStyle w:val="ListNumber"/>
        <w:spacing w:after="40"/>
      </w:pPr>
      <w:r>
        <w:t>1.  Executive Summary</w:t>
      </w:r>
    </w:p>
    <w:p>
      <w:pPr>
        <w:pStyle w:val="ListNumber"/>
        <w:spacing w:after="40"/>
      </w:pPr>
      <w:r>
        <w:t>2.  Introduction to Artisanal Biochar</w:t>
      </w:r>
    </w:p>
    <w:p>
      <w:pPr>
        <w:pStyle w:val="ListNumber"/>
        <w:spacing w:after="40"/>
      </w:pPr>
      <w:r>
        <w:t>3.  Technology Overview</w:t>
      </w:r>
    </w:p>
    <w:p>
      <w:pPr>
        <w:pStyle w:val="ListNumber"/>
        <w:spacing w:after="40"/>
      </w:pPr>
      <w:r>
        <w:t>4.  Global Production Statistics (2023)</w:t>
      </w:r>
    </w:p>
    <w:p>
      <w:pPr>
        <w:pStyle w:val="ListNumber"/>
        <w:spacing w:after="40"/>
      </w:pPr>
      <w:r>
        <w:t>5.  Carbon Sequestration &amp; Default Emission Factors</w:t>
      </w:r>
    </w:p>
    <w:p>
      <w:pPr>
        <w:pStyle w:val="ListNumber"/>
        <w:spacing w:after="40"/>
      </w:pPr>
      <w:r>
        <w:t>6.  Economic Feasibility Analysis</w:t>
      </w:r>
    </w:p>
    <w:p>
      <w:pPr>
        <w:pStyle w:val="ListNumber"/>
        <w:spacing w:after="40"/>
      </w:pPr>
      <w:r>
        <w:t>7.  Statistical Research Findings</w:t>
      </w:r>
    </w:p>
    <w:p>
      <w:pPr>
        <w:pStyle w:val="ListNumber"/>
        <w:spacing w:after="40"/>
      </w:pPr>
      <w:r>
        <w:t>8.  Technology Feasibility Assessment</w:t>
      </w:r>
    </w:p>
    <w:p>
      <w:pPr>
        <w:pStyle w:val="ListNumber"/>
        <w:spacing w:after="40"/>
      </w:pPr>
      <w:r>
        <w:t>9.  Challenges &amp; Barriers</w:t>
      </w:r>
    </w:p>
    <w:p>
      <w:pPr>
        <w:pStyle w:val="ListNumber"/>
        <w:spacing w:after="40"/>
      </w:pPr>
      <w:r>
        <w:t>10.  Opportunities &amp; Recommendations</w:t>
      </w:r>
    </w:p>
    <w:p>
      <w:pPr>
        <w:pStyle w:val="ListNumber"/>
        <w:spacing w:after="40"/>
      </w:pPr>
      <w:r>
        <w:t>11.  Conclusions</w:t>
      </w:r>
    </w:p>
    <w:p>
      <w:pPr>
        <w:pStyle w:val="ListNumber"/>
        <w:spacing w:after="40"/>
      </w:pPr>
      <w:r>
        <w:t>12.  References &amp; Data Sources</w:t>
      </w:r>
    </w:p>
    <w:p>
      <w:r>
        <w:br w:type="page"/>
      </w:r>
    </w:p>
    <w:p>
      <w:pPr>
        <w:pStyle w:val="Heading1"/>
      </w:pPr>
      <w:r>
        <w:rPr>
          <w:color w:val="1F5C2E"/>
        </w:rPr>
        <w:t>1. Executive Summary</w:t>
      </w:r>
    </w:p>
    <w:p>
      <w:pPr>
        <w:spacing w:after="120"/>
      </w:pPr>
      <w:r>
        <w:rPr>
          <w:b w:val="0"/>
          <w:i w:val="0"/>
        </w:rPr>
        <w:t>Artisanal biochar production—the conversion of organic biomass into a stable, carbon-rich charcoal through traditional low-technology pyrolysis—represents one of the most accessible and immediately scalable climate solutions available to smallholder farmers and rural communities across the Global South. This report synthesises the latest scientific, economic, and policy evidence to provide default carbon accounting parameters and a feasibility assessment for artisanal biochar projects.</w:t>
      </w:r>
    </w:p>
    <w:p>
      <w:pPr>
        <w:spacing w:after="120"/>
      </w:pPr>
      <w:r>
        <w:rPr>
          <w:b w:val="0"/>
          <w:i w:val="0"/>
        </w:rPr>
        <w:t>Key findings: the global artisanal biochar market reached approximately USD 1.85 billion in 2023, with production exceeding 500,000 tonnes per year. Carbon content of artisanal biochar ranges from 55 % (traditional earthen kilns) to 80 % (retort kilns), delivering net GHG savings of 1.8–3.6 tCO₂e per tonne of biochar produced when compared to the baseline of open burning. The sector is projected to grow at a CAGR of 12.7 % through 2030, driven by voluntary carbon market demand, soil-amendment co-benefits, and enabling policy environments in Sub-Saharan Africa, South Asia, and Latin America.</w:t>
      </w:r>
    </w:p>
    <w:p>
      <w:pPr>
        <w:spacing w:after="120"/>
      </w:pPr>
      <w:r>
        <w:rPr>
          <w:b w:val="0"/>
          <w:i w:val="0"/>
        </w:rPr>
        <w:t>Economic analysis confirms that improved technologies (TLUD drum kilns and small retorts) are financially viable at carbon credit prices above USD 10–15/tCO₂e—thresholds already exceeded in leading voluntary markets. An ANOVA across 68 published studies confirms statistically significant differences in biochar quality across technology types (F=38.7, p&lt;0.0001), underscoring the importance of technology choice for carbon certification.</w:t>
      </w:r>
    </w:p>
    <w:p>
      <w:r>
        <w:br w:type="page"/>
      </w:r>
    </w:p>
    <w:p>
      <w:pPr>
        <w:pStyle w:val="Heading1"/>
      </w:pPr>
      <w:r>
        <w:rPr>
          <w:color w:val="1F5C2E"/>
        </w:rPr>
        <w:t>2. Introduction to Artisanal Biochar</w:t>
      </w:r>
    </w:p>
    <w:p>
      <w:pPr>
        <w:pStyle w:val="Heading2"/>
      </w:pPr>
      <w:r>
        <w:rPr>
          <w:color w:val="2E8B57"/>
        </w:rPr>
        <w:t>2.1 Definition and Background</w:t>
      </w:r>
    </w:p>
    <w:p>
      <w:pPr>
        <w:spacing w:after="120"/>
      </w:pPr>
      <w:r>
        <w:rPr>
          <w:b w:val="0"/>
          <w:i w:val="0"/>
        </w:rPr>
        <w:t>Biochar is defined by the International Biochar Initiative (IBI) as 'a solid material obtained from thermochemical conversion of biomass in an oxygen-limited environment.' Artisanal biochar specifically refers to biochar produced using low-cost, small-scale technologies that can be fabricated and operated by smallholder communities without access to industrial infrastructure.</w:t>
      </w:r>
    </w:p>
    <w:p>
      <w:pPr>
        <w:spacing w:after="120"/>
      </w:pPr>
      <w:r>
        <w:rPr>
          <w:b w:val="0"/>
          <w:i w:val="0"/>
        </w:rPr>
        <w:t>The practice has deep historical roots—the pre-Columbian Amazonian civilisations created Terra Preta soils rich in biochar thousands of years ago, and traditional charcoal making has been practised across Africa, Asia, and Latin America for centuries. The re-emergence of interest is driven by the dual benefit: a soil amendment that can boost crop yields by 10–40 % in degraded tropical soils, and a carbon sink that can persist for 100–1,000 years.</w:t>
      </w:r>
    </w:p>
    <w:p>
      <w:pPr>
        <w:pStyle w:val="Heading2"/>
      </w:pPr>
      <w:r>
        <w:rPr>
          <w:color w:val="2E8B57"/>
        </w:rPr>
        <w:t>2.2 Relevance to Carbon Accounting</w:t>
      </w:r>
    </w:p>
    <w:p>
      <w:pPr>
        <w:spacing w:after="120"/>
      </w:pPr>
      <w:r>
        <w:rPr>
          <w:b w:val="0"/>
          <w:i w:val="0"/>
        </w:rPr>
        <w:t>In carbon accounting frameworks, artisanal biochar qualifies as a Carbon Dioxide Removal (CDR) activity under both the Voluntary Carbon Standard (VCS / Verra) and the Gold Standard Foundation methodologies. The carbon sequestered in stable biochar represents a permanent removal of CO₂ from the atmosphere when produced from sustainably sourced biomass. The IBI/EBC Permanent Carbon (Perm-C) method provides default factors for calculating the stable carbon fraction and associated CO₂e removal credits.</w:t>
      </w:r>
    </w:p>
    <w:p>
      <w:r>
        <w:br w:type="page"/>
      </w:r>
    </w:p>
    <w:p>
      <w:pPr>
        <w:pStyle w:val="Heading1"/>
      </w:pPr>
      <w:r>
        <w:rPr>
          <w:color w:val="1F5C2E"/>
        </w:rPr>
        <w:t>3. Technology Overview</w:t>
      </w:r>
    </w:p>
    <w:p>
      <w:pPr>
        <w:spacing w:after="120"/>
      </w:pPr>
      <w:r>
        <w:rPr>
          <w:b w:val="0"/>
          <w:i w:val="0"/>
        </w:rPr>
        <w:t>Artisanal biochar technologies span a spectrum from the simplest earthen mound kilns to small-scale engineered retorts. The principal variants are described below.</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5C2E"/>
          </w:tcPr>
          <w:p>
            <w:r>
              <w:rPr>
                <w:b/>
                <w:color w:val="FFFFFF"/>
                <w:sz w:val="18"/>
              </w:rPr>
              <w:t>Technology</w:t>
            </w:r>
          </w:p>
        </w:tc>
        <w:tc>
          <w:tcPr>
            <w:tcW w:type="dxa" w:w="1568"/>
            <w:shd w:val="clear" w:color="auto" w:fill="1F5C2E"/>
          </w:tcPr>
          <w:p>
            <w:r>
              <w:rPr>
                <w:b/>
                <w:color w:val="FFFFFF"/>
                <w:sz w:val="18"/>
              </w:rPr>
              <w:t>Temp (°C)</w:t>
            </w:r>
          </w:p>
        </w:tc>
        <w:tc>
          <w:tcPr>
            <w:tcW w:type="dxa" w:w="1568"/>
            <w:shd w:val="clear" w:color="auto" w:fill="1F5C2E"/>
          </w:tcPr>
          <w:p>
            <w:r>
              <w:rPr>
                <w:b/>
                <w:color w:val="FFFFFF"/>
                <w:sz w:val="18"/>
              </w:rPr>
              <w:t>Residence Time</w:t>
            </w:r>
          </w:p>
        </w:tc>
        <w:tc>
          <w:tcPr>
            <w:tcW w:type="dxa" w:w="1568"/>
            <w:shd w:val="clear" w:color="auto" w:fill="1F5C2E"/>
          </w:tcPr>
          <w:p>
            <w:r>
              <w:rPr>
                <w:b/>
                <w:color w:val="FFFFFF"/>
                <w:sz w:val="18"/>
              </w:rPr>
              <w:t>Carbon Content</w:t>
            </w:r>
          </w:p>
        </w:tc>
        <w:tc>
          <w:tcPr>
            <w:tcW w:type="dxa" w:w="1568"/>
            <w:shd w:val="clear" w:color="auto" w:fill="1F5C2E"/>
          </w:tcPr>
          <w:p>
            <w:r>
              <w:rPr>
                <w:b/>
                <w:color w:val="FFFFFF"/>
                <w:sz w:val="18"/>
              </w:rPr>
              <w:t>Approx. Cost (USD)</w:t>
            </w:r>
          </w:p>
        </w:tc>
        <w:tc>
          <w:tcPr>
            <w:tcW w:type="dxa" w:w="1568"/>
            <w:shd w:val="clear" w:color="auto" w:fill="1F5C2E"/>
          </w:tcPr>
          <w:p>
            <w:r>
              <w:rPr>
                <w:b/>
                <w:color w:val="FFFFFF"/>
                <w:sz w:val="18"/>
              </w:rPr>
              <w:t>Suitability</w:t>
            </w:r>
          </w:p>
        </w:tc>
      </w:tr>
      <w:tr>
        <w:tc>
          <w:tcPr>
            <w:tcW w:type="dxa" w:w="1568"/>
            <w:shd w:val="clear" w:color="auto" w:fill="FFFFFF"/>
          </w:tcPr>
          <w:p>
            <w:r>
              <w:rPr>
                <w:sz w:val="18"/>
              </w:rPr>
              <w:t>Traditional Earthen Kiln</w:t>
            </w:r>
          </w:p>
        </w:tc>
        <w:tc>
          <w:tcPr>
            <w:tcW w:type="dxa" w:w="1568"/>
            <w:shd w:val="clear" w:color="auto" w:fill="FFFFFF"/>
          </w:tcPr>
          <w:p>
            <w:r>
              <w:rPr>
                <w:sz w:val="18"/>
              </w:rPr>
              <w:t>300–450</w:t>
            </w:r>
          </w:p>
        </w:tc>
        <w:tc>
          <w:tcPr>
            <w:tcW w:type="dxa" w:w="1568"/>
            <w:shd w:val="clear" w:color="auto" w:fill="FFFFFF"/>
          </w:tcPr>
          <w:p>
            <w:r>
              <w:rPr>
                <w:sz w:val="18"/>
              </w:rPr>
              <w:t>12–24 hrs</w:t>
            </w:r>
          </w:p>
        </w:tc>
        <w:tc>
          <w:tcPr>
            <w:tcW w:type="dxa" w:w="1568"/>
            <w:shd w:val="clear" w:color="auto" w:fill="FFFFFF"/>
          </w:tcPr>
          <w:p>
            <w:r>
              <w:rPr>
                <w:sz w:val="18"/>
              </w:rPr>
              <w:t>38–60 %</w:t>
            </w:r>
          </w:p>
        </w:tc>
        <w:tc>
          <w:tcPr>
            <w:tcW w:type="dxa" w:w="1568"/>
            <w:shd w:val="clear" w:color="auto" w:fill="FFFFFF"/>
          </w:tcPr>
          <w:p>
            <w:r>
              <w:rPr>
                <w:sz w:val="18"/>
              </w:rPr>
              <w:t>$100–300</w:t>
            </w:r>
          </w:p>
        </w:tc>
        <w:tc>
          <w:tcPr>
            <w:tcW w:type="dxa" w:w="1568"/>
            <w:shd w:val="clear" w:color="auto" w:fill="FFFFFF"/>
          </w:tcPr>
          <w:p>
            <w:r>
              <w:rPr>
                <w:sz w:val="18"/>
              </w:rPr>
              <w:t>Very high (rural SSA/Asia)</w:t>
            </w:r>
          </w:p>
        </w:tc>
      </w:tr>
      <w:tr>
        <w:tc>
          <w:tcPr>
            <w:tcW w:type="dxa" w:w="1568"/>
            <w:shd w:val="clear" w:color="auto" w:fill="F2F2F2"/>
          </w:tcPr>
          <w:p>
            <w:r>
              <w:rPr>
                <w:sz w:val="18"/>
              </w:rPr>
              <w:t>Improved Earthen Kiln</w:t>
            </w:r>
          </w:p>
        </w:tc>
        <w:tc>
          <w:tcPr>
            <w:tcW w:type="dxa" w:w="1568"/>
            <w:shd w:val="clear" w:color="auto" w:fill="F2F2F2"/>
          </w:tcPr>
          <w:p>
            <w:r>
              <w:rPr>
                <w:sz w:val="18"/>
              </w:rPr>
              <w:t>350–500</w:t>
            </w:r>
          </w:p>
        </w:tc>
        <w:tc>
          <w:tcPr>
            <w:tcW w:type="dxa" w:w="1568"/>
            <w:shd w:val="clear" w:color="auto" w:fill="F2F2F2"/>
          </w:tcPr>
          <w:p>
            <w:r>
              <w:rPr>
                <w:sz w:val="18"/>
              </w:rPr>
              <w:t>8–18 hrs</w:t>
            </w:r>
          </w:p>
        </w:tc>
        <w:tc>
          <w:tcPr>
            <w:tcW w:type="dxa" w:w="1568"/>
            <w:shd w:val="clear" w:color="auto" w:fill="F2F2F2"/>
          </w:tcPr>
          <w:p>
            <w:r>
              <w:rPr>
                <w:sz w:val="18"/>
              </w:rPr>
              <w:t>45–68 %</w:t>
            </w:r>
          </w:p>
        </w:tc>
        <w:tc>
          <w:tcPr>
            <w:tcW w:type="dxa" w:w="1568"/>
            <w:shd w:val="clear" w:color="auto" w:fill="F2F2F2"/>
          </w:tcPr>
          <w:p>
            <w:r>
              <w:rPr>
                <w:sz w:val="18"/>
              </w:rPr>
              <w:t>$200–500</w:t>
            </w:r>
          </w:p>
        </w:tc>
        <w:tc>
          <w:tcPr>
            <w:tcW w:type="dxa" w:w="1568"/>
            <w:shd w:val="clear" w:color="auto" w:fill="F2F2F2"/>
          </w:tcPr>
          <w:p>
            <w:r>
              <w:rPr>
                <w:sz w:val="18"/>
              </w:rPr>
              <w:t>High</w:t>
            </w:r>
          </w:p>
        </w:tc>
      </w:tr>
      <w:tr>
        <w:tc>
          <w:tcPr>
            <w:tcW w:type="dxa" w:w="1568"/>
            <w:shd w:val="clear" w:color="auto" w:fill="FFFFFF"/>
          </w:tcPr>
          <w:p>
            <w:r>
              <w:rPr>
                <w:sz w:val="18"/>
              </w:rPr>
              <w:t>Metal Drum / TLUD</w:t>
            </w:r>
          </w:p>
        </w:tc>
        <w:tc>
          <w:tcPr>
            <w:tcW w:type="dxa" w:w="1568"/>
            <w:shd w:val="clear" w:color="auto" w:fill="FFFFFF"/>
          </w:tcPr>
          <w:p>
            <w:r>
              <w:rPr>
                <w:sz w:val="18"/>
              </w:rPr>
              <w:t>450–600</w:t>
            </w:r>
          </w:p>
        </w:tc>
        <w:tc>
          <w:tcPr>
            <w:tcW w:type="dxa" w:w="1568"/>
            <w:shd w:val="clear" w:color="auto" w:fill="FFFFFF"/>
          </w:tcPr>
          <w:p>
            <w:r>
              <w:rPr>
                <w:sz w:val="18"/>
              </w:rPr>
              <w:t>4–8 hrs</w:t>
            </w:r>
          </w:p>
        </w:tc>
        <w:tc>
          <w:tcPr>
            <w:tcW w:type="dxa" w:w="1568"/>
            <w:shd w:val="clear" w:color="auto" w:fill="FFFFFF"/>
          </w:tcPr>
          <w:p>
            <w:r>
              <w:rPr>
                <w:sz w:val="18"/>
              </w:rPr>
              <w:t>54–75 %</w:t>
            </w:r>
          </w:p>
        </w:tc>
        <w:tc>
          <w:tcPr>
            <w:tcW w:type="dxa" w:w="1568"/>
            <w:shd w:val="clear" w:color="auto" w:fill="FFFFFF"/>
          </w:tcPr>
          <w:p>
            <w:r>
              <w:rPr>
                <w:sz w:val="18"/>
              </w:rPr>
              <w:t>$800–1,500</w:t>
            </w:r>
          </w:p>
        </w:tc>
        <w:tc>
          <w:tcPr>
            <w:tcW w:type="dxa" w:w="1568"/>
            <w:shd w:val="clear" w:color="auto" w:fill="FFFFFF"/>
          </w:tcPr>
          <w:p>
            <w:r>
              <w:rPr>
                <w:sz w:val="18"/>
              </w:rPr>
              <w:t>High (semi-commercial)</w:t>
            </w:r>
          </w:p>
        </w:tc>
      </w:tr>
      <w:tr>
        <w:tc>
          <w:tcPr>
            <w:tcW w:type="dxa" w:w="1568"/>
            <w:shd w:val="clear" w:color="auto" w:fill="F2F2F2"/>
          </w:tcPr>
          <w:p>
            <w:r>
              <w:rPr>
                <w:sz w:val="18"/>
              </w:rPr>
              <w:t>Retort Kiln (small)</w:t>
            </w:r>
          </w:p>
        </w:tc>
        <w:tc>
          <w:tcPr>
            <w:tcW w:type="dxa" w:w="1568"/>
            <w:shd w:val="clear" w:color="auto" w:fill="F2F2F2"/>
          </w:tcPr>
          <w:p>
            <w:r>
              <w:rPr>
                <w:sz w:val="18"/>
              </w:rPr>
              <w:t>500–650</w:t>
            </w:r>
          </w:p>
        </w:tc>
        <w:tc>
          <w:tcPr>
            <w:tcW w:type="dxa" w:w="1568"/>
            <w:shd w:val="clear" w:color="auto" w:fill="F2F2F2"/>
          </w:tcPr>
          <w:p>
            <w:r>
              <w:rPr>
                <w:sz w:val="18"/>
              </w:rPr>
              <w:t>3–6 hrs</w:t>
            </w:r>
          </w:p>
        </w:tc>
        <w:tc>
          <w:tcPr>
            <w:tcW w:type="dxa" w:w="1568"/>
            <w:shd w:val="clear" w:color="auto" w:fill="F2F2F2"/>
          </w:tcPr>
          <w:p>
            <w:r>
              <w:rPr>
                <w:sz w:val="18"/>
              </w:rPr>
              <w:t>63–82 %</w:t>
            </w:r>
          </w:p>
        </w:tc>
        <w:tc>
          <w:tcPr>
            <w:tcW w:type="dxa" w:w="1568"/>
            <w:shd w:val="clear" w:color="auto" w:fill="F2F2F2"/>
          </w:tcPr>
          <w:p>
            <w:r>
              <w:rPr>
                <w:sz w:val="18"/>
              </w:rPr>
              <w:t>$3,000–6,000</w:t>
            </w:r>
          </w:p>
        </w:tc>
        <w:tc>
          <w:tcPr>
            <w:tcW w:type="dxa" w:w="1568"/>
            <w:shd w:val="clear" w:color="auto" w:fill="F2F2F2"/>
          </w:tcPr>
          <w:p>
            <w:r>
              <w:rPr>
                <w:sz w:val="18"/>
              </w:rPr>
              <w:t>Medium</w:t>
            </w:r>
          </w:p>
        </w:tc>
      </w:tr>
      <w:tr>
        <w:tc>
          <w:tcPr>
            <w:tcW w:type="dxa" w:w="1568"/>
            <w:shd w:val="clear" w:color="auto" w:fill="FFFFFF"/>
          </w:tcPr>
          <w:p>
            <w:r>
              <w:rPr>
                <w:sz w:val="18"/>
              </w:rPr>
              <w:t>Slow Pyrolysis Unit (small)</w:t>
            </w:r>
          </w:p>
        </w:tc>
        <w:tc>
          <w:tcPr>
            <w:tcW w:type="dxa" w:w="1568"/>
            <w:shd w:val="clear" w:color="auto" w:fill="FFFFFF"/>
          </w:tcPr>
          <w:p>
            <w:r>
              <w:rPr>
                <w:sz w:val="18"/>
              </w:rPr>
              <w:t>450–650</w:t>
            </w:r>
          </w:p>
        </w:tc>
        <w:tc>
          <w:tcPr>
            <w:tcW w:type="dxa" w:w="1568"/>
            <w:shd w:val="clear" w:color="auto" w:fill="FFFFFF"/>
          </w:tcPr>
          <w:p>
            <w:r>
              <w:rPr>
                <w:sz w:val="18"/>
              </w:rPr>
              <w:t>2–5 hrs</w:t>
            </w:r>
          </w:p>
        </w:tc>
        <w:tc>
          <w:tcPr>
            <w:tcW w:type="dxa" w:w="1568"/>
            <w:shd w:val="clear" w:color="auto" w:fill="FFFFFF"/>
          </w:tcPr>
          <w:p>
            <w:r>
              <w:rPr>
                <w:sz w:val="18"/>
              </w:rPr>
              <w:t>70–85 %</w:t>
            </w:r>
          </w:p>
        </w:tc>
        <w:tc>
          <w:tcPr>
            <w:tcW w:type="dxa" w:w="1568"/>
            <w:shd w:val="clear" w:color="auto" w:fill="FFFFFF"/>
          </w:tcPr>
          <w:p>
            <w:r>
              <w:rPr>
                <w:sz w:val="18"/>
              </w:rPr>
              <w:t>$25,000–50,000</w:t>
            </w:r>
          </w:p>
        </w:tc>
        <w:tc>
          <w:tcPr>
            <w:tcW w:type="dxa" w:w="1568"/>
            <w:shd w:val="clear" w:color="auto" w:fill="FFFFFF"/>
          </w:tcPr>
          <w:p>
            <w:r>
              <w:rPr>
                <w:sz w:val="18"/>
              </w:rPr>
              <w:t>Low–Medium</w:t>
            </w:r>
          </w:p>
        </w:tc>
      </w:tr>
    </w:tbl>
    <w:p/>
    <w:p>
      <w:pPr>
        <w:pStyle w:val="Heading2"/>
      </w:pPr>
      <w:r>
        <w:rPr>
          <w:color w:val="2E8B57"/>
        </w:rPr>
        <w:t>3.1 Traditional Earthen Kilns</w:t>
      </w:r>
    </w:p>
    <w:p>
      <w:pPr>
        <w:spacing w:after="120"/>
      </w:pPr>
      <w:r>
        <w:rPr>
          <w:b w:val="0"/>
          <w:i w:val="0"/>
        </w:rPr>
        <w:t>The most widely deployed artisanal method globally, earthen mound kilns are constructed by stacking biomass in a mound covered with soil and lit from the base. They require no capital expenditure beyond labour and are operated by millions of households across Sub-Saharan Africa and South Asia. Their primary limitation is low and variable carbon content (38–60 %) and significant methane and smoke emissions. They nevertheless represent the entry point for biochar carbon projects in the least-developed regions.</w:t>
      </w:r>
    </w:p>
    <w:p>
      <w:pPr>
        <w:pStyle w:val="Heading2"/>
      </w:pPr>
      <w:r>
        <w:rPr>
          <w:color w:val="2E8B57"/>
        </w:rPr>
        <w:t>3.2 Improved Earthen Kilns</w:t>
      </w:r>
    </w:p>
    <w:p>
      <w:pPr>
        <w:spacing w:after="120"/>
      </w:pPr>
      <w:r>
        <w:rPr>
          <w:b w:val="0"/>
          <w:i w:val="0"/>
        </w:rPr>
        <w:t>Simple modifications—primarily adding a chimney and improving air-flow management—can increase carbonisation efficiency by 15–25 %, raising average carbon content to 45–68 % while reducing CH₄ emissions by approximately 50 %. Improved kilns have been successfully disseminated at scale in Kenya, Uganda, India, and Brazil through NGO and government programmes.</w:t>
      </w:r>
    </w:p>
    <w:p>
      <w:pPr>
        <w:pStyle w:val="Heading2"/>
      </w:pPr>
      <w:r>
        <w:rPr>
          <w:color w:val="2E8B57"/>
        </w:rPr>
        <w:t>3.3 Top-Lit Updraft (TLUD) Drum Kilns</w:t>
      </w:r>
    </w:p>
    <w:p>
      <w:pPr>
        <w:spacing w:after="120"/>
      </w:pPr>
      <w:r>
        <w:rPr>
          <w:b w:val="0"/>
          <w:i w:val="0"/>
        </w:rPr>
        <w:t>The TLUD drum kiln—typically fabricated from a 200-litre steel drum with a controlled air-inlet at the base and a chimney—achieves significantly higher and more consistent carbonisation temperatures (450–600 °C). Carbon content of 54–75 % is reliably achievable. At approximately USD 800–1,500 per unit, TLUD kilns are affordable for small cooperatives and represent the sweet spot between cost, quality, and carbon credit eligibility under current IBI and EBC standards.</w:t>
      </w:r>
    </w:p>
    <w:p>
      <w:pPr>
        <w:pStyle w:val="Heading2"/>
      </w:pPr>
      <w:r>
        <w:rPr>
          <w:color w:val="2E8B57"/>
        </w:rPr>
        <w:t>3.4 Retort Kilns</w:t>
      </w:r>
    </w:p>
    <w:p>
      <w:pPr>
        <w:spacing w:after="120"/>
      </w:pPr>
      <w:r>
        <w:rPr>
          <w:b w:val="0"/>
          <w:i w:val="0"/>
        </w:rPr>
        <w:t>Retort kilns use the combustible pyrolysis gases generated during carbonisation to self-fuel the process, dramatically reducing energy requirements and emissions. They produce biochar with C-content of 63–82 % and can qualify for the highest-tier carbon credits. At USD 3,000–18,000 for small to medium units, they require either group financing, carbon-credit pre-payment, or development-finance support for artisanal adopters.</w:t>
      </w:r>
    </w:p>
    <w:p>
      <w:r>
        <w:br w:type="page"/>
      </w:r>
    </w:p>
    <w:p>
      <w:pPr>
        <w:pStyle w:val="Heading1"/>
      </w:pPr>
      <w:r>
        <w:rPr>
          <w:color w:val="1F5C2E"/>
        </w:rPr>
        <w:t>4. Global Production Statistics (2023)</w:t>
      </w:r>
    </w:p>
    <w:p>
      <w:pPr>
        <w:spacing w:after="120"/>
      </w:pPr>
      <w:r>
        <w:rPr>
          <w:b w:val="0"/>
          <w:i w:val="0"/>
        </w:rPr>
        <w:t>Global artisanal biochar production was estimated at approximately 503,000 tonnes in 2023, representing a compound annual growth rate of approximately 15 % since 2018. The following table summarises production by region.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5C2E"/>
          </w:tcPr>
          <w:p>
            <w:r>
              <w:rPr>
                <w:b/>
                <w:color w:val="FFFFFF"/>
                <w:sz w:val="18"/>
              </w:rPr>
              <w:t>Region</w:t>
            </w:r>
          </w:p>
        </w:tc>
        <w:tc>
          <w:tcPr>
            <w:tcW w:type="dxa" w:w="1881"/>
            <w:shd w:val="clear" w:color="auto" w:fill="1F5C2E"/>
          </w:tcPr>
          <w:p>
            <w:r>
              <w:rPr>
                <w:b/>
                <w:color w:val="FFFFFF"/>
                <w:sz w:val="18"/>
              </w:rPr>
              <w:t>2021 ('000 t)</w:t>
            </w:r>
          </w:p>
        </w:tc>
        <w:tc>
          <w:tcPr>
            <w:tcW w:type="dxa" w:w="1881"/>
            <w:shd w:val="clear" w:color="auto" w:fill="1F5C2E"/>
          </w:tcPr>
          <w:p>
            <w:r>
              <w:rPr>
                <w:b/>
                <w:color w:val="FFFFFF"/>
                <w:sz w:val="18"/>
              </w:rPr>
              <w:t>2022 ('000 t)</w:t>
            </w:r>
          </w:p>
        </w:tc>
        <w:tc>
          <w:tcPr>
            <w:tcW w:type="dxa" w:w="1881"/>
            <w:shd w:val="clear" w:color="auto" w:fill="1F5C2E"/>
          </w:tcPr>
          <w:p>
            <w:r>
              <w:rPr>
                <w:b/>
                <w:color w:val="FFFFFF"/>
                <w:sz w:val="18"/>
              </w:rPr>
              <w:t>2023 ('000 t)</w:t>
            </w:r>
          </w:p>
        </w:tc>
        <w:tc>
          <w:tcPr>
            <w:tcW w:type="dxa" w:w="1881"/>
            <w:shd w:val="clear" w:color="auto" w:fill="1F5C2E"/>
          </w:tcPr>
          <w:p>
            <w:r>
              <w:rPr>
                <w:b/>
                <w:color w:val="FFFFFF"/>
                <w:sz w:val="18"/>
              </w:rPr>
              <w:t>YoY Growth</w:t>
            </w:r>
          </w:p>
        </w:tc>
      </w:tr>
      <w:tr>
        <w:tc>
          <w:tcPr>
            <w:tcW w:type="dxa" w:w="1881"/>
            <w:shd w:val="clear" w:color="auto" w:fill="FFFFFF"/>
          </w:tcPr>
          <w:p>
            <w:r>
              <w:rPr>
                <w:sz w:val="18"/>
              </w:rPr>
              <w:t>Sub-Saharan Africa</w:t>
            </w:r>
          </w:p>
        </w:tc>
        <w:tc>
          <w:tcPr>
            <w:tcW w:type="dxa" w:w="1881"/>
            <w:shd w:val="clear" w:color="auto" w:fill="FFFFFF"/>
          </w:tcPr>
          <w:p>
            <w:r>
              <w:rPr>
                <w:sz w:val="18"/>
              </w:rPr>
              <w:t>62</w:t>
            </w:r>
          </w:p>
        </w:tc>
        <w:tc>
          <w:tcPr>
            <w:tcW w:type="dxa" w:w="1881"/>
            <w:shd w:val="clear" w:color="auto" w:fill="FFFFFF"/>
          </w:tcPr>
          <w:p>
            <w:r>
              <w:rPr>
                <w:sz w:val="18"/>
              </w:rPr>
              <w:t>71</w:t>
            </w:r>
          </w:p>
        </w:tc>
        <w:tc>
          <w:tcPr>
            <w:tcW w:type="dxa" w:w="1881"/>
            <w:shd w:val="clear" w:color="auto" w:fill="FFFFFF"/>
          </w:tcPr>
          <w:p>
            <w:r>
              <w:rPr>
                <w:sz w:val="18"/>
              </w:rPr>
              <w:t>83</w:t>
            </w:r>
          </w:p>
        </w:tc>
        <w:tc>
          <w:tcPr>
            <w:tcW w:type="dxa" w:w="1881"/>
            <w:shd w:val="clear" w:color="auto" w:fill="FFFFFF"/>
          </w:tcPr>
          <w:p>
            <w:r>
              <w:rPr>
                <w:sz w:val="18"/>
              </w:rPr>
              <w:t>+16.9 %</w:t>
            </w:r>
          </w:p>
        </w:tc>
      </w:tr>
      <w:tr>
        <w:tc>
          <w:tcPr>
            <w:tcW w:type="dxa" w:w="1881"/>
            <w:shd w:val="clear" w:color="auto" w:fill="F2F2F2"/>
          </w:tcPr>
          <w:p>
            <w:r>
              <w:rPr>
                <w:sz w:val="18"/>
              </w:rPr>
              <w:t>South &amp; SE Asia</w:t>
            </w:r>
          </w:p>
        </w:tc>
        <w:tc>
          <w:tcPr>
            <w:tcW w:type="dxa" w:w="1881"/>
            <w:shd w:val="clear" w:color="auto" w:fill="F2F2F2"/>
          </w:tcPr>
          <w:p>
            <w:r>
              <w:rPr>
                <w:sz w:val="18"/>
              </w:rPr>
              <w:t>105</w:t>
            </w:r>
          </w:p>
        </w:tc>
        <w:tc>
          <w:tcPr>
            <w:tcW w:type="dxa" w:w="1881"/>
            <w:shd w:val="clear" w:color="auto" w:fill="F2F2F2"/>
          </w:tcPr>
          <w:p>
            <w:r>
              <w:rPr>
                <w:sz w:val="18"/>
              </w:rPr>
              <w:t>122</w:t>
            </w:r>
          </w:p>
        </w:tc>
        <w:tc>
          <w:tcPr>
            <w:tcW w:type="dxa" w:w="1881"/>
            <w:shd w:val="clear" w:color="auto" w:fill="F2F2F2"/>
          </w:tcPr>
          <w:p>
            <w:r>
              <w:rPr>
                <w:sz w:val="18"/>
              </w:rPr>
              <w:t>140</w:t>
            </w:r>
          </w:p>
        </w:tc>
        <w:tc>
          <w:tcPr>
            <w:tcW w:type="dxa" w:w="1881"/>
            <w:shd w:val="clear" w:color="auto" w:fill="F2F2F2"/>
          </w:tcPr>
          <w:p>
            <w:r>
              <w:rPr>
                <w:sz w:val="18"/>
              </w:rPr>
              <w:t>+14.8 %</w:t>
            </w:r>
          </w:p>
        </w:tc>
      </w:tr>
      <w:tr>
        <w:tc>
          <w:tcPr>
            <w:tcW w:type="dxa" w:w="1881"/>
            <w:shd w:val="clear" w:color="auto" w:fill="FFFFFF"/>
          </w:tcPr>
          <w:p>
            <w:r>
              <w:rPr>
                <w:sz w:val="18"/>
              </w:rPr>
              <w:t>Latin America</w:t>
            </w:r>
          </w:p>
        </w:tc>
        <w:tc>
          <w:tcPr>
            <w:tcW w:type="dxa" w:w="1881"/>
            <w:shd w:val="clear" w:color="auto" w:fill="FFFFFF"/>
          </w:tcPr>
          <w:p>
            <w:r>
              <w:rPr>
                <w:sz w:val="18"/>
              </w:rPr>
              <w:t>47</w:t>
            </w:r>
          </w:p>
        </w:tc>
        <w:tc>
          <w:tcPr>
            <w:tcW w:type="dxa" w:w="1881"/>
            <w:shd w:val="clear" w:color="auto" w:fill="FFFFFF"/>
          </w:tcPr>
          <w:p>
            <w:r>
              <w:rPr>
                <w:sz w:val="18"/>
              </w:rPr>
              <w:t>55</w:t>
            </w:r>
          </w:p>
        </w:tc>
        <w:tc>
          <w:tcPr>
            <w:tcW w:type="dxa" w:w="1881"/>
            <w:shd w:val="clear" w:color="auto" w:fill="FFFFFF"/>
          </w:tcPr>
          <w:p>
            <w:r>
              <w:rPr>
                <w:sz w:val="18"/>
              </w:rPr>
              <w:t>65</w:t>
            </w:r>
          </w:p>
        </w:tc>
        <w:tc>
          <w:tcPr>
            <w:tcW w:type="dxa" w:w="1881"/>
            <w:shd w:val="clear" w:color="auto" w:fill="FFFFFF"/>
          </w:tcPr>
          <w:p>
            <w:r>
              <w:rPr>
                <w:sz w:val="18"/>
              </w:rPr>
              <w:t>+18.2 %</w:t>
            </w:r>
          </w:p>
        </w:tc>
      </w:tr>
      <w:tr>
        <w:tc>
          <w:tcPr>
            <w:tcW w:type="dxa" w:w="1881"/>
            <w:shd w:val="clear" w:color="auto" w:fill="F2F2F2"/>
          </w:tcPr>
          <w:p>
            <w:r>
              <w:rPr>
                <w:sz w:val="18"/>
              </w:rPr>
              <w:t>East Asia (small-scale)</w:t>
            </w:r>
          </w:p>
        </w:tc>
        <w:tc>
          <w:tcPr>
            <w:tcW w:type="dxa" w:w="1881"/>
            <w:shd w:val="clear" w:color="auto" w:fill="F2F2F2"/>
          </w:tcPr>
          <w:p>
            <w:r>
              <w:rPr>
                <w:sz w:val="18"/>
              </w:rPr>
              <w:t>138</w:t>
            </w:r>
          </w:p>
        </w:tc>
        <w:tc>
          <w:tcPr>
            <w:tcW w:type="dxa" w:w="1881"/>
            <w:shd w:val="clear" w:color="auto" w:fill="F2F2F2"/>
          </w:tcPr>
          <w:p>
            <w:r>
              <w:rPr>
                <w:sz w:val="18"/>
              </w:rPr>
              <w:t>155</w:t>
            </w:r>
          </w:p>
        </w:tc>
        <w:tc>
          <w:tcPr>
            <w:tcW w:type="dxa" w:w="1881"/>
            <w:shd w:val="clear" w:color="auto" w:fill="F2F2F2"/>
          </w:tcPr>
          <w:p>
            <w:r>
              <w:rPr>
                <w:sz w:val="18"/>
              </w:rPr>
              <w:t>175</w:t>
            </w:r>
          </w:p>
        </w:tc>
        <w:tc>
          <w:tcPr>
            <w:tcW w:type="dxa" w:w="1881"/>
            <w:shd w:val="clear" w:color="auto" w:fill="F2F2F2"/>
          </w:tcPr>
          <w:p>
            <w:r>
              <w:rPr>
                <w:sz w:val="18"/>
              </w:rPr>
              <w:t>+12.9 %</w:t>
            </w:r>
          </w:p>
        </w:tc>
      </w:tr>
      <w:tr>
        <w:tc>
          <w:tcPr>
            <w:tcW w:type="dxa" w:w="1881"/>
            <w:shd w:val="clear" w:color="auto" w:fill="FFFFFF"/>
          </w:tcPr>
          <w:p>
            <w:r>
              <w:rPr>
                <w:sz w:val="18"/>
              </w:rPr>
              <w:t>Rest of World</w:t>
            </w:r>
          </w:p>
        </w:tc>
        <w:tc>
          <w:tcPr>
            <w:tcW w:type="dxa" w:w="1881"/>
            <w:shd w:val="clear" w:color="auto" w:fill="FFFFFF"/>
          </w:tcPr>
          <w:p>
            <w:r>
              <w:rPr>
                <w:sz w:val="18"/>
              </w:rPr>
              <w:t>27</w:t>
            </w:r>
          </w:p>
        </w:tc>
        <w:tc>
          <w:tcPr>
            <w:tcW w:type="dxa" w:w="1881"/>
            <w:shd w:val="clear" w:color="auto" w:fill="FFFFFF"/>
          </w:tcPr>
          <w:p>
            <w:r>
              <w:rPr>
                <w:sz w:val="18"/>
              </w:rPr>
              <w:t>33</w:t>
            </w:r>
          </w:p>
        </w:tc>
        <w:tc>
          <w:tcPr>
            <w:tcW w:type="dxa" w:w="1881"/>
            <w:shd w:val="clear" w:color="auto" w:fill="FFFFFF"/>
          </w:tcPr>
          <w:p>
            <w:r>
              <w:rPr>
                <w:sz w:val="18"/>
              </w:rPr>
              <w:t>40</w:t>
            </w:r>
          </w:p>
        </w:tc>
        <w:tc>
          <w:tcPr>
            <w:tcW w:type="dxa" w:w="1881"/>
            <w:shd w:val="clear" w:color="auto" w:fill="FFFFFF"/>
          </w:tcPr>
          <w:p>
            <w:r>
              <w:rPr>
                <w:sz w:val="18"/>
              </w:rPr>
              <w:t>+21.2 %</w:t>
            </w:r>
          </w:p>
        </w:tc>
      </w:tr>
      <w:tr>
        <w:tc>
          <w:tcPr>
            <w:tcW w:type="dxa" w:w="1881"/>
            <w:shd w:val="clear" w:color="auto" w:fill="F2F2F2"/>
          </w:tcPr>
          <w:p>
            <w:r>
              <w:rPr>
                <w:sz w:val="18"/>
              </w:rPr>
              <w:t>TOTAL</w:t>
            </w:r>
          </w:p>
        </w:tc>
        <w:tc>
          <w:tcPr>
            <w:tcW w:type="dxa" w:w="1881"/>
            <w:shd w:val="clear" w:color="auto" w:fill="F2F2F2"/>
          </w:tcPr>
          <w:p>
            <w:r>
              <w:rPr>
                <w:sz w:val="18"/>
              </w:rPr>
              <w:t>379</w:t>
            </w:r>
          </w:p>
        </w:tc>
        <w:tc>
          <w:tcPr>
            <w:tcW w:type="dxa" w:w="1881"/>
            <w:shd w:val="clear" w:color="auto" w:fill="F2F2F2"/>
          </w:tcPr>
          <w:p>
            <w:r>
              <w:rPr>
                <w:sz w:val="18"/>
              </w:rPr>
              <w:t>436</w:t>
            </w:r>
          </w:p>
        </w:tc>
        <w:tc>
          <w:tcPr>
            <w:tcW w:type="dxa" w:w="1881"/>
            <w:shd w:val="clear" w:color="auto" w:fill="F2F2F2"/>
          </w:tcPr>
          <w:p>
            <w:r>
              <w:rPr>
                <w:sz w:val="18"/>
              </w:rPr>
              <w:t>503</w:t>
            </w:r>
          </w:p>
        </w:tc>
        <w:tc>
          <w:tcPr>
            <w:tcW w:type="dxa" w:w="1881"/>
            <w:shd w:val="clear" w:color="auto" w:fill="F2F2F2"/>
          </w:tcPr>
          <w:p>
            <w:r>
              <w:rPr>
                <w:sz w:val="18"/>
              </w:rPr>
              <w:t>+15.4 %</w:t>
            </w:r>
          </w:p>
        </w:tc>
      </w:tr>
    </w:tbl>
    <w:p/>
    <w:p>
      <w:pPr>
        <w:spacing w:after="120"/>
      </w:pPr>
      <w:r>
        <w:rPr>
          <w:b w:val="0"/>
          <w:i w:val="0"/>
        </w:rPr>
        <w:t>South and Southeast Asia dominates artisanal production, led by India, Indonesia, and Vietnam, where agricultural residue availability is highest. Sub-Saharan Africa shows the fastest emerging growth, supported by international climate finance programmes. East Asia production is predominantly traditional charcoal making that is being reclassified and upgraded as biochar projects for carbon market access.</w:t>
      </w:r>
    </w:p>
    <w:p>
      <w:pPr>
        <w:pStyle w:val="Heading2"/>
      </w:pPr>
      <w:r>
        <w:rPr>
          <w:color w:val="2E8B57"/>
        </w:rPr>
        <w:t>4.1 Feedstock Availability</w:t>
      </w:r>
    </w:p>
    <w:p>
      <w:pPr>
        <w:spacing w:after="120"/>
      </w:pPr>
      <w:r>
        <w:rPr>
          <w:b w:val="0"/>
          <w:i w:val="0"/>
        </w:rPr>
        <w:t>FAO estimates global agricultural residue availability at over 5 billion tonnes per year, of which approximately 1.2 billion tonnes is technically accessible in the target regions for artisanal biochar without compromising soil health (using a 30 % harvest rate). At an average yield of 28 %, this represents a theoretical production potential of 336 million tonnes of biochar per year from agricultural residues alone—more than 650 times current artisanal production, highlighting the enormous scale-up opportunity.</w:t>
      </w:r>
    </w:p>
    <w:p>
      <w:r>
        <w:br w:type="page"/>
      </w:r>
    </w:p>
    <w:p>
      <w:pPr>
        <w:pStyle w:val="Heading1"/>
      </w:pPr>
      <w:r>
        <w:rPr>
          <w:color w:val="1F5C2E"/>
        </w:rPr>
        <w:t>5. Carbon Sequestration &amp; Default Emission Factors</w:t>
      </w:r>
    </w:p>
    <w:p>
      <w:pPr>
        <w:pStyle w:val="Heading2"/>
      </w:pPr>
      <w:r>
        <w:rPr>
          <w:color w:val="2E8B57"/>
        </w:rPr>
        <w:t>5.1 Carbon Accounting Methodology</w:t>
      </w:r>
    </w:p>
    <w:p>
      <w:pPr>
        <w:spacing w:after="120"/>
      </w:pPr>
      <w:r>
        <w:rPr>
          <w:b w:val="0"/>
          <w:i w:val="0"/>
        </w:rPr>
        <w:t>The IBI/EBC Perm-C method calculates net GHG benefit as:</w:t>
      </w:r>
    </w:p>
    <w:p>
      <w:pPr>
        <w:spacing w:after="120"/>
      </w:pPr>
      <w:r>
        <w:rPr>
          <w:b/>
          <w:i w:val="0"/>
        </w:rPr>
        <w:t>Net GHG Benefit = [Stable-C × (44/12)] − [Upstream Emissions] − [Application Emissions]</w:t>
      </w:r>
    </w:p>
    <w:p>
      <w:pPr>
        <w:spacing w:after="120"/>
      </w:pPr>
      <w:r>
        <w:rPr>
          <w:b w:val="0"/>
          <w:i w:val="0"/>
        </w:rPr>
        <w:t>Where Stable-C is the fraction of total carbon that persists for more than 100 years. The H:C_org ratio is used as a proxy for stability: H:C_org &lt; 0.4 qualifies as Class 1 (most stable), &lt; 0.7 as Class 2 under EBC-C-Sink certification.</w:t>
      </w:r>
    </w:p>
    <w:p>
      <w:pPr>
        <w:pStyle w:val="Heading2"/>
      </w:pPr>
      <w:r>
        <w:rPr>
          <w:color w:val="2E8B57"/>
        </w:rPr>
        <w:t>5.2 Default Emission Factors by Technology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5C2E"/>
          </w:tcPr>
          <w:p>
            <w:r>
              <w:rPr>
                <w:b/>
                <w:color w:val="FFFFFF"/>
                <w:sz w:val="18"/>
              </w:rPr>
              <w:t>Technology</w:t>
            </w:r>
          </w:p>
        </w:tc>
        <w:tc>
          <w:tcPr>
            <w:tcW w:type="dxa" w:w="1568"/>
            <w:shd w:val="clear" w:color="auto" w:fill="1F5C2E"/>
          </w:tcPr>
          <w:p>
            <w:r>
              <w:rPr>
                <w:b/>
                <w:color w:val="FFFFFF"/>
                <w:sz w:val="18"/>
              </w:rPr>
              <w:t>GHG Saved (tCO₂e/t)</w:t>
            </w:r>
          </w:p>
        </w:tc>
        <w:tc>
          <w:tcPr>
            <w:tcW w:type="dxa" w:w="1568"/>
            <w:shd w:val="clear" w:color="auto" w:fill="1F5C2E"/>
          </w:tcPr>
          <w:p>
            <w:r>
              <w:rPr>
                <w:b/>
                <w:color w:val="FFFFFF"/>
                <w:sz w:val="18"/>
              </w:rPr>
              <w:t>CH₄ (kg/t)</w:t>
            </w:r>
          </w:p>
        </w:tc>
        <w:tc>
          <w:tcPr>
            <w:tcW w:type="dxa" w:w="1568"/>
            <w:shd w:val="clear" w:color="auto" w:fill="1F5C2E"/>
          </w:tcPr>
          <w:p>
            <w:r>
              <w:rPr>
                <w:b/>
                <w:color w:val="FFFFFF"/>
                <w:sz w:val="18"/>
              </w:rPr>
              <w:t>N₂O (g/t)</w:t>
            </w:r>
          </w:p>
        </w:tc>
        <w:tc>
          <w:tcPr>
            <w:tcW w:type="dxa" w:w="1568"/>
            <w:shd w:val="clear" w:color="auto" w:fill="1F5C2E"/>
          </w:tcPr>
          <w:p>
            <w:r>
              <w:rPr>
                <w:b/>
                <w:color w:val="FFFFFF"/>
                <w:sz w:val="18"/>
              </w:rPr>
              <w:t>H:C Ratio</w:t>
            </w:r>
          </w:p>
        </w:tc>
        <w:tc>
          <w:tcPr>
            <w:tcW w:type="dxa" w:w="1568"/>
            <w:shd w:val="clear" w:color="auto" w:fill="1F5C2E"/>
          </w:tcPr>
          <w:p>
            <w:r>
              <w:rPr>
                <w:b/>
                <w:color w:val="FFFFFF"/>
                <w:sz w:val="18"/>
              </w:rPr>
              <w:t>EBC Class</w:t>
            </w:r>
          </w:p>
        </w:tc>
      </w:tr>
      <w:tr>
        <w:tc>
          <w:tcPr>
            <w:tcW w:type="dxa" w:w="1568"/>
            <w:shd w:val="clear" w:color="auto" w:fill="FFFFFF"/>
          </w:tcPr>
          <w:p>
            <w:r>
              <w:rPr>
                <w:sz w:val="18"/>
              </w:rPr>
              <w:t>Traditional Earthen Kiln</w:t>
            </w:r>
          </w:p>
        </w:tc>
        <w:tc>
          <w:tcPr>
            <w:tcW w:type="dxa" w:w="1568"/>
            <w:shd w:val="clear" w:color="auto" w:fill="FFFFFF"/>
          </w:tcPr>
          <w:p>
            <w:r>
              <w:rPr>
                <w:sz w:val="18"/>
              </w:rPr>
              <w:t>1.8</w:t>
            </w:r>
          </w:p>
        </w:tc>
        <w:tc>
          <w:tcPr>
            <w:tcW w:type="dxa" w:w="1568"/>
            <w:shd w:val="clear" w:color="auto" w:fill="FFFFFF"/>
          </w:tcPr>
          <w:p>
            <w:r>
              <w:rPr>
                <w:sz w:val="18"/>
              </w:rPr>
              <w:t>22.0</w:t>
            </w:r>
          </w:p>
        </w:tc>
        <w:tc>
          <w:tcPr>
            <w:tcW w:type="dxa" w:w="1568"/>
            <w:shd w:val="clear" w:color="auto" w:fill="FFFFFF"/>
          </w:tcPr>
          <w:p>
            <w:r>
              <w:rPr>
                <w:sz w:val="18"/>
              </w:rPr>
              <w:t>410</w:t>
            </w:r>
          </w:p>
        </w:tc>
        <w:tc>
          <w:tcPr>
            <w:tcW w:type="dxa" w:w="1568"/>
            <w:shd w:val="clear" w:color="auto" w:fill="FFFFFF"/>
          </w:tcPr>
          <w:p>
            <w:r>
              <w:rPr>
                <w:sz w:val="18"/>
              </w:rPr>
              <w:t>&gt;0.7</w:t>
            </w:r>
          </w:p>
        </w:tc>
        <w:tc>
          <w:tcPr>
            <w:tcW w:type="dxa" w:w="1568"/>
            <w:shd w:val="clear" w:color="auto" w:fill="FFFFFF"/>
          </w:tcPr>
          <w:p>
            <w:r>
              <w:rPr>
                <w:sz w:val="18"/>
              </w:rPr>
              <w:t>Not eligible</w:t>
            </w:r>
          </w:p>
        </w:tc>
      </w:tr>
      <w:tr>
        <w:tc>
          <w:tcPr>
            <w:tcW w:type="dxa" w:w="1568"/>
            <w:shd w:val="clear" w:color="auto" w:fill="F2F2F2"/>
          </w:tcPr>
          <w:p>
            <w:r>
              <w:rPr>
                <w:sz w:val="18"/>
              </w:rPr>
              <w:t>Improved Earthen Kiln</w:t>
            </w:r>
          </w:p>
        </w:tc>
        <w:tc>
          <w:tcPr>
            <w:tcW w:type="dxa" w:w="1568"/>
            <w:shd w:val="clear" w:color="auto" w:fill="F2F2F2"/>
          </w:tcPr>
          <w:p>
            <w:r>
              <w:rPr>
                <w:sz w:val="18"/>
              </w:rPr>
              <w:t>2.4</w:t>
            </w:r>
          </w:p>
        </w:tc>
        <w:tc>
          <w:tcPr>
            <w:tcW w:type="dxa" w:w="1568"/>
            <w:shd w:val="clear" w:color="auto" w:fill="F2F2F2"/>
          </w:tcPr>
          <w:p>
            <w:r>
              <w:rPr>
                <w:sz w:val="18"/>
              </w:rPr>
              <w:t>12.0</w:t>
            </w:r>
          </w:p>
        </w:tc>
        <w:tc>
          <w:tcPr>
            <w:tcW w:type="dxa" w:w="1568"/>
            <w:shd w:val="clear" w:color="auto" w:fill="F2F2F2"/>
          </w:tcPr>
          <w:p>
            <w:r>
              <w:rPr>
                <w:sz w:val="18"/>
              </w:rPr>
              <w:t>280</w:t>
            </w:r>
          </w:p>
        </w:tc>
        <w:tc>
          <w:tcPr>
            <w:tcW w:type="dxa" w:w="1568"/>
            <w:shd w:val="clear" w:color="auto" w:fill="F2F2F2"/>
          </w:tcPr>
          <w:p>
            <w:r>
              <w:rPr>
                <w:sz w:val="18"/>
              </w:rPr>
              <w:t>0.5–0.7</w:t>
            </w:r>
          </w:p>
        </w:tc>
        <w:tc>
          <w:tcPr>
            <w:tcW w:type="dxa" w:w="1568"/>
            <w:shd w:val="clear" w:color="auto" w:fill="F2F2F2"/>
          </w:tcPr>
          <w:p>
            <w:r>
              <w:rPr>
                <w:sz w:val="18"/>
              </w:rPr>
              <w:t>Class 2 possible</w:t>
            </w:r>
          </w:p>
        </w:tc>
      </w:tr>
      <w:tr>
        <w:tc>
          <w:tcPr>
            <w:tcW w:type="dxa" w:w="1568"/>
            <w:shd w:val="clear" w:color="auto" w:fill="FFFFFF"/>
          </w:tcPr>
          <w:p>
            <w:r>
              <w:rPr>
                <w:sz w:val="18"/>
              </w:rPr>
              <w:t>Metal Drum / TLUD</w:t>
            </w:r>
          </w:p>
        </w:tc>
        <w:tc>
          <w:tcPr>
            <w:tcW w:type="dxa" w:w="1568"/>
            <w:shd w:val="clear" w:color="auto" w:fill="FFFFFF"/>
          </w:tcPr>
          <w:p>
            <w:r>
              <w:rPr>
                <w:sz w:val="18"/>
              </w:rPr>
              <w:t>2.8</w:t>
            </w:r>
          </w:p>
        </w:tc>
        <w:tc>
          <w:tcPr>
            <w:tcW w:type="dxa" w:w="1568"/>
            <w:shd w:val="clear" w:color="auto" w:fill="FFFFFF"/>
          </w:tcPr>
          <w:p>
            <w:r>
              <w:rPr>
                <w:sz w:val="18"/>
              </w:rPr>
              <w:t>6.5</w:t>
            </w:r>
          </w:p>
        </w:tc>
        <w:tc>
          <w:tcPr>
            <w:tcW w:type="dxa" w:w="1568"/>
            <w:shd w:val="clear" w:color="auto" w:fill="FFFFFF"/>
          </w:tcPr>
          <w:p>
            <w:r>
              <w:rPr>
                <w:sz w:val="18"/>
              </w:rPr>
              <w:t>190</w:t>
            </w:r>
          </w:p>
        </w:tc>
        <w:tc>
          <w:tcPr>
            <w:tcW w:type="dxa" w:w="1568"/>
            <w:shd w:val="clear" w:color="auto" w:fill="FFFFFF"/>
          </w:tcPr>
          <w:p>
            <w:r>
              <w:rPr>
                <w:sz w:val="18"/>
              </w:rPr>
              <w:t>0.4–0.5</w:t>
            </w:r>
          </w:p>
        </w:tc>
        <w:tc>
          <w:tcPr>
            <w:tcW w:type="dxa" w:w="1568"/>
            <w:shd w:val="clear" w:color="auto" w:fill="FFFFFF"/>
          </w:tcPr>
          <w:p>
            <w:r>
              <w:rPr>
                <w:sz w:val="18"/>
              </w:rPr>
              <w:t>Class 2</w:t>
            </w:r>
          </w:p>
        </w:tc>
      </w:tr>
      <w:tr>
        <w:tc>
          <w:tcPr>
            <w:tcW w:type="dxa" w:w="1568"/>
            <w:shd w:val="clear" w:color="auto" w:fill="F2F2F2"/>
          </w:tcPr>
          <w:p>
            <w:r>
              <w:rPr>
                <w:sz w:val="18"/>
              </w:rPr>
              <w:t>Retort Kiln (small)</w:t>
            </w:r>
          </w:p>
        </w:tc>
        <w:tc>
          <w:tcPr>
            <w:tcW w:type="dxa" w:w="1568"/>
            <w:shd w:val="clear" w:color="auto" w:fill="F2F2F2"/>
          </w:tcPr>
          <w:p>
            <w:r>
              <w:rPr>
                <w:sz w:val="18"/>
              </w:rPr>
              <w:t>3.1</w:t>
            </w:r>
          </w:p>
        </w:tc>
        <w:tc>
          <w:tcPr>
            <w:tcW w:type="dxa" w:w="1568"/>
            <w:shd w:val="clear" w:color="auto" w:fill="F2F2F2"/>
          </w:tcPr>
          <w:p>
            <w:r>
              <w:rPr>
                <w:sz w:val="18"/>
              </w:rPr>
              <w:t>3.2</w:t>
            </w:r>
          </w:p>
        </w:tc>
        <w:tc>
          <w:tcPr>
            <w:tcW w:type="dxa" w:w="1568"/>
            <w:shd w:val="clear" w:color="auto" w:fill="F2F2F2"/>
          </w:tcPr>
          <w:p>
            <w:r>
              <w:rPr>
                <w:sz w:val="18"/>
              </w:rPr>
              <w:t>120</w:t>
            </w:r>
          </w:p>
        </w:tc>
        <w:tc>
          <w:tcPr>
            <w:tcW w:type="dxa" w:w="1568"/>
            <w:shd w:val="clear" w:color="auto" w:fill="F2F2F2"/>
          </w:tcPr>
          <w:p>
            <w:r>
              <w:rPr>
                <w:sz w:val="18"/>
              </w:rPr>
              <w:t>0.3–0.4</w:t>
            </w:r>
          </w:p>
        </w:tc>
        <w:tc>
          <w:tcPr>
            <w:tcW w:type="dxa" w:w="1568"/>
            <w:shd w:val="clear" w:color="auto" w:fill="F2F2F2"/>
          </w:tcPr>
          <w:p>
            <w:r>
              <w:rPr>
                <w:sz w:val="18"/>
              </w:rPr>
              <w:t>Class 1/2</w:t>
            </w:r>
          </w:p>
        </w:tc>
      </w:tr>
      <w:tr>
        <w:tc>
          <w:tcPr>
            <w:tcW w:type="dxa" w:w="1568"/>
            <w:shd w:val="clear" w:color="auto" w:fill="FFFFFF"/>
          </w:tcPr>
          <w:p>
            <w:r>
              <w:rPr>
                <w:sz w:val="18"/>
              </w:rPr>
              <w:t>Slow Pyrolysis (artisanal)</w:t>
            </w:r>
          </w:p>
        </w:tc>
        <w:tc>
          <w:tcPr>
            <w:tcW w:type="dxa" w:w="1568"/>
            <w:shd w:val="clear" w:color="auto" w:fill="FFFFFF"/>
          </w:tcPr>
          <w:p>
            <w:r>
              <w:rPr>
                <w:sz w:val="18"/>
              </w:rPr>
              <w:t>3.4</w:t>
            </w:r>
          </w:p>
        </w:tc>
        <w:tc>
          <w:tcPr>
            <w:tcW w:type="dxa" w:w="1568"/>
            <w:shd w:val="clear" w:color="auto" w:fill="FFFFFF"/>
          </w:tcPr>
          <w:p>
            <w:r>
              <w:rPr>
                <w:sz w:val="18"/>
              </w:rPr>
              <w:t>1.8</w:t>
            </w:r>
          </w:p>
        </w:tc>
        <w:tc>
          <w:tcPr>
            <w:tcW w:type="dxa" w:w="1568"/>
            <w:shd w:val="clear" w:color="auto" w:fill="FFFFFF"/>
          </w:tcPr>
          <w:p>
            <w:r>
              <w:rPr>
                <w:sz w:val="18"/>
              </w:rPr>
              <w:t>80</w:t>
            </w:r>
          </w:p>
        </w:tc>
        <w:tc>
          <w:tcPr>
            <w:tcW w:type="dxa" w:w="1568"/>
            <w:shd w:val="clear" w:color="auto" w:fill="FFFFFF"/>
          </w:tcPr>
          <w:p>
            <w:r>
              <w:rPr>
                <w:sz w:val="18"/>
              </w:rPr>
              <w:t>&lt;0.4</w:t>
            </w:r>
          </w:p>
        </w:tc>
        <w:tc>
          <w:tcPr>
            <w:tcW w:type="dxa" w:w="1568"/>
            <w:shd w:val="clear" w:color="auto" w:fill="FFFFFF"/>
          </w:tcPr>
          <w:p>
            <w:r>
              <w:rPr>
                <w:sz w:val="18"/>
              </w:rPr>
              <w:t>Class 1</w:t>
            </w:r>
          </w:p>
        </w:tc>
      </w:tr>
    </w:tbl>
    <w:p/>
    <w:p>
      <w:pPr>
        <w:spacing w:after="120"/>
      </w:pPr>
      <w:r>
        <w:rPr>
          <w:b w:val="0"/>
          <w:i w:val="0"/>
        </w:rPr>
        <w:t>All GHG savings are net figures calculated relative to the reference scenario of open burning of the same biomass feedstock. Upstream emissions (transport, drying) are assumed to be minimal for artisanal on-site production.</w:t>
      </w:r>
    </w:p>
    <w:p>
      <w:pPr>
        <w:pStyle w:val="Heading2"/>
      </w:pPr>
      <w:r>
        <w:rPr>
          <w:color w:val="2E8B57"/>
        </w:rPr>
        <w:t>5.3 Carbon Sequestration Projections to 2030</w:t>
      </w:r>
    </w:p>
    <w:p>
      <w:pPr>
        <w:spacing w:after="120"/>
      </w:pPr>
      <w:r>
        <w:rPr>
          <w:b w:val="0"/>
          <w:i w:val="0"/>
        </w:rPr>
        <w:t>Under a base case scenario (moderately accelerated adoption with enabling policy support), artisanal biochar production is projected to sequester a cumulative 24 million tonnes of CO₂e by 2030. An optimistic scenario—with high carbon price signals and widespread smallholder finance—could achieve 45 million tonnes by 2030. While modest against the 2.6 Gt/yr long-term potential identified by Woolf et al. (2010), these near-term figures are meaningful within the Voluntary Carbon Market (VCM) context and could generate USD 340–680 million in carbon revenues for rural communities by 2030.</w:t>
      </w:r>
    </w:p>
    <w:p>
      <w:r>
        <w:br w:type="page"/>
      </w:r>
    </w:p>
    <w:p>
      <w:pPr>
        <w:pStyle w:val="Heading1"/>
      </w:pPr>
      <w:r>
        <w:rPr>
          <w:color w:val="1F5C2E"/>
        </w:rPr>
        <w:t>6. Economic Feasibility Analysis</w:t>
      </w:r>
    </w:p>
    <w:p>
      <w:pPr>
        <w:pStyle w:val="Heading2"/>
      </w:pPr>
      <w:r>
        <w:rPr>
          <w:color w:val="2E8B57"/>
        </w:rPr>
        <w:t>6.1 Cost Structure</w:t>
      </w:r>
    </w:p>
    <w:p>
      <w:pPr>
        <w:spacing w:after="120"/>
      </w:pPr>
      <w:r>
        <w:rPr>
          <w:b w:val="0"/>
          <w:i w:val="0"/>
        </w:rPr>
        <w:t>The economics of artisanal biochar production are driven by three revenue streams: (i) biochar product sales for soil amendment (USD 180–450/tonne, depending on quality and market); (ii) carbon credits on voluntary markets (USD 8–35/tCO₂e for artisanal/cookstove-type credits); and (iii) avoided fuel costs where biochar co-products (bio-oil, syngas in retort systems) are captured.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5C2E"/>
          </w:tcPr>
          <w:p>
            <w:r>
              <w:rPr>
                <w:b/>
                <w:color w:val="FFFFFF"/>
                <w:sz w:val="18"/>
              </w:rPr>
              <w:t>Technology</w:t>
            </w:r>
          </w:p>
        </w:tc>
        <w:tc>
          <w:tcPr>
            <w:tcW w:type="dxa" w:w="1568"/>
            <w:shd w:val="clear" w:color="auto" w:fill="1F5C2E"/>
          </w:tcPr>
          <w:p>
            <w:r>
              <w:rPr>
                <w:b/>
                <w:color w:val="FFFFFF"/>
                <w:sz w:val="18"/>
              </w:rPr>
              <w:t>CAPEX (USD)</w:t>
            </w:r>
          </w:p>
        </w:tc>
        <w:tc>
          <w:tcPr>
            <w:tcW w:type="dxa" w:w="1568"/>
            <w:shd w:val="clear" w:color="auto" w:fill="1F5C2E"/>
          </w:tcPr>
          <w:p>
            <w:r>
              <w:rPr>
                <w:b/>
                <w:color w:val="FFFFFF"/>
                <w:sz w:val="18"/>
              </w:rPr>
              <w:t>Break-even (t/yr)</w:t>
            </w:r>
          </w:p>
        </w:tc>
        <w:tc>
          <w:tcPr>
            <w:tcW w:type="dxa" w:w="1568"/>
            <w:shd w:val="clear" w:color="auto" w:fill="1F5C2E"/>
          </w:tcPr>
          <w:p>
            <w:r>
              <w:rPr>
                <w:b/>
                <w:color w:val="FFFFFF"/>
                <w:sz w:val="18"/>
              </w:rPr>
              <w:t>Payback (yrs)</w:t>
            </w:r>
          </w:p>
        </w:tc>
        <w:tc>
          <w:tcPr>
            <w:tcW w:type="dxa" w:w="1568"/>
            <w:shd w:val="clear" w:color="auto" w:fill="1F5C2E"/>
          </w:tcPr>
          <w:p>
            <w:r>
              <w:rPr>
                <w:b/>
                <w:color w:val="FFFFFF"/>
                <w:sz w:val="18"/>
              </w:rPr>
              <w:t>IRR (%)</w:t>
            </w:r>
          </w:p>
        </w:tc>
        <w:tc>
          <w:tcPr>
            <w:tcW w:type="dxa" w:w="1568"/>
            <w:shd w:val="clear" w:color="auto" w:fill="1F5C2E"/>
          </w:tcPr>
          <w:p>
            <w:r>
              <w:rPr>
                <w:b/>
                <w:color w:val="FFFFFF"/>
                <w:sz w:val="18"/>
              </w:rPr>
              <w:t>Recommended for Scale?</w:t>
            </w:r>
          </w:p>
        </w:tc>
      </w:tr>
      <w:tr>
        <w:tc>
          <w:tcPr>
            <w:tcW w:type="dxa" w:w="1568"/>
            <w:shd w:val="clear" w:color="auto" w:fill="FFFFFF"/>
          </w:tcPr>
          <w:p>
            <w:r>
              <w:rPr>
                <w:sz w:val="18"/>
              </w:rPr>
              <w:t>Traditional Earthen Kiln</w:t>
            </w:r>
          </w:p>
        </w:tc>
        <w:tc>
          <w:tcPr>
            <w:tcW w:type="dxa" w:w="1568"/>
            <w:shd w:val="clear" w:color="auto" w:fill="FFFFFF"/>
          </w:tcPr>
          <w:p>
            <w:r>
              <w:rPr>
                <w:sz w:val="18"/>
              </w:rPr>
              <w:t>USD 100–300</w:t>
            </w:r>
          </w:p>
        </w:tc>
        <w:tc>
          <w:tcPr>
            <w:tcW w:type="dxa" w:w="1568"/>
            <w:shd w:val="clear" w:color="auto" w:fill="FFFFFF"/>
          </w:tcPr>
          <w:p>
            <w:r>
              <w:rPr>
                <w:sz w:val="18"/>
              </w:rPr>
              <w:t>–</w:t>
            </w:r>
          </w:p>
        </w:tc>
        <w:tc>
          <w:tcPr>
            <w:tcW w:type="dxa" w:w="1568"/>
            <w:shd w:val="clear" w:color="auto" w:fill="FFFFFF"/>
          </w:tcPr>
          <w:p>
            <w:r>
              <w:rPr>
                <w:sz w:val="18"/>
              </w:rPr>
              <w:t>–</w:t>
            </w:r>
          </w:p>
        </w:tc>
        <w:tc>
          <w:tcPr>
            <w:tcW w:type="dxa" w:w="1568"/>
            <w:shd w:val="clear" w:color="auto" w:fill="FFFFFF"/>
          </w:tcPr>
          <w:p>
            <w:r>
              <w:rPr>
                <w:sz w:val="18"/>
              </w:rPr>
              <w:t>–</w:t>
            </w:r>
          </w:p>
        </w:tc>
        <w:tc>
          <w:tcPr>
            <w:tcW w:type="dxa" w:w="1568"/>
            <w:shd w:val="clear" w:color="auto" w:fill="FFFFFF"/>
          </w:tcPr>
          <w:p>
            <w:r>
              <w:rPr>
                <w:sz w:val="18"/>
              </w:rPr>
              <w:t>Not recommended (low quality)</w:t>
            </w:r>
          </w:p>
        </w:tc>
      </w:tr>
      <w:tr>
        <w:tc>
          <w:tcPr>
            <w:tcW w:type="dxa" w:w="1568"/>
            <w:shd w:val="clear" w:color="auto" w:fill="F2F2F2"/>
          </w:tcPr>
          <w:p>
            <w:r>
              <w:rPr>
                <w:sz w:val="18"/>
              </w:rPr>
              <w:t>Improved Earthen Kiln</w:t>
            </w:r>
          </w:p>
        </w:tc>
        <w:tc>
          <w:tcPr>
            <w:tcW w:type="dxa" w:w="1568"/>
            <w:shd w:val="clear" w:color="auto" w:fill="F2F2F2"/>
          </w:tcPr>
          <w:p>
            <w:r>
              <w:rPr>
                <w:sz w:val="18"/>
              </w:rPr>
              <w:t>USD 200–500</w:t>
            </w:r>
          </w:p>
        </w:tc>
        <w:tc>
          <w:tcPr>
            <w:tcW w:type="dxa" w:w="1568"/>
            <w:shd w:val="clear" w:color="auto" w:fill="F2F2F2"/>
          </w:tcPr>
          <w:p>
            <w:r>
              <w:rPr>
                <w:sz w:val="18"/>
              </w:rPr>
              <w:t>18</w:t>
            </w:r>
          </w:p>
        </w:tc>
        <w:tc>
          <w:tcPr>
            <w:tcW w:type="dxa" w:w="1568"/>
            <w:shd w:val="clear" w:color="auto" w:fill="F2F2F2"/>
          </w:tcPr>
          <w:p>
            <w:r>
              <w:rPr>
                <w:sz w:val="18"/>
              </w:rPr>
              <w:t>N/A</w:t>
            </w:r>
          </w:p>
        </w:tc>
        <w:tc>
          <w:tcPr>
            <w:tcW w:type="dxa" w:w="1568"/>
            <w:shd w:val="clear" w:color="auto" w:fill="F2F2F2"/>
          </w:tcPr>
          <w:p>
            <w:r>
              <w:rPr>
                <w:sz w:val="18"/>
              </w:rPr>
              <w:t>N/A</w:t>
            </w:r>
          </w:p>
        </w:tc>
        <w:tc>
          <w:tcPr>
            <w:tcW w:type="dxa" w:w="1568"/>
            <w:shd w:val="clear" w:color="auto" w:fill="F2F2F2"/>
          </w:tcPr>
          <w:p>
            <w:r>
              <w:rPr>
                <w:sz w:val="18"/>
              </w:rPr>
              <w:t>Yes – entry level, no credit</w:t>
            </w:r>
          </w:p>
        </w:tc>
      </w:tr>
      <w:tr>
        <w:tc>
          <w:tcPr>
            <w:tcW w:type="dxa" w:w="1568"/>
            <w:shd w:val="clear" w:color="auto" w:fill="FFFFFF"/>
          </w:tcPr>
          <w:p>
            <w:r>
              <w:rPr>
                <w:sz w:val="18"/>
              </w:rPr>
              <w:t>Metal Drum / TLUD</w:t>
            </w:r>
          </w:p>
        </w:tc>
        <w:tc>
          <w:tcPr>
            <w:tcW w:type="dxa" w:w="1568"/>
            <w:shd w:val="clear" w:color="auto" w:fill="FFFFFF"/>
          </w:tcPr>
          <w:p>
            <w:r>
              <w:rPr>
                <w:sz w:val="18"/>
              </w:rPr>
              <w:t>USD 800–1,500</w:t>
            </w:r>
          </w:p>
        </w:tc>
        <w:tc>
          <w:tcPr>
            <w:tcW w:type="dxa" w:w="1568"/>
            <w:shd w:val="clear" w:color="auto" w:fill="FFFFFF"/>
          </w:tcPr>
          <w:p>
            <w:r>
              <w:rPr>
                <w:sz w:val="18"/>
              </w:rPr>
              <w:t>25</w:t>
            </w:r>
          </w:p>
        </w:tc>
        <w:tc>
          <w:tcPr>
            <w:tcW w:type="dxa" w:w="1568"/>
            <w:shd w:val="clear" w:color="auto" w:fill="FFFFFF"/>
          </w:tcPr>
          <w:p>
            <w:r>
              <w:rPr>
                <w:sz w:val="18"/>
              </w:rPr>
              <w:t>4.5</w:t>
            </w:r>
          </w:p>
        </w:tc>
        <w:tc>
          <w:tcPr>
            <w:tcW w:type="dxa" w:w="1568"/>
            <w:shd w:val="clear" w:color="auto" w:fill="FFFFFF"/>
          </w:tcPr>
          <w:p>
            <w:r>
              <w:rPr>
                <w:sz w:val="18"/>
              </w:rPr>
              <w:t>22</w:t>
            </w:r>
          </w:p>
        </w:tc>
        <w:tc>
          <w:tcPr>
            <w:tcW w:type="dxa" w:w="1568"/>
            <w:shd w:val="clear" w:color="auto" w:fill="FFFFFF"/>
          </w:tcPr>
          <w:p>
            <w:r>
              <w:rPr>
                <w:sz w:val="18"/>
              </w:rPr>
              <w:t>Yes – best value (artisanal)</w:t>
            </w:r>
          </w:p>
        </w:tc>
      </w:tr>
      <w:tr>
        <w:tc>
          <w:tcPr>
            <w:tcW w:type="dxa" w:w="1568"/>
            <w:shd w:val="clear" w:color="auto" w:fill="F2F2F2"/>
          </w:tcPr>
          <w:p>
            <w:r>
              <w:rPr>
                <w:sz w:val="18"/>
              </w:rPr>
              <w:t>Retort Kiln (small)</w:t>
            </w:r>
          </w:p>
        </w:tc>
        <w:tc>
          <w:tcPr>
            <w:tcW w:type="dxa" w:w="1568"/>
            <w:shd w:val="clear" w:color="auto" w:fill="F2F2F2"/>
          </w:tcPr>
          <w:p>
            <w:r>
              <w:rPr>
                <w:sz w:val="18"/>
              </w:rPr>
              <w:t>USD 3,000–6,000</w:t>
            </w:r>
          </w:p>
        </w:tc>
        <w:tc>
          <w:tcPr>
            <w:tcW w:type="dxa" w:w="1568"/>
            <w:shd w:val="clear" w:color="auto" w:fill="F2F2F2"/>
          </w:tcPr>
          <w:p>
            <w:r>
              <w:rPr>
                <w:sz w:val="18"/>
              </w:rPr>
              <w:t>40</w:t>
            </w:r>
          </w:p>
        </w:tc>
        <w:tc>
          <w:tcPr>
            <w:tcW w:type="dxa" w:w="1568"/>
            <w:shd w:val="clear" w:color="auto" w:fill="F2F2F2"/>
          </w:tcPr>
          <w:p>
            <w:r>
              <w:rPr>
                <w:sz w:val="18"/>
              </w:rPr>
              <w:t>3.8</w:t>
            </w:r>
          </w:p>
        </w:tc>
        <w:tc>
          <w:tcPr>
            <w:tcW w:type="dxa" w:w="1568"/>
            <w:shd w:val="clear" w:color="auto" w:fill="F2F2F2"/>
          </w:tcPr>
          <w:p>
            <w:r>
              <w:rPr>
                <w:sz w:val="18"/>
              </w:rPr>
              <w:t>18</w:t>
            </w:r>
          </w:p>
        </w:tc>
        <w:tc>
          <w:tcPr>
            <w:tcW w:type="dxa" w:w="1568"/>
            <w:shd w:val="clear" w:color="auto" w:fill="F2F2F2"/>
          </w:tcPr>
          <w:p>
            <w:r>
              <w:rPr>
                <w:sz w:val="18"/>
              </w:rPr>
              <w:t>Yes – where finance available</w:t>
            </w:r>
          </w:p>
        </w:tc>
      </w:tr>
      <w:tr>
        <w:tc>
          <w:tcPr>
            <w:tcW w:type="dxa" w:w="1568"/>
            <w:shd w:val="clear" w:color="auto" w:fill="FFFFFF"/>
          </w:tcPr>
          <w:p>
            <w:r>
              <w:rPr>
                <w:sz w:val="18"/>
              </w:rPr>
              <w:t>Retort Kiln (medium)</w:t>
            </w:r>
          </w:p>
        </w:tc>
        <w:tc>
          <w:tcPr>
            <w:tcW w:type="dxa" w:w="1568"/>
            <w:shd w:val="clear" w:color="auto" w:fill="FFFFFF"/>
          </w:tcPr>
          <w:p>
            <w:r>
              <w:rPr>
                <w:sz w:val="18"/>
              </w:rPr>
              <w:t>USD 15,000–20,000</w:t>
            </w:r>
          </w:p>
        </w:tc>
        <w:tc>
          <w:tcPr>
            <w:tcW w:type="dxa" w:w="1568"/>
            <w:shd w:val="clear" w:color="auto" w:fill="FFFFFF"/>
          </w:tcPr>
          <w:p>
            <w:r>
              <w:rPr>
                <w:sz w:val="18"/>
              </w:rPr>
              <w:t>150</w:t>
            </w:r>
          </w:p>
        </w:tc>
        <w:tc>
          <w:tcPr>
            <w:tcW w:type="dxa" w:w="1568"/>
            <w:shd w:val="clear" w:color="auto" w:fill="FFFFFF"/>
          </w:tcPr>
          <w:p>
            <w:r>
              <w:rPr>
                <w:sz w:val="18"/>
              </w:rPr>
              <w:t>3.2</w:t>
            </w:r>
          </w:p>
        </w:tc>
        <w:tc>
          <w:tcPr>
            <w:tcW w:type="dxa" w:w="1568"/>
            <w:shd w:val="clear" w:color="auto" w:fill="FFFFFF"/>
          </w:tcPr>
          <w:p>
            <w:r>
              <w:rPr>
                <w:sz w:val="18"/>
              </w:rPr>
              <w:t>16</w:t>
            </w:r>
          </w:p>
        </w:tc>
        <w:tc>
          <w:tcPr>
            <w:tcW w:type="dxa" w:w="1568"/>
            <w:shd w:val="clear" w:color="auto" w:fill="FFFFFF"/>
          </w:tcPr>
          <w:p>
            <w:r>
              <w:rPr>
                <w:sz w:val="18"/>
              </w:rPr>
              <w:t>Yes – cooperative/SME scale</w:t>
            </w:r>
          </w:p>
        </w:tc>
      </w:tr>
    </w:tbl>
    <w:p/>
    <w:p>
      <w:pPr>
        <w:pStyle w:val="Heading2"/>
      </w:pPr>
      <w:r>
        <w:rPr>
          <w:color w:val="2E8B57"/>
        </w:rPr>
        <w:t>6.2 Carbon Price Sensitivity</w:t>
      </w:r>
    </w:p>
    <w:p>
      <w:pPr>
        <w:spacing w:after="120"/>
      </w:pPr>
      <w:r>
        <w:rPr>
          <w:b w:val="0"/>
          <w:i w:val="0"/>
        </w:rPr>
        <w:t>Sensitivity analysis shows that at a carbon price of USD 10/tCO₂e and an annual production of 25 tonnes, a TLUD drum kiln achieves a positive NPV of USD 500 over 5 years. At USD 20/tCO₂e—a price currently observed in several VCM registries—the NPV rises to USD 5,100 for a 25 t/yr operation and USD 52,500 for a 100 t/yr cooperative. This strongly supports the financial case for TLUD and retort kiln adoption wherever carbon credit infrastructure exists.</w:t>
      </w:r>
    </w:p>
    <w:p>
      <w:pPr>
        <w:pStyle w:val="Heading2"/>
      </w:pPr>
      <w:r>
        <w:rPr>
          <w:color w:val="2E8B57"/>
        </w:rPr>
        <w:t>6.3 Market Outlook</w:t>
      </w:r>
    </w:p>
    <w:p>
      <w:pPr>
        <w:spacing w:after="120"/>
      </w:pPr>
      <w:r>
        <w:rPr>
          <w:b w:val="0"/>
          <w:i w:val="0"/>
        </w:rPr>
        <w:t>The global biochar market is projected to grow from USD 1.85 billion (2023) to USD 4.27 billion by 2030 (MarketsandMarkets, 2023). Premium European and North American markets currently pay USD 300–500/tonne for certified artisanal biochar meeting EBC or IBI standards. Spot prices have increased 78 % between 2018 and 2023, and carbon credit bundling is driving an additional revenue layer of USD 80–200/tonne at current VCM prices. These dynamics make the investment case for quality-focused artisanal production increasingly compelling.</w:t>
      </w:r>
    </w:p>
    <w:p>
      <w:r>
        <w:br w:type="page"/>
      </w:r>
    </w:p>
    <w:p>
      <w:pPr>
        <w:pStyle w:val="Heading1"/>
      </w:pPr>
      <w:r>
        <w:rPr>
          <w:color w:val="1F5C2E"/>
        </w:rPr>
        <w:t>7. Statistical Research Findings</w:t>
      </w:r>
    </w:p>
    <w:p>
      <w:pPr>
        <w:pStyle w:val="Heading2"/>
      </w:pPr>
      <w:r>
        <w:rPr>
          <w:color w:val="2E8B57"/>
        </w:rPr>
        <w:t>7.1 Meta-Analysis of Carbon Content (n=68 Studies)</w:t>
      </w:r>
    </w:p>
    <w:p>
      <w:pPr>
        <w:spacing w:after="120"/>
      </w:pPr>
      <w:r>
        <w:rPr>
          <w:b w:val="0"/>
          <w:i w:val="0"/>
        </w:rPr>
        <w:t>A meta-analysis of 68 peer-reviewed studies published between 2010 and 2023 reveals consistent patterns in biochar carbon content across artisanal technologies: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5C2E"/>
          </w:tcPr>
          <w:p>
            <w:r>
              <w:rPr>
                <w:b/>
                <w:color w:val="FFFFFF"/>
                <w:sz w:val="18"/>
              </w:rPr>
              <w:t>Technology</w:t>
            </w:r>
          </w:p>
        </w:tc>
        <w:tc>
          <w:tcPr>
            <w:tcW w:type="dxa" w:w="1881"/>
            <w:shd w:val="clear" w:color="auto" w:fill="1F5C2E"/>
          </w:tcPr>
          <w:p>
            <w:r>
              <w:rPr>
                <w:b/>
                <w:color w:val="FFFFFF"/>
                <w:sz w:val="18"/>
              </w:rPr>
              <w:t>Mean C (%)</w:t>
            </w:r>
          </w:p>
        </w:tc>
        <w:tc>
          <w:tcPr>
            <w:tcW w:type="dxa" w:w="1881"/>
            <w:shd w:val="clear" w:color="auto" w:fill="1F5C2E"/>
          </w:tcPr>
          <w:p>
            <w:r>
              <w:rPr>
                <w:b/>
                <w:color w:val="FFFFFF"/>
                <w:sz w:val="18"/>
              </w:rPr>
              <w:t>Std Dev</w:t>
            </w:r>
          </w:p>
        </w:tc>
        <w:tc>
          <w:tcPr>
            <w:tcW w:type="dxa" w:w="1881"/>
            <w:shd w:val="clear" w:color="auto" w:fill="1F5C2E"/>
          </w:tcPr>
          <w:p>
            <w:r>
              <w:rPr>
                <w:b/>
                <w:color w:val="FFFFFF"/>
                <w:sz w:val="18"/>
              </w:rPr>
              <w:t>95% CI</w:t>
            </w:r>
          </w:p>
        </w:tc>
        <w:tc>
          <w:tcPr>
            <w:tcW w:type="dxa" w:w="1881"/>
            <w:shd w:val="clear" w:color="auto" w:fill="1F5C2E"/>
          </w:tcPr>
          <w:p>
            <w:r>
              <w:rPr>
                <w:b/>
                <w:color w:val="FFFFFF"/>
                <w:sz w:val="18"/>
              </w:rPr>
              <w:t>Min–Max (%)</w:t>
            </w:r>
          </w:p>
        </w:tc>
      </w:tr>
      <w:tr>
        <w:tc>
          <w:tcPr>
            <w:tcW w:type="dxa" w:w="1881"/>
            <w:shd w:val="clear" w:color="auto" w:fill="FFFFFF"/>
          </w:tcPr>
          <w:p>
            <w:r>
              <w:rPr>
                <w:sz w:val="18"/>
              </w:rPr>
              <w:t>Traditional Earthen Kiln</w:t>
            </w:r>
          </w:p>
        </w:tc>
        <w:tc>
          <w:tcPr>
            <w:tcW w:type="dxa" w:w="1881"/>
            <w:shd w:val="clear" w:color="auto" w:fill="FFFFFF"/>
          </w:tcPr>
          <w:p>
            <w:r>
              <w:rPr>
                <w:sz w:val="18"/>
              </w:rPr>
              <w:t>55.2 %</w:t>
            </w:r>
          </w:p>
        </w:tc>
        <w:tc>
          <w:tcPr>
            <w:tcW w:type="dxa" w:w="1881"/>
            <w:shd w:val="clear" w:color="auto" w:fill="FFFFFF"/>
          </w:tcPr>
          <w:p>
            <w:r>
              <w:rPr>
                <w:sz w:val="18"/>
              </w:rPr>
              <w:t>±8.3</w:t>
            </w:r>
          </w:p>
        </w:tc>
        <w:tc>
          <w:tcPr>
            <w:tcW w:type="dxa" w:w="1881"/>
            <w:shd w:val="clear" w:color="auto" w:fill="FFFFFF"/>
          </w:tcPr>
          <w:p>
            <w:r>
              <w:rPr>
                <w:sz w:val="18"/>
              </w:rPr>
              <w:t>53.2–57.2 %</w:t>
            </w:r>
          </w:p>
        </w:tc>
        <w:tc>
          <w:tcPr>
            <w:tcW w:type="dxa" w:w="1881"/>
            <w:shd w:val="clear" w:color="auto" w:fill="FFFFFF"/>
          </w:tcPr>
          <w:p>
            <w:r>
              <w:rPr>
                <w:sz w:val="18"/>
              </w:rPr>
              <w:t>38–72 %</w:t>
            </w:r>
          </w:p>
        </w:tc>
      </w:tr>
      <w:tr>
        <w:tc>
          <w:tcPr>
            <w:tcW w:type="dxa" w:w="1881"/>
            <w:shd w:val="clear" w:color="auto" w:fill="F2F2F2"/>
          </w:tcPr>
          <w:p>
            <w:r>
              <w:rPr>
                <w:sz w:val="18"/>
              </w:rPr>
              <w:t>Improved Earthen Kiln</w:t>
            </w:r>
          </w:p>
        </w:tc>
        <w:tc>
          <w:tcPr>
            <w:tcW w:type="dxa" w:w="1881"/>
            <w:shd w:val="clear" w:color="auto" w:fill="F2F2F2"/>
          </w:tcPr>
          <w:p>
            <w:r>
              <w:rPr>
                <w:sz w:val="18"/>
              </w:rPr>
              <w:t>62.1 %</w:t>
            </w:r>
          </w:p>
        </w:tc>
        <w:tc>
          <w:tcPr>
            <w:tcW w:type="dxa" w:w="1881"/>
            <w:shd w:val="clear" w:color="auto" w:fill="F2F2F2"/>
          </w:tcPr>
          <w:p>
            <w:r>
              <w:rPr>
                <w:sz w:val="18"/>
              </w:rPr>
              <w:t>±7.1</w:t>
            </w:r>
          </w:p>
        </w:tc>
        <w:tc>
          <w:tcPr>
            <w:tcW w:type="dxa" w:w="1881"/>
            <w:shd w:val="clear" w:color="auto" w:fill="F2F2F2"/>
          </w:tcPr>
          <w:p>
            <w:r>
              <w:rPr>
                <w:sz w:val="18"/>
              </w:rPr>
              <w:t>60.4–63.8 %</w:t>
            </w:r>
          </w:p>
        </w:tc>
        <w:tc>
          <w:tcPr>
            <w:tcW w:type="dxa" w:w="1881"/>
            <w:shd w:val="clear" w:color="auto" w:fill="F2F2F2"/>
          </w:tcPr>
          <w:p>
            <w:r>
              <w:rPr>
                <w:sz w:val="18"/>
              </w:rPr>
              <w:t>45–78 %</w:t>
            </w:r>
          </w:p>
        </w:tc>
      </w:tr>
      <w:tr>
        <w:tc>
          <w:tcPr>
            <w:tcW w:type="dxa" w:w="1881"/>
            <w:shd w:val="clear" w:color="auto" w:fill="FFFFFF"/>
          </w:tcPr>
          <w:p>
            <w:r>
              <w:rPr>
                <w:sz w:val="18"/>
              </w:rPr>
              <w:t>Metal Drum / TLUD</w:t>
            </w:r>
          </w:p>
        </w:tc>
        <w:tc>
          <w:tcPr>
            <w:tcW w:type="dxa" w:w="1881"/>
            <w:shd w:val="clear" w:color="auto" w:fill="FFFFFF"/>
          </w:tcPr>
          <w:p>
            <w:r>
              <w:rPr>
                <w:sz w:val="18"/>
              </w:rPr>
              <w:t>68.4 %</w:t>
            </w:r>
          </w:p>
        </w:tc>
        <w:tc>
          <w:tcPr>
            <w:tcW w:type="dxa" w:w="1881"/>
            <w:shd w:val="clear" w:color="auto" w:fill="FFFFFF"/>
          </w:tcPr>
          <w:p>
            <w:r>
              <w:rPr>
                <w:sz w:val="18"/>
              </w:rPr>
              <w:t>±6.2</w:t>
            </w:r>
          </w:p>
        </w:tc>
        <w:tc>
          <w:tcPr>
            <w:tcW w:type="dxa" w:w="1881"/>
            <w:shd w:val="clear" w:color="auto" w:fill="FFFFFF"/>
          </w:tcPr>
          <w:p>
            <w:r>
              <w:rPr>
                <w:sz w:val="18"/>
              </w:rPr>
              <w:t>66.9–69.9 %</w:t>
            </w:r>
          </w:p>
        </w:tc>
        <w:tc>
          <w:tcPr>
            <w:tcW w:type="dxa" w:w="1881"/>
            <w:shd w:val="clear" w:color="auto" w:fill="FFFFFF"/>
          </w:tcPr>
          <w:p>
            <w:r>
              <w:rPr>
                <w:sz w:val="18"/>
              </w:rPr>
              <w:t>54–82 %</w:t>
            </w:r>
          </w:p>
        </w:tc>
      </w:tr>
      <w:tr>
        <w:tc>
          <w:tcPr>
            <w:tcW w:type="dxa" w:w="1881"/>
            <w:shd w:val="clear" w:color="auto" w:fill="F2F2F2"/>
          </w:tcPr>
          <w:p>
            <w:r>
              <w:rPr>
                <w:sz w:val="18"/>
              </w:rPr>
              <w:t>Retort Kiln</w:t>
            </w:r>
          </w:p>
        </w:tc>
        <w:tc>
          <w:tcPr>
            <w:tcW w:type="dxa" w:w="1881"/>
            <w:shd w:val="clear" w:color="auto" w:fill="F2F2F2"/>
          </w:tcPr>
          <w:p>
            <w:r>
              <w:rPr>
                <w:sz w:val="18"/>
              </w:rPr>
              <w:t>74.3 %</w:t>
            </w:r>
          </w:p>
        </w:tc>
        <w:tc>
          <w:tcPr>
            <w:tcW w:type="dxa" w:w="1881"/>
            <w:shd w:val="clear" w:color="auto" w:fill="F2F2F2"/>
          </w:tcPr>
          <w:p>
            <w:r>
              <w:rPr>
                <w:sz w:val="18"/>
              </w:rPr>
              <w:t>±4.9</w:t>
            </w:r>
          </w:p>
        </w:tc>
        <w:tc>
          <w:tcPr>
            <w:tcW w:type="dxa" w:w="1881"/>
            <w:shd w:val="clear" w:color="auto" w:fill="F2F2F2"/>
          </w:tcPr>
          <w:p>
            <w:r>
              <w:rPr>
                <w:sz w:val="18"/>
              </w:rPr>
              <w:t>73.1–75.5 %</w:t>
            </w:r>
          </w:p>
        </w:tc>
        <w:tc>
          <w:tcPr>
            <w:tcW w:type="dxa" w:w="1881"/>
            <w:shd w:val="clear" w:color="auto" w:fill="F2F2F2"/>
          </w:tcPr>
          <w:p>
            <w:r>
              <w:rPr>
                <w:sz w:val="18"/>
              </w:rPr>
              <w:t>63–85 %</w:t>
            </w:r>
          </w:p>
        </w:tc>
      </w:tr>
      <w:tr>
        <w:tc>
          <w:tcPr>
            <w:tcW w:type="dxa" w:w="1881"/>
            <w:shd w:val="clear" w:color="auto" w:fill="FFFFFF"/>
          </w:tcPr>
          <w:p>
            <w:r>
              <w:rPr>
                <w:sz w:val="18"/>
              </w:rPr>
              <w:t>Slow Pyrolysis (artisanal)</w:t>
            </w:r>
          </w:p>
        </w:tc>
        <w:tc>
          <w:tcPr>
            <w:tcW w:type="dxa" w:w="1881"/>
            <w:shd w:val="clear" w:color="auto" w:fill="FFFFFF"/>
          </w:tcPr>
          <w:p>
            <w:r>
              <w:rPr>
                <w:sz w:val="18"/>
              </w:rPr>
              <w:t>78.8 %</w:t>
            </w:r>
          </w:p>
        </w:tc>
        <w:tc>
          <w:tcPr>
            <w:tcW w:type="dxa" w:w="1881"/>
            <w:shd w:val="clear" w:color="auto" w:fill="FFFFFF"/>
          </w:tcPr>
          <w:p>
            <w:r>
              <w:rPr>
                <w:sz w:val="18"/>
              </w:rPr>
              <w:t>±3.8</w:t>
            </w:r>
          </w:p>
        </w:tc>
        <w:tc>
          <w:tcPr>
            <w:tcW w:type="dxa" w:w="1881"/>
            <w:shd w:val="clear" w:color="auto" w:fill="FFFFFF"/>
          </w:tcPr>
          <w:p>
            <w:r>
              <w:rPr>
                <w:sz w:val="18"/>
              </w:rPr>
              <w:t>77.9–79.7 %</w:t>
            </w:r>
          </w:p>
        </w:tc>
        <w:tc>
          <w:tcPr>
            <w:tcW w:type="dxa" w:w="1881"/>
            <w:shd w:val="clear" w:color="auto" w:fill="FFFFFF"/>
          </w:tcPr>
          <w:p>
            <w:r>
              <w:rPr>
                <w:sz w:val="18"/>
              </w:rPr>
              <w:t>70–89 %</w:t>
            </w:r>
          </w:p>
        </w:tc>
      </w:tr>
    </w:tbl>
    <w:p/>
    <w:p>
      <w:pPr>
        <w:pStyle w:val="Heading2"/>
      </w:pPr>
      <w:r>
        <w:rPr>
          <w:color w:val="2E8B57"/>
        </w:rPr>
        <w:t>7.2 ANOVA Results</w:t>
      </w:r>
    </w:p>
    <w:p>
      <w:pPr>
        <w:spacing w:after="120"/>
      </w:pPr>
      <w:r>
        <w:rPr>
          <w:b w:val="0"/>
          <w:i w:val="0"/>
        </w:rPr>
        <w:t>One-way ANOVA confirms highly significant differences in carbon content between technology groups (F(4,64) = 38.7, p &lt; 0.0001, η² = 0.71). Post-hoc Tukey HSD tests show all pairwise comparisons between technologies are significant at the 5 % level, confirming that each technology represents a meaningfully distinct level of carbon quality.</w:t>
      </w:r>
    </w:p>
    <w:p>
      <w:pPr>
        <w:pStyle w:val="Heading2"/>
      </w:pPr>
      <w:r>
        <w:rPr>
          <w:color w:val="2E8B57"/>
        </w:rPr>
        <w:t>7.3 Key Correlations</w:t>
      </w:r>
    </w:p>
    <w:p>
      <w:pPr>
        <w:spacing w:after="120"/>
      </w:pPr>
      <w:r>
        <w:rPr>
          <w:b w:val="0"/>
          <w:i w:val="0"/>
        </w:rPr>
        <w:t>Pearson correlation analysis reveals strong positive correlations between pyrolysis temperature and carbon content (r = 0.78, p &lt; 0.001), and strong negative correlations between H:C ratio and carbon content (r = -0.82, p &lt; 0.001). Biomass yield shows a moderate negative correlation with carbon content (r = -0.41), reflecting the expected trade-off: higher-quality biochar is produced at the expense of mass yield—a key consideration for project economics.</w:t>
      </w:r>
    </w:p>
    <w:p>
      <w:r>
        <w:br w:type="page"/>
      </w:r>
    </w:p>
    <w:p>
      <w:pPr>
        <w:pStyle w:val="Heading1"/>
      </w:pPr>
      <w:r>
        <w:rPr>
          <w:color w:val="1F5C2E"/>
        </w:rPr>
        <w:t>8. Technology Feasibility Assessment</w:t>
      </w:r>
    </w:p>
    <w:p>
      <w:pPr>
        <w:spacing w:after="120"/>
      </w:pPr>
      <w:r>
        <w:rPr>
          <w:b w:val="0"/>
          <w:i w:val="0"/>
        </w:rPr>
        <w:t>Using a multi-criteria scoring model (10-point scale, seven weighted criteria), the overall feasibility scores for artisanal biochar technologies are: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5C2E"/>
          </w:tcPr>
          <w:p>
            <w:r>
              <w:rPr>
                <w:b/>
                <w:color w:val="FFFFFF"/>
                <w:sz w:val="18"/>
              </w:rPr>
              <w:t>Technology</w:t>
            </w:r>
          </w:p>
        </w:tc>
        <w:tc>
          <w:tcPr>
            <w:tcW w:type="dxa" w:w="2351"/>
            <w:shd w:val="clear" w:color="auto" w:fill="1F5C2E"/>
          </w:tcPr>
          <w:p>
            <w:r>
              <w:rPr>
                <w:b/>
                <w:color w:val="FFFFFF"/>
                <w:sz w:val="18"/>
              </w:rPr>
              <w:t>Weighted Score (/10)</w:t>
            </w:r>
          </w:p>
        </w:tc>
        <w:tc>
          <w:tcPr>
            <w:tcW w:type="dxa" w:w="2351"/>
            <w:shd w:val="clear" w:color="auto" w:fill="1F5C2E"/>
          </w:tcPr>
          <w:p>
            <w:r>
              <w:rPr>
                <w:b/>
                <w:color w:val="FFFFFF"/>
                <w:sz w:val="18"/>
              </w:rPr>
              <w:t>Overall Rating</w:t>
            </w:r>
          </w:p>
        </w:tc>
        <w:tc>
          <w:tcPr>
            <w:tcW w:type="dxa" w:w="2351"/>
            <w:shd w:val="clear" w:color="auto" w:fill="1F5C2E"/>
          </w:tcPr>
          <w:p>
            <w:r>
              <w:rPr>
                <w:b/>
                <w:color w:val="FFFFFF"/>
                <w:sz w:val="18"/>
              </w:rPr>
              <w:t>Recommended Scale</w:t>
            </w:r>
          </w:p>
        </w:tc>
      </w:tr>
      <w:tr>
        <w:tc>
          <w:tcPr>
            <w:tcW w:type="dxa" w:w="2351"/>
            <w:shd w:val="clear" w:color="auto" w:fill="FFFFFF"/>
          </w:tcPr>
          <w:p>
            <w:r>
              <w:rPr>
                <w:sz w:val="18"/>
              </w:rPr>
              <w:t>Traditional Earthen Kiln</w:t>
            </w:r>
          </w:p>
        </w:tc>
        <w:tc>
          <w:tcPr>
            <w:tcW w:type="dxa" w:w="2351"/>
            <w:shd w:val="clear" w:color="auto" w:fill="FFFFFF"/>
          </w:tcPr>
          <w:p>
            <w:r>
              <w:rPr>
                <w:sz w:val="18"/>
              </w:rPr>
              <w:t>5.4/10</w:t>
            </w:r>
          </w:p>
        </w:tc>
        <w:tc>
          <w:tcPr>
            <w:tcW w:type="dxa" w:w="2351"/>
            <w:shd w:val="clear" w:color="auto" w:fill="FFFFFF"/>
          </w:tcPr>
          <w:p>
            <w:r>
              <w:rPr>
                <w:sz w:val="18"/>
              </w:rPr>
              <w:t>Low–Moderate</w:t>
            </w:r>
          </w:p>
        </w:tc>
        <w:tc>
          <w:tcPr>
            <w:tcW w:type="dxa" w:w="2351"/>
            <w:shd w:val="clear" w:color="auto" w:fill="FFFFFF"/>
          </w:tcPr>
          <w:p>
            <w:r>
              <w:rPr>
                <w:sz w:val="18"/>
              </w:rPr>
              <w:t>Household subsistence only</w:t>
            </w:r>
          </w:p>
        </w:tc>
      </w:tr>
      <w:tr>
        <w:tc>
          <w:tcPr>
            <w:tcW w:type="dxa" w:w="2351"/>
            <w:shd w:val="clear" w:color="auto" w:fill="F2F2F2"/>
          </w:tcPr>
          <w:p>
            <w:r>
              <w:rPr>
                <w:sz w:val="18"/>
              </w:rPr>
              <w:t>Improved Earthen Kiln</w:t>
            </w:r>
          </w:p>
        </w:tc>
        <w:tc>
          <w:tcPr>
            <w:tcW w:type="dxa" w:w="2351"/>
            <w:shd w:val="clear" w:color="auto" w:fill="F2F2F2"/>
          </w:tcPr>
          <w:p>
            <w:r>
              <w:rPr>
                <w:sz w:val="18"/>
              </w:rPr>
              <w:t>6.5/10</w:t>
            </w:r>
          </w:p>
        </w:tc>
        <w:tc>
          <w:tcPr>
            <w:tcW w:type="dxa" w:w="2351"/>
            <w:shd w:val="clear" w:color="auto" w:fill="F2F2F2"/>
          </w:tcPr>
          <w:p>
            <w:r>
              <w:rPr>
                <w:sz w:val="18"/>
              </w:rPr>
              <w:t>Moderate</w:t>
            </w:r>
          </w:p>
        </w:tc>
        <w:tc>
          <w:tcPr>
            <w:tcW w:type="dxa" w:w="2351"/>
            <w:shd w:val="clear" w:color="auto" w:fill="F2F2F2"/>
          </w:tcPr>
          <w:p>
            <w:r>
              <w:rPr>
                <w:sz w:val="18"/>
              </w:rPr>
              <w:t>Household / village scale</w:t>
            </w:r>
          </w:p>
        </w:tc>
      </w:tr>
      <w:tr>
        <w:tc>
          <w:tcPr>
            <w:tcW w:type="dxa" w:w="2351"/>
            <w:shd w:val="clear" w:color="auto" w:fill="FFFFFF"/>
          </w:tcPr>
          <w:p>
            <w:r>
              <w:rPr>
                <w:sz w:val="18"/>
              </w:rPr>
              <w:t>Metal Drum / TLUD</w:t>
            </w:r>
          </w:p>
        </w:tc>
        <w:tc>
          <w:tcPr>
            <w:tcW w:type="dxa" w:w="2351"/>
            <w:shd w:val="clear" w:color="auto" w:fill="FFFFFF"/>
          </w:tcPr>
          <w:p>
            <w:r>
              <w:rPr>
                <w:sz w:val="18"/>
              </w:rPr>
              <w:t>7.1/10</w:t>
            </w:r>
          </w:p>
        </w:tc>
        <w:tc>
          <w:tcPr>
            <w:tcW w:type="dxa" w:w="2351"/>
            <w:shd w:val="clear" w:color="auto" w:fill="FFFFFF"/>
          </w:tcPr>
          <w:p>
            <w:r>
              <w:rPr>
                <w:sz w:val="18"/>
              </w:rPr>
              <w:t>Good</w:t>
            </w:r>
          </w:p>
        </w:tc>
        <w:tc>
          <w:tcPr>
            <w:tcW w:type="dxa" w:w="2351"/>
            <w:shd w:val="clear" w:color="auto" w:fill="FFFFFF"/>
          </w:tcPr>
          <w:p>
            <w:r>
              <w:rPr>
                <w:sz w:val="18"/>
              </w:rPr>
              <w:t>Individual / cooperative</w:t>
            </w:r>
          </w:p>
        </w:tc>
      </w:tr>
      <w:tr>
        <w:tc>
          <w:tcPr>
            <w:tcW w:type="dxa" w:w="2351"/>
            <w:shd w:val="clear" w:color="auto" w:fill="F2F2F2"/>
          </w:tcPr>
          <w:p>
            <w:r>
              <w:rPr>
                <w:sz w:val="18"/>
              </w:rPr>
              <w:t>Retort Kiln (small)</w:t>
            </w:r>
          </w:p>
        </w:tc>
        <w:tc>
          <w:tcPr>
            <w:tcW w:type="dxa" w:w="2351"/>
            <w:shd w:val="clear" w:color="auto" w:fill="F2F2F2"/>
          </w:tcPr>
          <w:p>
            <w:r>
              <w:rPr>
                <w:sz w:val="18"/>
              </w:rPr>
              <w:t>7.3/10</w:t>
            </w:r>
          </w:p>
        </w:tc>
        <w:tc>
          <w:tcPr>
            <w:tcW w:type="dxa" w:w="2351"/>
            <w:shd w:val="clear" w:color="auto" w:fill="F2F2F2"/>
          </w:tcPr>
          <w:p>
            <w:r>
              <w:rPr>
                <w:sz w:val="18"/>
              </w:rPr>
              <w:t>Good–High</w:t>
            </w:r>
          </w:p>
        </w:tc>
        <w:tc>
          <w:tcPr>
            <w:tcW w:type="dxa" w:w="2351"/>
            <w:shd w:val="clear" w:color="auto" w:fill="F2F2F2"/>
          </w:tcPr>
          <w:p>
            <w:r>
              <w:rPr>
                <w:sz w:val="18"/>
              </w:rPr>
              <w:t>Cooperative / SME</w:t>
            </w:r>
          </w:p>
        </w:tc>
      </w:tr>
      <w:tr>
        <w:tc>
          <w:tcPr>
            <w:tcW w:type="dxa" w:w="2351"/>
            <w:shd w:val="clear" w:color="auto" w:fill="FFFFFF"/>
          </w:tcPr>
          <w:p>
            <w:r>
              <w:rPr>
                <w:sz w:val="18"/>
              </w:rPr>
              <w:t>Slow Pyrolysis (small)</w:t>
            </w:r>
          </w:p>
        </w:tc>
        <w:tc>
          <w:tcPr>
            <w:tcW w:type="dxa" w:w="2351"/>
            <w:shd w:val="clear" w:color="auto" w:fill="FFFFFF"/>
          </w:tcPr>
          <w:p>
            <w:r>
              <w:rPr>
                <w:sz w:val="18"/>
              </w:rPr>
              <w:t>7.9/10</w:t>
            </w:r>
          </w:p>
        </w:tc>
        <w:tc>
          <w:tcPr>
            <w:tcW w:type="dxa" w:w="2351"/>
            <w:shd w:val="clear" w:color="auto" w:fill="FFFFFF"/>
          </w:tcPr>
          <w:p>
            <w:r>
              <w:rPr>
                <w:sz w:val="18"/>
              </w:rPr>
              <w:t>High</w:t>
            </w:r>
          </w:p>
        </w:tc>
        <w:tc>
          <w:tcPr>
            <w:tcW w:type="dxa" w:w="2351"/>
            <w:shd w:val="clear" w:color="auto" w:fill="FFFFFF"/>
          </w:tcPr>
          <w:p>
            <w:r>
              <w:rPr>
                <w:sz w:val="18"/>
              </w:rPr>
              <w:t>SME / CDM project scale</w:t>
            </w:r>
          </w:p>
        </w:tc>
      </w:tr>
    </w:tbl>
    <w:p/>
    <w:p>
      <w:pPr>
        <w:spacing w:after="120"/>
      </w:pPr>
      <w:r>
        <w:rPr>
          <w:b w:val="0"/>
          <w:i w:val="0"/>
        </w:rPr>
        <w:t>The Metal Drum/TLUD kiln scores highest on cost-effectiveness and scalability, while slow pyrolysis units lead on carbon quality and GHG mitigation potential. For most artisanal carbon accounting projects, TLUD drum kilns or small retorts are recommended as the primary intervention technology.</w:t>
      </w:r>
    </w:p>
    <w:p>
      <w:r>
        <w:br w:type="page"/>
      </w:r>
    </w:p>
    <w:p>
      <w:pPr>
        <w:pStyle w:val="Heading1"/>
      </w:pPr>
      <w:r>
        <w:rPr>
          <w:color w:val="1F5C2E"/>
        </w:rPr>
        <w:t>9. Challenges &amp; Barriers</w:t>
      </w:r>
    </w:p>
    <w:p>
      <w:pPr>
        <w:pStyle w:val="Heading2"/>
      </w:pPr>
      <w:r>
        <w:rPr>
          <w:color w:val="2E8B57"/>
        </w:rPr>
        <w:t>9.x  Feedstock sustainability</w:t>
      </w:r>
    </w:p>
    <w:p>
      <w:pPr>
        <w:spacing w:after="120"/>
      </w:pPr>
      <w:r>
        <w:rPr>
          <w:b w:val="0"/>
          <w:i w:val="0"/>
        </w:rPr>
        <w:t>Without robust supply-chain protocols, large-scale artisanal biochar production risks unsustainable biomass extraction and potential land-use conflicts. Sustainability criteria aligned with FSC, RSPO, or national regulations are essential.</w:t>
      </w:r>
    </w:p>
    <w:p>
      <w:pPr>
        <w:pStyle w:val="Heading2"/>
      </w:pPr>
      <w:r>
        <w:rPr>
          <w:color w:val="2E8B57"/>
        </w:rPr>
        <w:t>9.x  Carbon credit access</w:t>
      </w:r>
    </w:p>
    <w:p>
      <w:pPr>
        <w:spacing w:after="120"/>
      </w:pPr>
      <w:r>
        <w:rPr>
          <w:b w:val="0"/>
          <w:i w:val="0"/>
        </w:rPr>
        <w:t>Small-scale producers face significant transaction costs in accessing voluntary carbon markets. Monitoring, Reporting, and Verification (MRV) costs can exceed USD 5,000–15,000 per project cycle, making individual operations non-viable and requiring aggregation models.</w:t>
      </w:r>
    </w:p>
    <w:p>
      <w:pPr>
        <w:pStyle w:val="Heading2"/>
      </w:pPr>
      <w:r>
        <w:rPr>
          <w:color w:val="2E8B57"/>
        </w:rPr>
        <w:t>9.x  Biochar quality consistency</w:t>
      </w:r>
    </w:p>
    <w:p>
      <w:pPr>
        <w:spacing w:after="120"/>
      </w:pPr>
      <w:r>
        <w:rPr>
          <w:b w:val="0"/>
          <w:i w:val="0"/>
        </w:rPr>
        <w:t>Artisanal production naturally results in greater variability than industrial processes. Technology training, standardised protocols, and quality testing infrastructure are needed to reliably meet IBI/EBC certification thresholds.</w:t>
      </w:r>
    </w:p>
    <w:p>
      <w:pPr>
        <w:pStyle w:val="Heading2"/>
      </w:pPr>
      <w:r>
        <w:rPr>
          <w:color w:val="2E8B57"/>
        </w:rPr>
        <w:t>9.x  Market infrastructure</w:t>
      </w:r>
    </w:p>
    <w:p>
      <w:pPr>
        <w:spacing w:after="120"/>
      </w:pPr>
      <w:r>
        <w:rPr>
          <w:b w:val="0"/>
          <w:i w:val="0"/>
        </w:rPr>
        <w:t>Local demand for biochar as a soil amendment is often limited by low farmer awareness and upfront cost barriers. Development of domestic demand through demonstration plots, subsidy schemes, and buyer cooperatives is necessary to complement carbon revenue.</w:t>
      </w:r>
    </w:p>
    <w:p>
      <w:pPr>
        <w:pStyle w:val="Heading2"/>
      </w:pPr>
      <w:r>
        <w:rPr>
          <w:color w:val="2E8B57"/>
        </w:rPr>
        <w:t>9.x  Enabling policy environment</w:t>
      </w:r>
    </w:p>
    <w:p>
      <w:pPr>
        <w:spacing w:after="120"/>
      </w:pPr>
      <w:r>
        <w:rPr>
          <w:b w:val="0"/>
          <w:i w:val="0"/>
        </w:rPr>
        <w:t>Many target countries lack specific biochar policies, regulatory frameworks, or carbon market access mechanisms. NDCS (Nationally Determined Contributions) and Article 6 frameworks under the Paris Agreement are slowly creating the necessary policy architecture.</w:t>
      </w:r>
    </w:p>
    <w:p>
      <w:r>
        <w:br w:type="page"/>
      </w:r>
    </w:p>
    <w:p>
      <w:pPr>
        <w:pStyle w:val="Heading1"/>
      </w:pPr>
      <w:r>
        <w:rPr>
          <w:color w:val="1F5C2E"/>
        </w:rPr>
        <w:t>10. Opportunities &amp; Recommendations</w:t>
      </w:r>
    </w:p>
    <w:p>
      <w:pPr>
        <w:pStyle w:val="ListBullet"/>
        <w:spacing w:after="120"/>
      </w:pPr>
      <w:r>
        <w:t>Prioritise TLUD drum kiln adoption in Sub-Saharan Africa and South Asia through subsidised equipment finance and capacity-building programmes, targeting the 250 million smallholder households with access to agricultural residue feedstocks.</w:t>
      </w:r>
    </w:p>
    <w:p>
      <w:pPr>
        <w:pStyle w:val="ListBullet"/>
        <w:spacing w:after="120"/>
      </w:pPr>
      <w:r>
        <w:t>Develop aggregated MRV platforms (mobile/digital) to reduce carbon credit transaction costs below USD 2/tCO₂e, enabling small-scale projects to participate in voluntary carbon markets through cooperatives or NGO-supported aggregation.</w:t>
      </w:r>
    </w:p>
    <w:p>
      <w:pPr>
        <w:pStyle w:val="ListBullet"/>
        <w:spacing w:after="120"/>
      </w:pPr>
      <w:r>
        <w:t>Establish national biochar quality standards and government procurement schemes (e.g., mandated biochar inclusion in public agricultural input programmes) to drive domestic demand and provide price-floor certainty for producers.</w:t>
      </w:r>
    </w:p>
    <w:p>
      <w:pPr>
        <w:pStyle w:val="ListBullet"/>
        <w:spacing w:after="120"/>
      </w:pPr>
      <w:r>
        <w:t>Leverage Article 6 of the Paris Agreement to create host-country carbon crediting frameworks that allow artisanal biochar to be counted toward both Internationally Transferred Mitigation Outcomes (ITMOs) and domestic NDC targets.</w:t>
      </w:r>
    </w:p>
    <w:p>
      <w:pPr>
        <w:pStyle w:val="ListBullet"/>
        <w:spacing w:after="120"/>
      </w:pPr>
      <w:r>
        <w:t>Invest in long-term soil carbon monitoring networks to build the permanence evidence base needed for higher-tier carbon credit pricing for artisanal biochar, enabling premium certification analogous to EBC-C-Sink Class 1.</w:t>
      </w:r>
    </w:p>
    <w:p>
      <w:pPr>
        <w:pStyle w:val="ListBullet"/>
        <w:spacing w:after="120"/>
      </w:pPr>
      <w:r>
        <w:t>Integrate artisanal biochar into climate-smart agriculture (CSA) extension programmes to demonstrate the co-benefits of biochar application on smallholder crop productivity and soil health, building demand from the bottom up.</w:t>
      </w:r>
    </w:p>
    <w:p>
      <w:r>
        <w:br w:type="page"/>
      </w:r>
    </w:p>
    <w:p>
      <w:pPr>
        <w:pStyle w:val="Heading1"/>
      </w:pPr>
      <w:r>
        <w:rPr>
          <w:color w:val="1F5C2E"/>
        </w:rPr>
        <w:t>11. Conclusions</w:t>
      </w:r>
    </w:p>
    <w:p>
      <w:pPr>
        <w:spacing w:after="120"/>
      </w:pPr>
      <w:r>
        <w:rPr>
          <w:b w:val="0"/>
          <w:i w:val="0"/>
        </w:rPr>
        <w:t>Artisanal biochar technology offers a technically proven, economically viable, and immediately deployable pathway for carbon sequestration and rural development across the Global South. With over 500,000 tonnes produced annually and a market growing at 12–15 % per year, the sector is demonstrating clear commercial momentum.</w:t>
      </w:r>
    </w:p>
    <w:p>
      <w:pPr>
        <w:spacing w:after="120"/>
      </w:pPr>
      <w:r>
        <w:rPr>
          <w:b w:val="0"/>
          <w:i w:val="0"/>
        </w:rPr>
        <w:t>The statistical evidence from 68 peer-reviewed studies confirms that technology choice is the single most important determinant of biochar carbon quality and GHG mitigation potential. TLUD drum kilns and small retort kilns deliver the best combination of carbon quality, cost-effectiveness, and scalability for artisanal contexts.</w:t>
      </w:r>
    </w:p>
    <w:p>
      <w:pPr>
        <w:spacing w:after="120"/>
      </w:pPr>
      <w:r>
        <w:rPr>
          <w:b w:val="0"/>
          <w:i w:val="0"/>
        </w:rPr>
        <w:t>Economic analysis shows positive NPVs at carbon prices above USD 10–15/tCO₂e for mid-scale operations, a threshold already exceeded in current VCM spot markets. The trajectory of both biochar product prices and carbon credit prices provides a favourable long-term economic outlook, particularly when production is aggregated and certified to EBC or IBI standards.</w:t>
      </w:r>
    </w:p>
    <w:p>
      <w:pPr>
        <w:spacing w:after="120"/>
      </w:pPr>
      <w:r>
        <w:rPr>
          <w:b w:val="0"/>
          <w:i w:val="0"/>
        </w:rPr>
        <w:t>The key constraints—feedstock sustainability, MRV transaction costs, and market infrastructure—are institutional and financial rather than technical. Targeted policy support, development finance, and digital MRV solutions can address these constraints at scale within the 2024–2030 window, enabling artisanal biochar to make a meaningful and measurable contribution to national and global climate goals.</w:t>
      </w:r>
    </w:p>
    <w:p>
      <w:r>
        <w:br w:type="page"/>
      </w:r>
    </w:p>
    <w:p>
      <w:pPr>
        <w:pStyle w:val="Heading1"/>
      </w:pPr>
      <w:r>
        <w:rPr>
          <w:color w:val="1F5C2E"/>
        </w:rPr>
        <w:t>12. References &amp; Data Sources</w:t>
      </w:r>
    </w:p>
    <w:p>
      <w:pPr>
        <w:pStyle w:val="ListNumber"/>
        <w:spacing w:after="80"/>
      </w:pPr>
      <w:r>
        <w:t>IBI (International Biochar Initiative) (2023). Biochar Standards v2.1; Global Market Report 2023. www.biochar-international.org</w:t>
      </w:r>
    </w:p>
    <w:p>
      <w:pPr>
        <w:pStyle w:val="ListNumber"/>
        <w:spacing w:after="80"/>
      </w:pPr>
      <w:r>
        <w:t>IPCC (2021–2023). Sixth Assessment Report (AR6). Chapter 7: Agriculture, Forestry and Land Use – Default Emission Factors. www.ipcc.ch/ar6</w:t>
      </w:r>
    </w:p>
    <w:p>
      <w:pPr>
        <w:pStyle w:val="ListNumber"/>
        <w:spacing w:after="80"/>
      </w:pPr>
      <w:r>
        <w:t>Schmidt, H.-P. &amp; Taylor, P. (2022). Artisanal biochar: Technology review and scalability. Biochar Journal, 14(2), 112–134.</w:t>
      </w:r>
    </w:p>
    <w:p>
      <w:pPr>
        <w:pStyle w:val="ListNumber"/>
        <w:spacing w:after="80"/>
      </w:pPr>
      <w:r>
        <w:t>FAO (2023). Agricultural Residue Availability for Biochar Production – Global Estimates. FAO Agricultural Development Report.</w:t>
      </w:r>
    </w:p>
    <w:p>
      <w:pPr>
        <w:pStyle w:val="ListNumber"/>
        <w:spacing w:after="80"/>
      </w:pPr>
      <w:r>
        <w:t>World Bank (2023). Carbon Pricing Report 2023: Carbon Market Price Data and Voluntary Carbon Offset Trends. Washington D.C.</w:t>
      </w:r>
    </w:p>
    <w:p>
      <w:pPr>
        <w:pStyle w:val="ListNumber"/>
        <w:spacing w:after="80"/>
      </w:pPr>
      <w:r>
        <w:t>Lehmann, J., Cowie, A., Masiello, C.A. et al. (2021). Biochar in climate change mitigation. Nature Geoscience, 14, 883–892.</w:t>
      </w:r>
    </w:p>
    <w:p>
      <w:pPr>
        <w:pStyle w:val="ListNumber"/>
        <w:spacing w:after="80"/>
      </w:pPr>
      <w:r>
        <w:t>Woolf, D., Amonette, J.E., Street-Perrott, F.A. et al. (2010). Sustainable biochar to mitigate global climate change. Nature Communications, 1, 56.</w:t>
      </w:r>
    </w:p>
    <w:p>
      <w:pPr>
        <w:pStyle w:val="ListNumber"/>
        <w:spacing w:after="80"/>
      </w:pPr>
      <w:r>
        <w:t>Njenga, M., Yonemitsu, A., Karanja, N. et al. (2020). Artisanal charcoal kilns: Emission factors and efficiency in Kenya. Energy for Sustainable Development, 58, 127–137.</w:t>
      </w:r>
    </w:p>
    <w:p>
      <w:pPr>
        <w:pStyle w:val="ListNumber"/>
        <w:spacing w:after="80"/>
      </w:pPr>
      <w:r>
        <w:t>EBC (European Biochar Certificate) (2023). EBC Guidelines 2023; Carbon Sink Accounting Protocol. www.european-biochar.org</w:t>
      </w:r>
    </w:p>
    <w:p>
      <w:pPr>
        <w:pStyle w:val="ListNumber"/>
        <w:spacing w:after="80"/>
      </w:pPr>
      <w:r>
        <w:t>MarketsandMarkets (2023). Global Biochar Market – Size, Share, Trends, and Forecast to 2030. Market Research Report.</w:t>
      </w:r>
    </w:p>
    <w:p>
      <w:pPr>
        <w:pStyle w:val="ListNumber"/>
        <w:spacing w:after="80"/>
      </w:pPr>
      <w:r>
        <w:t>Lehmann, J. &amp; Joseph, S. (Eds.) (2015). Biochar for Environmental Management: Science, Technology and Implementation (2nd ed.). Routledge.</w:t>
      </w:r>
    </w:p>
    <w:p>
      <w:pPr>
        <w:pStyle w:val="ListNumber"/>
        <w:spacing w:after="80"/>
      </w:pPr>
      <w:r>
        <w:t>Jeffery, S., Verheijen, F.G.A., van der Velde, M. &amp; Bastos, A.C. (2011). A quantitative review of the effects of biochar application to soils on crop productivity. Agriculture, Ecosystems &amp; Environment, 144(1), 175–187.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