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ACFD" w14:textId="57B73271" w:rsidR="008F168E" w:rsidRPr="00F43008" w:rsidRDefault="000D2484" w:rsidP="00F43008">
      <w:pPr>
        <w:pStyle w:val="Title"/>
        <w:rPr>
          <w:szCs w:val="28"/>
        </w:rPr>
      </w:pPr>
      <w:r>
        <w:rPr>
          <w:szCs w:val="28"/>
        </w:rPr>
        <w:t>Evaluating CNN Layers Given Emotional Stimuli for FFA Mapping</w:t>
      </w:r>
    </w:p>
    <w:p w14:paraId="31ED315D" w14:textId="66944693" w:rsidR="008F168E" w:rsidRPr="00AB11DD" w:rsidRDefault="005B0D64" w:rsidP="00F43008">
      <w:pPr>
        <w:pStyle w:val="Authorname"/>
        <w:spacing w:before="240"/>
        <w:rPr>
          <w:lang w:val="de-DE"/>
        </w:rPr>
      </w:pPr>
      <w:r>
        <w:rPr>
          <w:lang w:val="de-DE"/>
        </w:rPr>
        <w:t>Mihir Kadiwala</w:t>
      </w:r>
      <w:r w:rsidR="008F168E" w:rsidRPr="00AB11DD">
        <w:rPr>
          <w:lang w:val="de-DE"/>
        </w:rPr>
        <w:t xml:space="preserve"> (</w:t>
      </w:r>
      <w:r>
        <w:rPr>
          <w:lang w:val="de-DE"/>
        </w:rPr>
        <w:t>kadi@gatech</w:t>
      </w:r>
      <w:r w:rsidR="008F168E" w:rsidRPr="00AB11DD">
        <w:rPr>
          <w:lang w:val="de-DE"/>
        </w:rPr>
        <w:t>.</w:t>
      </w:r>
      <w:r>
        <w:rPr>
          <w:lang w:val="de-DE"/>
        </w:rPr>
        <w:t>e</w:t>
      </w:r>
      <w:r w:rsidR="008F168E" w:rsidRPr="00AB11DD">
        <w:rPr>
          <w:lang w:val="de-DE"/>
        </w:rPr>
        <w:t>du)</w:t>
      </w:r>
    </w:p>
    <w:p w14:paraId="738B9340" w14:textId="52176A48" w:rsidR="008F168E" w:rsidRDefault="005B0D64" w:rsidP="008F168E">
      <w:pPr>
        <w:pStyle w:val="Affiliation"/>
      </w:pPr>
      <w:r>
        <w:t>College of Computing</w:t>
      </w:r>
      <w:r w:rsidR="008F168E">
        <w:t xml:space="preserve">, </w:t>
      </w:r>
      <w:r>
        <w:t>801 Atlantic Dr NW,</w:t>
      </w:r>
    </w:p>
    <w:p w14:paraId="4C9CEF9E" w14:textId="53997110" w:rsidR="008F168E" w:rsidRDefault="005B0D64" w:rsidP="00F43008">
      <w:pPr>
        <w:pStyle w:val="Affiliation"/>
      </w:pPr>
      <w:r>
        <w:t>Atlanta</w:t>
      </w:r>
      <w:r w:rsidR="008F168E">
        <w:t>,</w:t>
      </w:r>
      <w:r>
        <w:t xml:space="preserve"> GA</w:t>
      </w:r>
      <w:r w:rsidR="008F168E">
        <w:t xml:space="preserve"> </w:t>
      </w:r>
      <w:r>
        <w:t>30332</w:t>
      </w:r>
      <w:r w:rsidR="008F168E">
        <w:t xml:space="preserve"> USA</w:t>
      </w:r>
    </w:p>
    <w:p w14:paraId="2246748B" w14:textId="77777777" w:rsidR="00E978D0" w:rsidRDefault="00E978D0" w:rsidP="00F43008">
      <w:pPr>
        <w:ind w:firstLine="0"/>
      </w:pPr>
    </w:p>
    <w:p w14:paraId="03F1CE4B" w14:textId="77777777" w:rsidR="003164E5" w:rsidRDefault="003164E5">
      <w:pPr>
        <w:ind w:firstLine="0"/>
      </w:pPr>
    </w:p>
    <w:p w14:paraId="6E83C5E5" w14:textId="77777777" w:rsidR="008F168E" w:rsidRDefault="008F168E" w:rsidP="00F43008">
      <w:pPr>
        <w:ind w:firstLine="0"/>
        <w:sectPr w:rsidR="008F168E" w:rsidSect="00393C35">
          <w:type w:val="continuous"/>
          <w:pgSz w:w="12240" w:h="15840" w:code="1"/>
          <w:pgMar w:top="1440" w:right="1080" w:bottom="1080" w:left="1080" w:header="720" w:footer="720" w:gutter="0"/>
          <w:cols w:space="720"/>
        </w:sectPr>
      </w:pPr>
    </w:p>
    <w:p w14:paraId="504BDA4D" w14:textId="77777777" w:rsidR="00393C35" w:rsidRDefault="00393C35">
      <w:pPr>
        <w:pStyle w:val="Abstractheading"/>
        <w:spacing w:after="120"/>
      </w:pPr>
      <w:r>
        <w:t>Abstract</w:t>
      </w:r>
    </w:p>
    <w:p w14:paraId="5CBAE313" w14:textId="0167A835" w:rsidR="005B0D64" w:rsidRPr="005B0D64" w:rsidRDefault="005B0D64" w:rsidP="005B0D64">
      <w:pPr>
        <w:pStyle w:val="Abstracttext"/>
        <w:spacing w:before="120"/>
        <w:ind w:left="187" w:right="187"/>
      </w:pPr>
      <w:r w:rsidRPr="005B0D64">
        <w:t>Logic and reasoning are integral parts of human cognition, but so is emotion. Convolutional neural networks have their foundation in cognitive science and neuroscience. Particularly, the different regions of the brain that serve different purposes.</w:t>
      </w:r>
      <w:r>
        <w:t xml:space="preserve"> It has been noted that the </w:t>
      </w:r>
      <w:r w:rsidR="00664B2A">
        <w:t>progression of layers in a convolutional neural network map to the ventral visual stream. In human brains, we have specific cortical regions that can detect individual faces and the emotion that they present.</w:t>
      </w:r>
      <w:r w:rsidRPr="005B0D64">
        <w:t xml:space="preserve"> I hope to use a list of emotionally relevant stimuli to pass into a</w:t>
      </w:r>
      <w:r w:rsidR="00664B2A">
        <w:t xml:space="preserve"> trained</w:t>
      </w:r>
      <w:r w:rsidRPr="005B0D64">
        <w:t xml:space="preserve"> ResNet</w:t>
      </w:r>
      <w:r w:rsidR="00664B2A">
        <w:t>50</w:t>
      </w:r>
      <w:r w:rsidRPr="005B0D64">
        <w:t xml:space="preserve"> CNN </w:t>
      </w:r>
      <w:r w:rsidR="00664B2A">
        <w:t>model</w:t>
      </w:r>
      <w:r w:rsidRPr="005B0D64">
        <w:t xml:space="preserve"> and evaluate how well this model does at representing emotions using the facial imagery shown in images. I will also look at the different layers to see if the model is sensitive to the stimuli at certain layers. Since humans most notably process faces at the fusiform face area in the brain, I will be most interested in finding the ResNet</w:t>
      </w:r>
      <w:r w:rsidR="00664B2A">
        <w:t>50</w:t>
      </w:r>
      <w:r w:rsidRPr="005B0D64">
        <w:t xml:space="preserve"> equivalent of this area and evaluate if the different types of stimuli </w:t>
      </w:r>
      <w:r w:rsidR="00664B2A">
        <w:t>are represented differently for this layer.</w:t>
      </w:r>
    </w:p>
    <w:p w14:paraId="443712DB" w14:textId="73BEBE1B" w:rsidR="00393C35" w:rsidRDefault="00393C35">
      <w:pPr>
        <w:pStyle w:val="Abstracttext"/>
        <w:spacing w:before="120"/>
        <w:ind w:left="187" w:right="187"/>
      </w:pPr>
      <w:r>
        <w:rPr>
          <w:b/>
          <w:bCs/>
        </w:rPr>
        <w:t>Keywords:</w:t>
      </w:r>
      <w:r>
        <w:rPr>
          <w:b/>
        </w:rPr>
        <w:t xml:space="preserve"> </w:t>
      </w:r>
      <w:r w:rsidR="00664B2A">
        <w:rPr>
          <w:bCs/>
        </w:rPr>
        <w:t xml:space="preserve">FFA; CNN; </w:t>
      </w:r>
      <w:proofErr w:type="gramStart"/>
      <w:r w:rsidR="00664B2A">
        <w:rPr>
          <w:bCs/>
        </w:rPr>
        <w:t>ResNet50;</w:t>
      </w:r>
      <w:proofErr w:type="gramEnd"/>
    </w:p>
    <w:p w14:paraId="0FDB2391" w14:textId="1979F751" w:rsidR="00393C35" w:rsidRDefault="00664B2A" w:rsidP="00056C88">
      <w:pPr>
        <w:pStyle w:val="Heading1"/>
      </w:pPr>
      <w:r>
        <w:t>Understanding</w:t>
      </w:r>
      <w:r w:rsidR="009D596F">
        <w:t xml:space="preserve"> The Human Ventral Visual Stream</w:t>
      </w:r>
    </w:p>
    <w:p w14:paraId="64F03A81" w14:textId="54415D43" w:rsidR="00393C35" w:rsidRDefault="00EC6AD0" w:rsidP="00393C35">
      <w:pPr>
        <w:pStyle w:val="NormalSectionStart"/>
      </w:pPr>
      <w:r>
        <w:t>The</w:t>
      </w:r>
      <w:r w:rsidR="009D596F">
        <w:t xml:space="preserve"> basis of this paper explores how select models for computing produce similar patterns shown in human neural pathways. It is important to note the patterns that have evolved in human brains first, to understand what exactly we are looking for.</w:t>
      </w:r>
    </w:p>
    <w:p w14:paraId="20D755C8" w14:textId="2D90AD2B" w:rsidR="009D596F" w:rsidRDefault="00393C35" w:rsidP="00393C35">
      <w:r>
        <w:t xml:space="preserve">The </w:t>
      </w:r>
      <w:r w:rsidR="009D596F">
        <w:t xml:space="preserve">ventral visual stream is also known as the “what” pathway in humans. It is responsible for processing visual input from the eyes, first processed from the ganglion cells in the retina. Then, the </w:t>
      </w:r>
      <w:r w:rsidR="00E546B7">
        <w:t xml:space="preserve">information is sent to the primary visual cortex, which is responsible for initial processing, which detects edges, lines, and other basic stimuli. Then, the secondary visual cortex integrates information from the primary visual cortex and </w:t>
      </w:r>
      <w:proofErr w:type="gramStart"/>
      <w:r w:rsidR="00E546B7">
        <w:t>is able to</w:t>
      </w:r>
      <w:proofErr w:type="gramEnd"/>
      <w:r w:rsidR="00E546B7">
        <w:t xml:space="preserve"> detect more complex patterns like texture and contours. The tertiary visual cortex </w:t>
      </w:r>
      <w:proofErr w:type="gramStart"/>
      <w:r w:rsidR="00E546B7">
        <w:t>is able to</w:t>
      </w:r>
      <w:proofErr w:type="gramEnd"/>
      <w:r w:rsidR="00E546B7">
        <w:t xml:space="preserve"> </w:t>
      </w:r>
    </w:p>
    <w:p w14:paraId="6F0155FB" w14:textId="7C213410" w:rsidR="00393C35" w:rsidRDefault="00393C35" w:rsidP="00393C35">
      <w:r>
        <w:t xml:space="preserve">text of the paper should be formatted in two columns with an overall width of 7 inches (17.8 cm) and length of 9.25 inches (23.5 cm), with 0.25 inches between the columns. Leave </w:t>
      </w:r>
      <w:proofErr w:type="gramStart"/>
      <w:r>
        <w:t>two line</w:t>
      </w:r>
      <w:proofErr w:type="gramEnd"/>
      <w:r>
        <w:t xml:space="preserve"> spaces between the last author listed and the text of the paper</w:t>
      </w:r>
      <w:r w:rsidR="00FF6FB5">
        <w:t xml:space="preserve">; the text of the paper </w:t>
      </w:r>
      <w:r w:rsidR="007C3491">
        <w:t xml:space="preserve">(starting with the abstract) </w:t>
      </w:r>
      <w:r w:rsidR="00FF6FB5">
        <w:t>should begin</w:t>
      </w:r>
      <w:r w:rsidR="0003754E">
        <w:t xml:space="preserve"> no less than 2</w:t>
      </w:r>
      <w:r w:rsidR="00FF6FB5">
        <w:t>.75 inches below the top of the page</w:t>
      </w:r>
      <w:r w:rsidR="00BB55A0">
        <w:t>.</w:t>
      </w:r>
      <w:r>
        <w:t xml:space="preserve"> The left margin should be 0.75 inches and the top margin should be 1 inch. </w:t>
      </w:r>
      <w:r w:rsidRPr="00EC6AD0">
        <w:rPr>
          <w:b/>
        </w:rPr>
        <w:t>The right and bottom margins will depend on whether you use U.S. letter or A4 paper, so you must be sure to measure the width of the printed text.</w:t>
      </w:r>
      <w:r>
        <w:t xml:space="preserve"> Use </w:t>
      </w:r>
      <w:proofErr w:type="gramStart"/>
      <w:r>
        <w:t>10 point</w:t>
      </w:r>
      <w:proofErr w:type="gramEnd"/>
      <w:r>
        <w:t xml:space="preserve"> Times Roman with 12 point vertical spacing, unless otherwise specified. </w:t>
      </w:r>
    </w:p>
    <w:p w14:paraId="214C6656" w14:textId="77777777" w:rsidR="00393C35" w:rsidRDefault="00393C35">
      <w:pPr>
        <w:ind w:firstLine="180"/>
      </w:pPr>
      <w:r>
        <w:t xml:space="preserve">The title should be </w:t>
      </w:r>
      <w:r w:rsidR="00A44551">
        <w:t xml:space="preserve">in </w:t>
      </w:r>
      <w:proofErr w:type="gramStart"/>
      <w:r>
        <w:t>14 point</w:t>
      </w:r>
      <w:proofErr w:type="gramEnd"/>
      <w:r>
        <w:t xml:space="preserve"> bold</w:t>
      </w:r>
      <w:r w:rsidR="00A44551">
        <w:t xml:space="preserve"> font</w:t>
      </w:r>
      <w:r>
        <w:t xml:space="preserve">, centered. The title should be formatted with initial caps (the first letter of content words capitalized and the rest lower case). </w:t>
      </w:r>
      <w:r w:rsidR="0091525C">
        <w:t xml:space="preserve">In the initial submission, the phrase “Anonymous </w:t>
      </w:r>
      <w:proofErr w:type="spellStart"/>
      <w:r w:rsidR="0091525C">
        <w:t>CogSci</w:t>
      </w:r>
      <w:proofErr w:type="spellEnd"/>
      <w:r w:rsidR="0091525C">
        <w:t xml:space="preserve"> submission” should appear below the title</w:t>
      </w:r>
      <w:r w:rsidR="00322217">
        <w:t>, centered,</w:t>
      </w:r>
      <w:r w:rsidR="0091525C">
        <w:t xml:space="preserve"> in </w:t>
      </w:r>
      <w:proofErr w:type="gramStart"/>
      <w:r w:rsidR="0091525C">
        <w:t>11 point</w:t>
      </w:r>
      <w:proofErr w:type="gramEnd"/>
      <w:r w:rsidR="0091525C">
        <w:t xml:space="preserve"> bold font.  In the final submission,</w:t>
      </w:r>
      <w:r w:rsidR="00842BF7">
        <w:t xml:space="preserve"> </w:t>
      </w:r>
      <w:r w:rsidR="0091525C">
        <w:t>e</w:t>
      </w:r>
      <w:r>
        <w:t>ach author’s name should appear on a separate line, 11 point bold</w:t>
      </w:r>
      <w:r w:rsidR="00EC6AD0">
        <w:t>,</w:t>
      </w:r>
      <w:r>
        <w:t xml:space="preserve"> and centered, with the author’s email address in parentheses. Under each author’s name list the author’s affiliation and postal address in ordinary </w:t>
      </w:r>
      <w:proofErr w:type="gramStart"/>
      <w:r>
        <w:t>10 point</w:t>
      </w:r>
      <w:proofErr w:type="gramEnd"/>
      <w:r>
        <w:t xml:space="preserve"> type.</w:t>
      </w:r>
    </w:p>
    <w:p w14:paraId="0AFEB727" w14:textId="77777777" w:rsidR="00393C35" w:rsidRDefault="00393C35">
      <w:pPr>
        <w:ind w:firstLine="180"/>
      </w:pPr>
      <w:r>
        <w:t>Indent the first line of each paragraph by 1/8 inch (except for the first paragraph of a new section). Do not add extra vertical space between paragraphs.</w:t>
      </w:r>
    </w:p>
    <w:p w14:paraId="68C518B3" w14:textId="77777777" w:rsidR="00393C35" w:rsidRDefault="00981C23">
      <w:pPr>
        <w:pStyle w:val="Heading1"/>
      </w:pPr>
      <w:r>
        <w:t xml:space="preserve">First </w:t>
      </w:r>
      <w:r w:rsidR="00393C35">
        <w:t>Level Headings</w:t>
      </w:r>
    </w:p>
    <w:p w14:paraId="6C517A71" w14:textId="77777777" w:rsidR="00393C35" w:rsidRDefault="00981C23">
      <w:pPr>
        <w:pStyle w:val="NormalSectionStart"/>
      </w:pPr>
      <w:r>
        <w:t xml:space="preserve">First </w:t>
      </w:r>
      <w:r w:rsidR="00393C35">
        <w:t xml:space="preserve">level headings should be </w:t>
      </w:r>
      <w:r w:rsidR="00A671D3">
        <w:t xml:space="preserve">in </w:t>
      </w:r>
      <w:proofErr w:type="gramStart"/>
      <w:r w:rsidR="00393C35">
        <w:t>12 point</w:t>
      </w:r>
      <w:proofErr w:type="gramEnd"/>
      <w:r w:rsidR="00393C35">
        <w:t xml:space="preserve">, initial caps, bold and centered. Leave one line space above the heading and </w:t>
      </w:r>
      <w:proofErr w:type="gramStart"/>
      <w:r w:rsidR="00393C35">
        <w:t>1/4 line</w:t>
      </w:r>
      <w:proofErr w:type="gramEnd"/>
      <w:r w:rsidR="00393C35">
        <w:t xml:space="preserve"> space below the heading.</w:t>
      </w:r>
    </w:p>
    <w:p w14:paraId="0CD34514" w14:textId="77777777" w:rsidR="00393C35" w:rsidRDefault="00981C23">
      <w:pPr>
        <w:pStyle w:val="Heading2"/>
      </w:pPr>
      <w:r>
        <w:t xml:space="preserve">Second </w:t>
      </w:r>
      <w:r w:rsidR="00393C35">
        <w:t>Level Headings</w:t>
      </w:r>
    </w:p>
    <w:p w14:paraId="200DC5B1" w14:textId="77777777" w:rsidR="00393C35" w:rsidRDefault="00981C23">
      <w:pPr>
        <w:pStyle w:val="NormalSectionStart"/>
      </w:pPr>
      <w:r>
        <w:t xml:space="preserve">Second </w:t>
      </w:r>
      <w:r w:rsidR="00393C35">
        <w:t xml:space="preserve">level headings should be </w:t>
      </w:r>
      <w:proofErr w:type="gramStart"/>
      <w:r w:rsidR="00393C35">
        <w:t>11 point</w:t>
      </w:r>
      <w:proofErr w:type="gramEnd"/>
      <w:r w:rsidR="00393C35">
        <w:t>, initial caps, bold, and flush left. Leave one line space above</w:t>
      </w:r>
      <w:r w:rsidR="00EC6AD0">
        <w:t xml:space="preserve"> the heading</w:t>
      </w:r>
      <w:r w:rsidR="00393C35">
        <w:t xml:space="preserve"> and </w:t>
      </w:r>
      <w:proofErr w:type="gramStart"/>
      <w:r w:rsidR="00393C35">
        <w:t>1/4 line</w:t>
      </w:r>
      <w:proofErr w:type="gramEnd"/>
      <w:r w:rsidR="00393C35">
        <w:t xml:space="preserve"> space below the heading.</w:t>
      </w:r>
    </w:p>
    <w:p w14:paraId="4B65DE55" w14:textId="77777777" w:rsidR="00393C35" w:rsidRDefault="00393C35">
      <w:pPr>
        <w:pStyle w:val="NormalSectionStart"/>
      </w:pPr>
    </w:p>
    <w:p w14:paraId="1E0F4437" w14:textId="77777777" w:rsidR="00393C35" w:rsidRDefault="00981C23">
      <w:pPr>
        <w:pStyle w:val="Heading3"/>
      </w:pPr>
      <w:r>
        <w:t xml:space="preserve">Third </w:t>
      </w:r>
      <w:r w:rsidR="00393C35">
        <w:t>Level Headings</w:t>
      </w:r>
      <w:r>
        <w:rPr>
          <w:b w:val="0"/>
        </w:rPr>
        <w:t xml:space="preserve"> Third </w:t>
      </w:r>
      <w:r w:rsidR="00393C35">
        <w:rPr>
          <w:b w:val="0"/>
        </w:rPr>
        <w:t xml:space="preserve">level headings should be </w:t>
      </w:r>
      <w:proofErr w:type="gramStart"/>
      <w:r w:rsidR="00393C35">
        <w:rPr>
          <w:b w:val="0"/>
        </w:rPr>
        <w:t>10 point</w:t>
      </w:r>
      <w:proofErr w:type="gramEnd"/>
      <w:r w:rsidR="00393C35">
        <w:rPr>
          <w:b w:val="0"/>
        </w:rPr>
        <w:t>, initial caps, bold, and flush left. Leave one line space above the heading, but no space after the heading</w:t>
      </w:r>
      <w:r w:rsidR="00393C35">
        <w:t>.</w:t>
      </w:r>
    </w:p>
    <w:p w14:paraId="4AB8A395" w14:textId="77777777" w:rsidR="00393C35" w:rsidRDefault="00393C35">
      <w:pPr>
        <w:pStyle w:val="Heading1"/>
        <w:spacing w:before="220"/>
      </w:pPr>
      <w:r>
        <w:t>Formalities, Footnotes, and Floats</w:t>
      </w:r>
    </w:p>
    <w:p w14:paraId="28686E69" w14:textId="77777777" w:rsidR="00393C35" w:rsidRDefault="00393C35">
      <w:pPr>
        <w:pStyle w:val="NormalSectionStart"/>
      </w:pPr>
      <w:r>
        <w:t xml:space="preserve">Use standard APA citation format. Citations within the text should include the author's last name and year. If the authors' names are included in the sentence, place only the year in parentheses, as in </w:t>
      </w:r>
      <w:r w:rsidR="00EC6AD0">
        <w:t>Newell and Simon (1972</w:t>
      </w:r>
      <w:r>
        <w:t>), but otherwise place the entire reference in parentheses with the authors and year separated by a comma (</w:t>
      </w:r>
      <w:r w:rsidR="00EC6AD0">
        <w:t>Newell &amp; Simon, 1972</w:t>
      </w:r>
      <w:r>
        <w:t>). List multiple references alphabetically and separate them by semicolons (</w:t>
      </w:r>
      <w:proofErr w:type="spellStart"/>
      <w:r w:rsidR="00EC6AD0">
        <w:t>Chalnick</w:t>
      </w:r>
      <w:proofErr w:type="spellEnd"/>
      <w:r w:rsidR="00EC6AD0">
        <w:t xml:space="preserve"> &amp; Billman, 1988; Newell &amp; Simon, 1972)</w:t>
      </w:r>
      <w:r>
        <w:t xml:space="preserve">. Use the </w:t>
      </w:r>
      <w:r w:rsidR="00EC6AD0">
        <w:t>“</w:t>
      </w:r>
      <w:r>
        <w:t>et al.</w:t>
      </w:r>
      <w:r w:rsidR="00EC6AD0">
        <w:t>”</w:t>
      </w:r>
      <w:r>
        <w:t xml:space="preserve"> construction only after listing all the authors to a publication in an earlier reference and for citations with four or more authors.</w:t>
      </w:r>
    </w:p>
    <w:p w14:paraId="49607F78" w14:textId="77777777" w:rsidR="00393C35" w:rsidRDefault="00393C35">
      <w:pPr>
        <w:pStyle w:val="Heading2"/>
      </w:pPr>
      <w:r>
        <w:t>Footnotes</w:t>
      </w:r>
    </w:p>
    <w:p w14:paraId="160709D2" w14:textId="77777777" w:rsidR="00393C35" w:rsidRDefault="00393C35">
      <w:pPr>
        <w:pStyle w:val="NormalSectionStart"/>
      </w:pPr>
      <w:r>
        <w:t>Indicate footnotes with a number</w:t>
      </w:r>
      <w:r>
        <w:rPr>
          <w:rStyle w:val="FootnoteReference"/>
        </w:rPr>
        <w:footnoteReference w:id="1"/>
      </w:r>
      <w:r w:rsidR="00EC6AD0">
        <w:t xml:space="preserve"> in the text. Place </w:t>
      </w:r>
      <w:r w:rsidR="00141566">
        <w:t xml:space="preserve">the footnotes </w:t>
      </w:r>
      <w:r>
        <w:t xml:space="preserve">in </w:t>
      </w:r>
      <w:proofErr w:type="gramStart"/>
      <w:r>
        <w:t>9 point</w:t>
      </w:r>
      <w:proofErr w:type="gramEnd"/>
      <w:r>
        <w:t xml:space="preserve"> </w:t>
      </w:r>
      <w:r w:rsidR="003474BC">
        <w:t xml:space="preserve">font </w:t>
      </w:r>
      <w:r w:rsidR="00EC6AD0">
        <w:t>at the bottom of the column</w:t>
      </w:r>
      <w:r>
        <w:t xml:space="preserve"> on which </w:t>
      </w:r>
      <w:r>
        <w:lastRenderedPageBreak/>
        <w:t xml:space="preserve">they appear. Precede the footnote </w:t>
      </w:r>
      <w:r w:rsidR="007C4F15">
        <w:t xml:space="preserve">block </w:t>
      </w:r>
      <w:r>
        <w:t>with a horizontal rule.</w:t>
      </w:r>
      <w:r>
        <w:rPr>
          <w:rStyle w:val="FootnoteReference"/>
        </w:rPr>
        <w:footnoteReference w:id="2"/>
      </w:r>
    </w:p>
    <w:p w14:paraId="27106DFF" w14:textId="77777777" w:rsidR="00393C35" w:rsidRDefault="00393C35">
      <w:pPr>
        <w:pStyle w:val="Heading2"/>
      </w:pPr>
      <w:r>
        <w:t>Tables</w:t>
      </w:r>
    </w:p>
    <w:p w14:paraId="3C5885A9" w14:textId="77777777" w:rsidR="00393C35" w:rsidRDefault="00EC6AD0">
      <w:pPr>
        <w:pStyle w:val="NormalSectionStart"/>
      </w:pPr>
      <w:r>
        <w:t>Number tables consecutively. P</w:t>
      </w:r>
      <w:r w:rsidR="00393C35">
        <w:t>lace the table number and title (in 10 point) above the table with one line space above the caption and one line space below it, as in Table 1. You may float tables to th</w:t>
      </w:r>
      <w:r>
        <w:t xml:space="preserve">e top or bottom of a column, </w:t>
      </w:r>
      <w:r w:rsidR="001D22C8">
        <w:t>and you may</w:t>
      </w:r>
      <w:r w:rsidR="00393C35">
        <w:t xml:space="preserve"> set wide tables across both columns.</w:t>
      </w:r>
    </w:p>
    <w:p w14:paraId="2B0C7CD0" w14:textId="77777777" w:rsidR="00EC6AD0" w:rsidRPr="00564D1E" w:rsidRDefault="00EC6AD0" w:rsidP="00EC6AD0"/>
    <w:p w14:paraId="191CF7EE" w14:textId="77777777" w:rsidR="00EC6AD0" w:rsidRDefault="00EC6AD0" w:rsidP="00EC6AD0">
      <w:pPr>
        <w:pStyle w:val="Figure"/>
      </w:pPr>
      <w:r>
        <w:t>Table 1: Sample table title.</w:t>
      </w:r>
    </w:p>
    <w:p w14:paraId="07601A10" w14:textId="77777777" w:rsidR="00EC6AD0" w:rsidRDefault="00EC6AD0" w:rsidP="00EC6AD0">
      <w:pPr>
        <w:pStyle w:val="NormalSectionStart"/>
      </w:pPr>
    </w:p>
    <w:tbl>
      <w:tblPr>
        <w:tblW w:w="0" w:type="auto"/>
        <w:tblInd w:w="1098" w:type="dxa"/>
        <w:tblLayout w:type="fixed"/>
        <w:tblLook w:val="0000" w:firstRow="0" w:lastRow="0" w:firstColumn="0" w:lastColumn="0" w:noHBand="0" w:noVBand="0"/>
      </w:tblPr>
      <w:tblGrid>
        <w:gridCol w:w="1606"/>
        <w:gridCol w:w="1274"/>
      </w:tblGrid>
      <w:tr w:rsidR="00EC6AD0" w14:paraId="0DD1EB55" w14:textId="77777777" w:rsidTr="00393C35">
        <w:trPr>
          <w:tblHeader/>
        </w:trPr>
        <w:tc>
          <w:tcPr>
            <w:tcW w:w="1606" w:type="dxa"/>
            <w:tcBorders>
              <w:top w:val="single" w:sz="2" w:space="0" w:color="auto"/>
              <w:bottom w:val="single" w:sz="2" w:space="0" w:color="auto"/>
            </w:tcBorders>
          </w:tcPr>
          <w:p w14:paraId="0CD49EEC" w14:textId="77777777" w:rsidR="00EC6AD0" w:rsidRDefault="00EC6AD0" w:rsidP="00393C35">
            <w:pPr>
              <w:pStyle w:val="TableContent"/>
            </w:pPr>
            <w:r>
              <w:t>Error type</w:t>
            </w:r>
          </w:p>
        </w:tc>
        <w:tc>
          <w:tcPr>
            <w:tcW w:w="1274" w:type="dxa"/>
            <w:tcBorders>
              <w:top w:val="single" w:sz="2" w:space="0" w:color="auto"/>
              <w:bottom w:val="single" w:sz="2" w:space="0" w:color="auto"/>
            </w:tcBorders>
          </w:tcPr>
          <w:p w14:paraId="53E185AC" w14:textId="77777777" w:rsidR="00EC6AD0" w:rsidRDefault="00EC6AD0" w:rsidP="00393C35">
            <w:pPr>
              <w:pStyle w:val="TableContent"/>
            </w:pPr>
            <w:r>
              <w:t>Example</w:t>
            </w:r>
          </w:p>
        </w:tc>
      </w:tr>
      <w:tr w:rsidR="00EC6AD0" w14:paraId="635FBA00" w14:textId="77777777" w:rsidTr="00393C35">
        <w:trPr>
          <w:tblHeader/>
        </w:trPr>
        <w:tc>
          <w:tcPr>
            <w:tcW w:w="1606" w:type="dxa"/>
          </w:tcPr>
          <w:p w14:paraId="493DD92C" w14:textId="77777777" w:rsidR="00EC6AD0" w:rsidRDefault="00EC6AD0" w:rsidP="00393C35">
            <w:pPr>
              <w:pStyle w:val="TableContent"/>
            </w:pPr>
            <w:r>
              <w:t>Take smaller</w:t>
            </w:r>
          </w:p>
        </w:tc>
        <w:tc>
          <w:tcPr>
            <w:tcW w:w="1274" w:type="dxa"/>
          </w:tcPr>
          <w:p w14:paraId="64C136C9" w14:textId="77777777" w:rsidR="00EC6AD0" w:rsidRDefault="00EC6AD0" w:rsidP="00393C35">
            <w:pPr>
              <w:pStyle w:val="TableContent"/>
            </w:pPr>
            <w:r>
              <w:t>63 - 44 = 21</w:t>
            </w:r>
          </w:p>
        </w:tc>
      </w:tr>
      <w:tr w:rsidR="00EC6AD0" w14:paraId="2709FCFF" w14:textId="77777777" w:rsidTr="00393C35">
        <w:trPr>
          <w:tblHeader/>
        </w:trPr>
        <w:tc>
          <w:tcPr>
            <w:tcW w:w="1606" w:type="dxa"/>
          </w:tcPr>
          <w:p w14:paraId="6A6F6AF0" w14:textId="77777777" w:rsidR="00EC6AD0" w:rsidRDefault="00EC6AD0" w:rsidP="00393C35">
            <w:pPr>
              <w:pStyle w:val="TableContent"/>
            </w:pPr>
            <w:r>
              <w:t>Always borrow</w:t>
            </w:r>
          </w:p>
        </w:tc>
        <w:tc>
          <w:tcPr>
            <w:tcW w:w="1274" w:type="dxa"/>
          </w:tcPr>
          <w:p w14:paraId="4F666A54" w14:textId="77777777" w:rsidR="00EC6AD0" w:rsidRDefault="00EC6AD0" w:rsidP="00393C35">
            <w:pPr>
              <w:pStyle w:val="TableContent"/>
            </w:pPr>
            <w:r>
              <w:t>96 - 42 = 34</w:t>
            </w:r>
          </w:p>
        </w:tc>
      </w:tr>
      <w:tr w:rsidR="00EC6AD0" w14:paraId="380B8C2C" w14:textId="77777777" w:rsidTr="00393C35">
        <w:trPr>
          <w:tblHeader/>
        </w:trPr>
        <w:tc>
          <w:tcPr>
            <w:tcW w:w="1606" w:type="dxa"/>
          </w:tcPr>
          <w:p w14:paraId="453B8C5E" w14:textId="77777777" w:rsidR="00EC6AD0" w:rsidRDefault="00EC6AD0" w:rsidP="00393C35">
            <w:pPr>
              <w:pStyle w:val="TableContent"/>
            </w:pPr>
            <w:r>
              <w:t>0 - N = N</w:t>
            </w:r>
          </w:p>
        </w:tc>
        <w:tc>
          <w:tcPr>
            <w:tcW w:w="1274" w:type="dxa"/>
          </w:tcPr>
          <w:p w14:paraId="1884C1CD" w14:textId="77777777" w:rsidR="00EC6AD0" w:rsidRDefault="00EC6AD0" w:rsidP="00393C35">
            <w:pPr>
              <w:pStyle w:val="TableContent"/>
            </w:pPr>
            <w:r>
              <w:t>70 - 47 = 37</w:t>
            </w:r>
          </w:p>
        </w:tc>
      </w:tr>
      <w:tr w:rsidR="00EC6AD0" w14:paraId="437F3911" w14:textId="77777777" w:rsidTr="00393C35">
        <w:trPr>
          <w:tblHeader/>
        </w:trPr>
        <w:tc>
          <w:tcPr>
            <w:tcW w:w="1606" w:type="dxa"/>
            <w:tcBorders>
              <w:bottom w:val="single" w:sz="2" w:space="0" w:color="auto"/>
            </w:tcBorders>
          </w:tcPr>
          <w:p w14:paraId="2E0D3E64" w14:textId="77777777" w:rsidR="00EC6AD0" w:rsidRDefault="00EC6AD0" w:rsidP="00393C35">
            <w:pPr>
              <w:pStyle w:val="TableContent"/>
            </w:pPr>
            <w:r>
              <w:t>0 - N = 0</w:t>
            </w:r>
          </w:p>
        </w:tc>
        <w:tc>
          <w:tcPr>
            <w:tcW w:w="1274" w:type="dxa"/>
            <w:tcBorders>
              <w:bottom w:val="single" w:sz="2" w:space="0" w:color="auto"/>
            </w:tcBorders>
          </w:tcPr>
          <w:p w14:paraId="4D1F43F7" w14:textId="77777777" w:rsidR="00EC6AD0" w:rsidRDefault="00EC6AD0" w:rsidP="00393C35">
            <w:pPr>
              <w:pStyle w:val="TableContent"/>
            </w:pPr>
            <w:r>
              <w:t>70 - 47 = 30</w:t>
            </w:r>
          </w:p>
        </w:tc>
      </w:tr>
    </w:tbl>
    <w:p w14:paraId="02BD0EF5" w14:textId="77777777" w:rsidR="00393C35" w:rsidRDefault="00393C35">
      <w:pPr>
        <w:rPr>
          <w:sz w:val="18"/>
        </w:rPr>
      </w:pPr>
    </w:p>
    <w:p w14:paraId="29F36EF3" w14:textId="77777777" w:rsidR="00393C35" w:rsidRDefault="00393C35">
      <w:pPr>
        <w:pStyle w:val="Heading2"/>
      </w:pPr>
      <w:r>
        <w:t>Figures</w:t>
      </w:r>
    </w:p>
    <w:p w14:paraId="7AF41E9E" w14:textId="77777777" w:rsidR="00393C35" w:rsidRDefault="00393C35">
      <w:pPr>
        <w:pStyle w:val="NormalSectionStart"/>
      </w:pPr>
      <w:r>
        <w:t xml:space="preserve">All </w:t>
      </w:r>
      <w:proofErr w:type="gramStart"/>
      <w:r>
        <w:t>artwork</w:t>
      </w:r>
      <w:proofErr w:type="gramEnd"/>
      <w:r>
        <w:t xml:space="preserve"> must be very dark for purposes of reproduction and should not be hand drawn. Number figures sequentially, placing the figure number and caption, in 10 </w:t>
      </w:r>
      <w:proofErr w:type="gramStart"/>
      <w:r>
        <w:t>point</w:t>
      </w:r>
      <w:proofErr w:type="gramEnd"/>
      <w:r>
        <w:t>, after the figure with one line space above the caption and one line space below it, as in Figure 1. If necessary, leave extra white space at the bottom of the page to avoid splitting the figure and figure caption. You may float figures to the top or bot</w:t>
      </w:r>
      <w:r w:rsidR="00414438">
        <w:t xml:space="preserve">tom of a column, </w:t>
      </w:r>
      <w:r w:rsidR="00386E1E">
        <w:t xml:space="preserve">and you may </w:t>
      </w:r>
      <w:r w:rsidR="00414438">
        <w:t xml:space="preserve">set </w:t>
      </w:r>
      <w:r w:rsidR="00343A25">
        <w:t xml:space="preserve">wide </w:t>
      </w:r>
      <w:r>
        <w:t>figures across both columns.</w:t>
      </w:r>
    </w:p>
    <w:p w14:paraId="0247890A" w14:textId="77777777" w:rsidR="00393C35" w:rsidRDefault="00BC3F82">
      <w:pPr>
        <w:pStyle w:val="Figure"/>
      </w:pPr>
      <w:r>
        <w:rPr>
          <w:noProof/>
        </w:rPr>
        <mc:AlternateContent>
          <mc:Choice Requires="wps">
            <w:drawing>
              <wp:anchor distT="0" distB="0" distL="114300" distR="114300" simplePos="0" relativeHeight="251657728" behindDoc="0" locked="0" layoutInCell="0" allowOverlap="1" wp14:anchorId="51C07E05" wp14:editId="60AF626D">
                <wp:simplePos x="0" y="0"/>
                <wp:positionH relativeFrom="column">
                  <wp:posOffset>914400</wp:posOffset>
                </wp:positionH>
                <wp:positionV relativeFrom="paragraph">
                  <wp:posOffset>99695</wp:posOffset>
                </wp:positionV>
                <wp:extent cx="1372235" cy="2317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2235" cy="231775"/>
                        </a:xfrm>
                        <a:prstGeom prst="rect">
                          <a:avLst/>
                        </a:prstGeom>
                        <a:noFill/>
                        <a:ln w="9525">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9D114" id="Rectangle 2" o:spid="_x0000_s1026" style="position:absolute;margin-left:1in;margin-top:7.85pt;width:108.05pt;height:1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" o:allowincell="f" filled="f">
                <v:path arrowok="t"/>
              </v:rect>
            </w:pict>
          </mc:Fallback>
        </mc:AlternateContent>
      </w:r>
    </w:p>
    <w:p w14:paraId="0D60FEDB" w14:textId="77777777" w:rsidR="00393C35" w:rsidRDefault="00393C35">
      <w:pPr>
        <w:pStyle w:val="Figure"/>
        <w:outlineLvl w:val="0"/>
      </w:pPr>
      <w:proofErr w:type="spellStart"/>
      <w:r>
        <w:t>CoGNiTiVe</w:t>
      </w:r>
      <w:proofErr w:type="spellEnd"/>
      <w:r>
        <w:t xml:space="preserve"> </w:t>
      </w:r>
      <w:proofErr w:type="spellStart"/>
      <w:r>
        <w:t>ScIeNcE</w:t>
      </w:r>
      <w:proofErr w:type="spellEnd"/>
    </w:p>
    <w:p w14:paraId="5D1DD035" w14:textId="77777777" w:rsidR="00393C35" w:rsidRDefault="00393C35" w:rsidP="00414438">
      <w:pPr>
        <w:ind w:firstLine="0"/>
      </w:pPr>
    </w:p>
    <w:p w14:paraId="5BC95805" w14:textId="77777777" w:rsidR="00393C35" w:rsidRDefault="00393C35">
      <w:pPr>
        <w:jc w:val="center"/>
      </w:pPr>
      <w:r>
        <w:t>Figure 1: This is a figure.</w:t>
      </w:r>
    </w:p>
    <w:p w14:paraId="56429EB1" w14:textId="77777777" w:rsidR="00393C35" w:rsidRDefault="00393C35">
      <w:pPr>
        <w:pStyle w:val="Heading1"/>
        <w:spacing w:before="220"/>
      </w:pPr>
      <w:r>
        <w:t>Acknowledgments</w:t>
      </w:r>
    </w:p>
    <w:p w14:paraId="54CED533" w14:textId="77777777" w:rsidR="00393C35" w:rsidRDefault="000468D6">
      <w:pPr>
        <w:pStyle w:val="NormalSectionStart"/>
      </w:pPr>
      <w:r>
        <w:t xml:space="preserve">In the </w:t>
      </w:r>
      <w:r>
        <w:rPr>
          <w:b/>
        </w:rPr>
        <w:t xml:space="preserve">initial </w:t>
      </w:r>
      <w:r w:rsidRPr="000468D6">
        <w:rPr>
          <w:b/>
        </w:rPr>
        <w:t>submission</w:t>
      </w:r>
      <w:r>
        <w:t xml:space="preserve">, please </w:t>
      </w:r>
      <w:r>
        <w:rPr>
          <w:b/>
        </w:rPr>
        <w:t xml:space="preserve">do not include </w:t>
      </w:r>
      <w:r w:rsidRPr="000468D6">
        <w:rPr>
          <w:b/>
        </w:rPr>
        <w:t>acknowledgements</w:t>
      </w:r>
      <w:r>
        <w:t xml:space="preserve">, to preserve anonymity.  In the </w:t>
      </w:r>
      <w:r w:rsidRPr="00F43008">
        <w:rPr>
          <w:b/>
        </w:rPr>
        <w:t>final submission</w:t>
      </w:r>
      <w:r>
        <w:t xml:space="preserve">, </w:t>
      </w:r>
      <w:r w:rsidRPr="00F43008">
        <w:rPr>
          <w:b/>
        </w:rPr>
        <w:t>p</w:t>
      </w:r>
      <w:r w:rsidR="00393C35" w:rsidRPr="00F43008">
        <w:rPr>
          <w:b/>
        </w:rPr>
        <w:t>lace acknowledgments</w:t>
      </w:r>
      <w:r w:rsidR="00393C35">
        <w:t xml:space="preserve"> (including funding information) in a section </w:t>
      </w:r>
      <w:r w:rsidR="00393C35" w:rsidRPr="00F43008">
        <w:rPr>
          <w:b/>
        </w:rPr>
        <w:t>at the end of the paper</w:t>
      </w:r>
      <w:r w:rsidR="00393C35">
        <w:t>.</w:t>
      </w:r>
    </w:p>
    <w:p w14:paraId="1DD5EAC2" w14:textId="77777777" w:rsidR="00393C35" w:rsidRDefault="00393C35">
      <w:pPr>
        <w:pStyle w:val="Heading1"/>
        <w:spacing w:before="220"/>
      </w:pPr>
      <w:r>
        <w:t>References</w:t>
      </w:r>
      <w:r w:rsidR="00EC6AD0">
        <w:t xml:space="preserve"> Instructions</w:t>
      </w:r>
    </w:p>
    <w:p w14:paraId="329BD72A" w14:textId="77777777" w:rsidR="00393C35" w:rsidRDefault="00393C35">
      <w:pPr>
        <w:pStyle w:val="NormalSectionStart"/>
      </w:pPr>
      <w:r>
        <w:t>Follow the APA Publication Manual for citation format, both within the text and in the reference list, with the following exceptions: (a) do not cite the page numbers of any book, including chapters in edited volumes; (b) use the same format for unpublished references as for published ones. Alphabetize references by the surna</w:t>
      </w:r>
      <w:r w:rsidR="00981C23">
        <w:t xml:space="preserve">mes of the authors, with single </w:t>
      </w:r>
      <w:r>
        <w:t>au</w:t>
      </w:r>
      <w:r w:rsidR="00981C23">
        <w:t xml:space="preserve">thor entries preceding multiple </w:t>
      </w:r>
      <w:r>
        <w:t>author entries. Order references by the same authors by the year of publicati</w:t>
      </w:r>
      <w:r w:rsidR="00981C23">
        <w:t xml:space="preserve">on, with the earliest </w:t>
      </w:r>
      <w:r>
        <w:t>first.</w:t>
      </w:r>
    </w:p>
    <w:p w14:paraId="1F9A3310" w14:textId="77777777" w:rsidR="00393C35" w:rsidRDefault="00393C35">
      <w:pPr>
        <w:pStyle w:val="NormalSectionStart"/>
        <w:ind w:firstLine="180"/>
      </w:pPr>
      <w:r>
        <w:t>Use a first level section heading, “</w:t>
      </w:r>
      <w:r w:rsidRPr="00393C35">
        <w:rPr>
          <w:b/>
        </w:rPr>
        <w:t>References</w:t>
      </w:r>
      <w:r>
        <w:t xml:space="preserve">”, as shown below. Use a hanging indent style, with the first line of the reference flush against the left margin and subsequent lines indented by 1/8 inch. Below are example references for a </w:t>
      </w:r>
      <w:r>
        <w:t>conference paper, book chapter, journal article, dissertation, book, technical report, and edited volume, respectively.</w:t>
      </w:r>
    </w:p>
    <w:p w14:paraId="79A5A741" w14:textId="77777777" w:rsidR="00393C35" w:rsidRDefault="00393C35" w:rsidP="00393C35">
      <w:pPr>
        <w:pStyle w:val="Heading1"/>
        <w:spacing w:before="220"/>
      </w:pPr>
      <w:r>
        <w:t xml:space="preserve">References </w:t>
      </w:r>
    </w:p>
    <w:p w14:paraId="7AA1DD41" w14:textId="77777777" w:rsidR="00E546B7" w:rsidRPr="00E546B7" w:rsidRDefault="00E546B7" w:rsidP="00E546B7">
      <w:pPr>
        <w:pStyle w:val="Reference"/>
      </w:pPr>
      <w:proofErr w:type="spellStart"/>
      <w:r w:rsidRPr="00E546B7">
        <w:t>Baghbani</w:t>
      </w:r>
      <w:proofErr w:type="spellEnd"/>
      <w:r w:rsidRPr="00E546B7">
        <w:t xml:space="preserve">, F., </w:t>
      </w:r>
      <w:proofErr w:type="spellStart"/>
      <w:r w:rsidRPr="00E546B7">
        <w:t>Akbarzadeh</w:t>
      </w:r>
      <w:proofErr w:type="spellEnd"/>
      <w:r w:rsidRPr="00E546B7">
        <w:t xml:space="preserve">-T, M.-R., </w:t>
      </w:r>
      <w:proofErr w:type="spellStart"/>
      <w:r w:rsidRPr="00E546B7">
        <w:t>Naghibi</w:t>
      </w:r>
      <w:proofErr w:type="spellEnd"/>
      <w:r w:rsidRPr="00E546B7">
        <w:t xml:space="preserve">-Sistani, M.-B., &amp; </w:t>
      </w:r>
      <w:proofErr w:type="spellStart"/>
      <w:r w:rsidRPr="00E546B7">
        <w:t>Akbarzadeh</w:t>
      </w:r>
      <w:proofErr w:type="spellEnd"/>
      <w:r w:rsidRPr="00E546B7">
        <w:t xml:space="preserve">, A. (2020). Emotional neural networks with universal approximation property for Stable Direct Adaptive Nonlinear Control Systems. </w:t>
      </w:r>
      <w:r w:rsidRPr="00E546B7">
        <w:rPr>
          <w:i/>
          <w:iCs/>
        </w:rPr>
        <w:t>Engineering Applications of Artificial Intelligence</w:t>
      </w:r>
      <w:r w:rsidRPr="00E546B7">
        <w:t xml:space="preserve">, </w:t>
      </w:r>
      <w:r w:rsidRPr="00E546B7">
        <w:rPr>
          <w:i/>
          <w:iCs/>
        </w:rPr>
        <w:t>89</w:t>
      </w:r>
      <w:r w:rsidRPr="00E546B7">
        <w:t xml:space="preserve">, 103447. https://doi.org/10.1016/j.engappai.2019.103447 </w:t>
      </w:r>
    </w:p>
    <w:p w14:paraId="2EB20252" w14:textId="77777777" w:rsidR="00E546B7" w:rsidRPr="00E546B7" w:rsidRDefault="00E546B7" w:rsidP="00E546B7">
      <w:pPr>
        <w:pStyle w:val="Reference"/>
      </w:pPr>
      <w:proofErr w:type="spellStart"/>
      <w:r w:rsidRPr="00E546B7">
        <w:t>Grühn</w:t>
      </w:r>
      <w:proofErr w:type="spellEnd"/>
      <w:r w:rsidRPr="00E546B7">
        <w:t xml:space="preserve">, D., &amp; Sharifian, N. (2016). Lists of emotional stimuli. </w:t>
      </w:r>
      <w:r w:rsidRPr="00E546B7">
        <w:rPr>
          <w:i/>
          <w:iCs/>
        </w:rPr>
        <w:t>Emotion Measurement</w:t>
      </w:r>
      <w:r w:rsidRPr="00E546B7">
        <w:t xml:space="preserve">, 145–164. https://doi.org/10.1016/b978-0-08-100508-8.00007-2 </w:t>
      </w:r>
    </w:p>
    <w:p w14:paraId="7E0FD96E" w14:textId="77777777" w:rsidR="00E546B7" w:rsidRPr="00E546B7" w:rsidRDefault="00E546B7" w:rsidP="00E546B7">
      <w:pPr>
        <w:pStyle w:val="Reference"/>
      </w:pPr>
      <w:proofErr w:type="spellStart"/>
      <w:r w:rsidRPr="00E546B7">
        <w:t>Khare</w:t>
      </w:r>
      <w:proofErr w:type="spellEnd"/>
      <w:r w:rsidRPr="00E546B7">
        <w:t xml:space="preserve">, S. K., Blanes-Vidal, V., </w:t>
      </w:r>
      <w:proofErr w:type="spellStart"/>
      <w:r w:rsidRPr="00E546B7">
        <w:t>Nadimi</w:t>
      </w:r>
      <w:proofErr w:type="spellEnd"/>
      <w:r w:rsidRPr="00E546B7">
        <w:t xml:space="preserve">, E. S., &amp; Acharya, U. R. (2024). Emotion recognition and Artificial Intelligence: A systematic review (2014–2023) and research recommendations. </w:t>
      </w:r>
      <w:r w:rsidRPr="00E546B7">
        <w:rPr>
          <w:i/>
          <w:iCs/>
        </w:rPr>
        <w:t>Information Fusion</w:t>
      </w:r>
      <w:r w:rsidRPr="00E546B7">
        <w:t xml:space="preserve">, </w:t>
      </w:r>
      <w:r w:rsidRPr="00E546B7">
        <w:rPr>
          <w:i/>
          <w:iCs/>
        </w:rPr>
        <w:t>102</w:t>
      </w:r>
      <w:r w:rsidRPr="00E546B7">
        <w:t xml:space="preserve">, 102019. https://doi.org/10.1016/j.inffus.2023.102019 </w:t>
      </w:r>
    </w:p>
    <w:p w14:paraId="41154267" w14:textId="77777777" w:rsidR="00E546B7" w:rsidRPr="00E546B7" w:rsidRDefault="00E546B7" w:rsidP="00E546B7">
      <w:pPr>
        <w:pStyle w:val="Reference"/>
      </w:pPr>
      <w:proofErr w:type="spellStart"/>
      <w:r w:rsidRPr="00E546B7">
        <w:t>Kragel</w:t>
      </w:r>
      <w:proofErr w:type="spellEnd"/>
      <w:r w:rsidRPr="00E546B7">
        <w:t xml:space="preserve">, P. A., </w:t>
      </w:r>
      <w:proofErr w:type="spellStart"/>
      <w:r w:rsidRPr="00E546B7">
        <w:t>Reddan</w:t>
      </w:r>
      <w:proofErr w:type="spellEnd"/>
      <w:r w:rsidRPr="00E546B7">
        <w:t xml:space="preserve">, M. C., </w:t>
      </w:r>
      <w:proofErr w:type="spellStart"/>
      <w:r w:rsidRPr="00E546B7">
        <w:t>LaBar</w:t>
      </w:r>
      <w:proofErr w:type="spellEnd"/>
      <w:r w:rsidRPr="00E546B7">
        <w:t xml:space="preserve">, K. S., &amp; Wager, T. D. (2019). Emotion schemas are embedded in the human visual system. </w:t>
      </w:r>
      <w:r w:rsidRPr="00E546B7">
        <w:rPr>
          <w:i/>
          <w:iCs/>
        </w:rPr>
        <w:t>Science Advances</w:t>
      </w:r>
      <w:r w:rsidRPr="00E546B7">
        <w:t xml:space="preserve">, </w:t>
      </w:r>
      <w:r w:rsidRPr="00E546B7">
        <w:rPr>
          <w:i/>
          <w:iCs/>
        </w:rPr>
        <w:t>5</w:t>
      </w:r>
      <w:r w:rsidRPr="00E546B7">
        <w:t>(7). https://doi.org/10.1126/sciadv.aaw4358</w:t>
      </w:r>
    </w:p>
    <w:p w14:paraId="67A14368" w14:textId="77777777" w:rsidR="00E546B7" w:rsidRPr="00E546B7" w:rsidRDefault="00E546B7" w:rsidP="00E546B7">
      <w:pPr>
        <w:pStyle w:val="Reference"/>
      </w:pPr>
      <w:r w:rsidRPr="00E546B7">
        <w:t xml:space="preserve">Kriegeskorte, N. (2015). </w:t>
      </w:r>
      <w:r w:rsidRPr="00E546B7">
        <w:rPr>
          <w:i/>
          <w:iCs/>
        </w:rPr>
        <w:t>Deep Neural Networks: A New Framework for Modelling Biological Vision and Brain Information Processing</w:t>
      </w:r>
      <w:r w:rsidRPr="00E546B7">
        <w:t xml:space="preserve">. https://doi.org/10.1101/029876 </w:t>
      </w:r>
    </w:p>
    <w:p w14:paraId="30A3CC64" w14:textId="77777777" w:rsidR="00E546B7" w:rsidRPr="00E546B7" w:rsidRDefault="00E546B7" w:rsidP="00E546B7">
      <w:pPr>
        <w:pStyle w:val="Reference"/>
      </w:pPr>
      <w:r w:rsidRPr="00E546B7">
        <w:t xml:space="preserve"> </w:t>
      </w:r>
    </w:p>
    <w:p w14:paraId="16E4E97A" w14:textId="77777777" w:rsidR="00E546B7" w:rsidRPr="00E546B7" w:rsidRDefault="00E546B7" w:rsidP="00E546B7">
      <w:pPr>
        <w:pStyle w:val="Reference"/>
      </w:pPr>
      <w:proofErr w:type="spellStart"/>
      <w:r w:rsidRPr="00E546B7">
        <w:t>Lotfi</w:t>
      </w:r>
      <w:proofErr w:type="spellEnd"/>
      <w:r w:rsidRPr="00E546B7">
        <w:t xml:space="preserve">, E., &amp; </w:t>
      </w:r>
      <w:proofErr w:type="spellStart"/>
      <w:r w:rsidRPr="00E546B7">
        <w:t>Akbarzadeh</w:t>
      </w:r>
      <w:proofErr w:type="spellEnd"/>
      <w:r w:rsidRPr="00E546B7">
        <w:t xml:space="preserve">-T., M.-R. (2014). Practical Emotional Neural Networks. </w:t>
      </w:r>
      <w:r w:rsidRPr="00E546B7">
        <w:rPr>
          <w:i/>
          <w:iCs/>
        </w:rPr>
        <w:t>Neural Networks</w:t>
      </w:r>
      <w:r w:rsidRPr="00E546B7">
        <w:t xml:space="preserve">, </w:t>
      </w:r>
      <w:r w:rsidRPr="00E546B7">
        <w:rPr>
          <w:i/>
          <w:iCs/>
        </w:rPr>
        <w:t>59</w:t>
      </w:r>
      <w:r w:rsidRPr="00E546B7">
        <w:t xml:space="preserve">, 61–72. https://doi.org/10.1016/j.neunet.2014.06.012 </w:t>
      </w:r>
    </w:p>
    <w:p w14:paraId="66DDBC4B" w14:textId="77777777" w:rsidR="00E546B7" w:rsidRPr="00E546B7" w:rsidRDefault="00E546B7" w:rsidP="00E546B7">
      <w:pPr>
        <w:pStyle w:val="Reference"/>
      </w:pPr>
      <w:r w:rsidRPr="00E546B7">
        <w:t xml:space="preserve">Modi, S., &amp; </w:t>
      </w:r>
      <w:proofErr w:type="spellStart"/>
      <w:r w:rsidRPr="00E546B7">
        <w:t>Bohara</w:t>
      </w:r>
      <w:proofErr w:type="spellEnd"/>
      <w:r w:rsidRPr="00E546B7">
        <w:t xml:space="preserve">, M. H. (2021). Facial emotion recognition using convolution neural network. </w:t>
      </w:r>
      <w:r w:rsidRPr="00E546B7">
        <w:rPr>
          <w:i/>
          <w:iCs/>
        </w:rPr>
        <w:t>2021 5th International Conference on Intelligent Computing and Control Systems (ICICCS)</w:t>
      </w:r>
      <w:r w:rsidRPr="00E546B7">
        <w:t xml:space="preserve">. https://doi.org/10.1109/iciccs51141.2021.9432156 </w:t>
      </w:r>
    </w:p>
    <w:p w14:paraId="638D7451" w14:textId="77777777" w:rsidR="00E546B7" w:rsidRPr="00E546B7" w:rsidRDefault="00E546B7" w:rsidP="00E546B7">
      <w:pPr>
        <w:pStyle w:val="Reference"/>
      </w:pPr>
      <w:r w:rsidRPr="00E546B7">
        <w:t xml:space="preserve">Rust, N. C., &amp; </w:t>
      </w:r>
      <w:proofErr w:type="spellStart"/>
      <w:r w:rsidRPr="00E546B7">
        <w:t>Jannuzi</w:t>
      </w:r>
      <w:proofErr w:type="spellEnd"/>
      <w:r w:rsidRPr="00E546B7">
        <w:t xml:space="preserve">, B. G. (2022). Identifying objects and remembering images: Insights </w:t>
      </w:r>
      <w:proofErr w:type="gramStart"/>
      <w:r w:rsidRPr="00E546B7">
        <w:t>From</w:t>
      </w:r>
      <w:proofErr w:type="gramEnd"/>
      <w:r w:rsidRPr="00E546B7">
        <w:t xml:space="preserve"> Deep Neural Networks. </w:t>
      </w:r>
      <w:r w:rsidRPr="00E546B7">
        <w:rPr>
          <w:i/>
          <w:iCs/>
        </w:rPr>
        <w:t>Current Directions in Psychological Science</w:t>
      </w:r>
      <w:r w:rsidRPr="00E546B7">
        <w:t xml:space="preserve">, </w:t>
      </w:r>
      <w:r w:rsidRPr="00E546B7">
        <w:rPr>
          <w:i/>
          <w:iCs/>
        </w:rPr>
        <w:t>31</w:t>
      </w:r>
      <w:r w:rsidRPr="00E546B7">
        <w:t xml:space="preserve">(4), 316–323. https://doi.org/10.1177/09637214221083663 </w:t>
      </w:r>
    </w:p>
    <w:p w14:paraId="44B436EB" w14:textId="77777777" w:rsidR="00E546B7" w:rsidRPr="00E546B7" w:rsidRDefault="00E546B7" w:rsidP="00E546B7">
      <w:pPr>
        <w:pStyle w:val="Reference"/>
      </w:pPr>
      <w:proofErr w:type="spellStart"/>
      <w:r w:rsidRPr="00E546B7">
        <w:t>Yamins</w:t>
      </w:r>
      <w:proofErr w:type="spellEnd"/>
      <w:r w:rsidRPr="00E546B7">
        <w:t xml:space="preserve">, D. L., &amp; DiCarlo, J. J. (2016). Using goal-driven deep learning models to understand sensory cortex. </w:t>
      </w:r>
      <w:r w:rsidRPr="00E546B7">
        <w:rPr>
          <w:i/>
          <w:iCs/>
        </w:rPr>
        <w:t>Nature Neuroscience</w:t>
      </w:r>
      <w:r w:rsidRPr="00E546B7">
        <w:t xml:space="preserve">, </w:t>
      </w:r>
      <w:r w:rsidRPr="00E546B7">
        <w:rPr>
          <w:i/>
          <w:iCs/>
        </w:rPr>
        <w:t>19</w:t>
      </w:r>
      <w:r w:rsidRPr="00E546B7">
        <w:t xml:space="preserve">(3), 356–365. https://doi.org/10.1038/nn.4244 </w:t>
      </w:r>
    </w:p>
    <w:p w14:paraId="50ABBA00" w14:textId="77777777" w:rsidR="00E546B7" w:rsidRPr="00E546B7" w:rsidRDefault="00E546B7" w:rsidP="00E546B7">
      <w:pPr>
        <w:pStyle w:val="Reference"/>
      </w:pPr>
      <w:r w:rsidRPr="00E546B7">
        <w:t xml:space="preserve">Zhou, Z. (2021). Emotional thinking as the foundation of Consciousness in Artificial Intelligence. </w:t>
      </w:r>
      <w:r w:rsidRPr="00E546B7">
        <w:rPr>
          <w:i/>
          <w:iCs/>
        </w:rPr>
        <w:t>Cultures of Science</w:t>
      </w:r>
      <w:r w:rsidRPr="00E546B7">
        <w:t xml:space="preserve">, </w:t>
      </w:r>
      <w:r w:rsidRPr="00E546B7">
        <w:rPr>
          <w:i/>
          <w:iCs/>
        </w:rPr>
        <w:t>4</w:t>
      </w:r>
      <w:r w:rsidRPr="00E546B7">
        <w:t xml:space="preserve">(3), 112–123. https://doi.org/10.1177/20966083211052651 </w:t>
      </w:r>
    </w:p>
    <w:p w14:paraId="33013E51" w14:textId="77777777" w:rsidR="00393C35" w:rsidRDefault="00393C35" w:rsidP="00393C35">
      <w:pPr>
        <w:pStyle w:val="Reference"/>
      </w:pPr>
    </w:p>
    <w:sectPr w:rsidR="00393C35"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708F" w14:textId="77777777" w:rsidR="00C156B6" w:rsidRDefault="00C156B6">
      <w:r>
        <w:separator/>
      </w:r>
    </w:p>
  </w:endnote>
  <w:endnote w:type="continuationSeparator" w:id="0">
    <w:p w14:paraId="085B9919" w14:textId="77777777" w:rsidR="00C156B6" w:rsidRDefault="00C1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C8A0D" w14:textId="77777777" w:rsidR="00C156B6" w:rsidRDefault="00C156B6">
      <w:r>
        <w:separator/>
      </w:r>
    </w:p>
  </w:footnote>
  <w:footnote w:type="continuationSeparator" w:id="0">
    <w:p w14:paraId="6ABE3E70" w14:textId="77777777" w:rsidR="00C156B6" w:rsidRDefault="00C156B6">
      <w:r>
        <w:continuationSeparator/>
      </w:r>
    </w:p>
  </w:footnote>
  <w:footnote w:id="1">
    <w:p w14:paraId="575B5977" w14:textId="77777777" w:rsidR="00E978D0" w:rsidRDefault="00E978D0">
      <w:pPr>
        <w:pStyle w:val="FootnoteText"/>
      </w:pPr>
      <w:r>
        <w:rPr>
          <w:rStyle w:val="FootnoteReference"/>
        </w:rPr>
        <w:footnoteRef/>
      </w:r>
      <w:r>
        <w:t xml:space="preserve"> Sample of the first footnote.</w:t>
      </w:r>
    </w:p>
  </w:footnote>
  <w:footnote w:id="2">
    <w:p w14:paraId="6683FEAC" w14:textId="77777777" w:rsidR="00E978D0" w:rsidRDefault="00E978D0">
      <w:pPr>
        <w:pStyle w:val="FootnoteText"/>
      </w:pPr>
      <w:r>
        <w:rPr>
          <w:rStyle w:val="FootnoteReference"/>
        </w:rPr>
        <w:footnoteRef/>
      </w:r>
      <w:r>
        <w:t xml:space="preserve"> Sample of the second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16cid:durableId="2068186953">
    <w:abstractNumId w:val="11"/>
  </w:num>
  <w:num w:numId="2" w16cid:durableId="591007570">
    <w:abstractNumId w:val="10"/>
  </w:num>
  <w:num w:numId="3" w16cid:durableId="1897549182">
    <w:abstractNumId w:val="8"/>
  </w:num>
  <w:num w:numId="4" w16cid:durableId="184291969">
    <w:abstractNumId w:val="7"/>
  </w:num>
  <w:num w:numId="5" w16cid:durableId="1504586651">
    <w:abstractNumId w:val="6"/>
  </w:num>
  <w:num w:numId="6" w16cid:durableId="1834567944">
    <w:abstractNumId w:val="5"/>
  </w:num>
  <w:num w:numId="7" w16cid:durableId="1014500814">
    <w:abstractNumId w:val="9"/>
  </w:num>
  <w:num w:numId="8" w16cid:durableId="532351958">
    <w:abstractNumId w:val="4"/>
  </w:num>
  <w:num w:numId="9" w16cid:durableId="1101755760">
    <w:abstractNumId w:val="3"/>
  </w:num>
  <w:num w:numId="10" w16cid:durableId="973831813">
    <w:abstractNumId w:val="2"/>
  </w:num>
  <w:num w:numId="11" w16cid:durableId="447283927">
    <w:abstractNumId w:val="1"/>
  </w:num>
  <w:num w:numId="12" w16cid:durableId="61671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84"/>
    <w:rsid w:val="0003754E"/>
    <w:rsid w:val="000468D6"/>
    <w:rsid w:val="00056C88"/>
    <w:rsid w:val="000C3E8F"/>
    <w:rsid w:val="000D2484"/>
    <w:rsid w:val="00113550"/>
    <w:rsid w:val="00141566"/>
    <w:rsid w:val="00192AB9"/>
    <w:rsid w:val="001D22C8"/>
    <w:rsid w:val="002D2A99"/>
    <w:rsid w:val="003164E5"/>
    <w:rsid w:val="00322217"/>
    <w:rsid w:val="00343A25"/>
    <w:rsid w:val="003474BC"/>
    <w:rsid w:val="003827AB"/>
    <w:rsid w:val="00386E1E"/>
    <w:rsid w:val="00393C35"/>
    <w:rsid w:val="003C58C3"/>
    <w:rsid w:val="00414438"/>
    <w:rsid w:val="004F2A4D"/>
    <w:rsid w:val="005B0D64"/>
    <w:rsid w:val="00640B7B"/>
    <w:rsid w:val="00664B2A"/>
    <w:rsid w:val="006B1715"/>
    <w:rsid w:val="006E3DB0"/>
    <w:rsid w:val="007C3491"/>
    <w:rsid w:val="007C4F15"/>
    <w:rsid w:val="00800E63"/>
    <w:rsid w:val="0081644D"/>
    <w:rsid w:val="00842BF7"/>
    <w:rsid w:val="0086493C"/>
    <w:rsid w:val="008A4D12"/>
    <w:rsid w:val="008F168E"/>
    <w:rsid w:val="0091525C"/>
    <w:rsid w:val="00981C23"/>
    <w:rsid w:val="009B1E08"/>
    <w:rsid w:val="009D596F"/>
    <w:rsid w:val="009E5C0F"/>
    <w:rsid w:val="00A44551"/>
    <w:rsid w:val="00A671D3"/>
    <w:rsid w:val="00AB331C"/>
    <w:rsid w:val="00B2576B"/>
    <w:rsid w:val="00B76D06"/>
    <w:rsid w:val="00BA4BBE"/>
    <w:rsid w:val="00BB55A0"/>
    <w:rsid w:val="00BC3F82"/>
    <w:rsid w:val="00BE6CFB"/>
    <w:rsid w:val="00C156B6"/>
    <w:rsid w:val="00C805AC"/>
    <w:rsid w:val="00CC3559"/>
    <w:rsid w:val="00DF7FAA"/>
    <w:rsid w:val="00E0354B"/>
    <w:rsid w:val="00E113D5"/>
    <w:rsid w:val="00E24116"/>
    <w:rsid w:val="00E546B7"/>
    <w:rsid w:val="00E978D0"/>
    <w:rsid w:val="00EC3CE8"/>
    <w:rsid w:val="00EC6AD0"/>
    <w:rsid w:val="00F03446"/>
    <w:rsid w:val="00F43008"/>
    <w:rsid w:val="00FC69AA"/>
    <w:rsid w:val="00FF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F4ED16E"/>
  <w14:defaultImageDpi w14:val="300"/>
  <w15:docId w15:val="{E8BF883C-3A6F-D044-AD49-A03801F0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E24116"/>
    <w:rPr>
      <w:sz w:val="18"/>
      <w:szCs w:val="18"/>
    </w:rPr>
  </w:style>
  <w:style w:type="character" w:customStyle="1" w:styleId="BalloonTextChar">
    <w:name w:val="Balloon Text Char"/>
    <w:basedOn w:val="DefaultParagraphFont"/>
    <w:link w:val="BalloonText"/>
    <w:uiPriority w:val="99"/>
    <w:semiHidden/>
    <w:rsid w:val="00E24116"/>
    <w:rPr>
      <w:rFonts w:ascii="Times New Roman" w:hAnsi="Times New Roman"/>
      <w:sz w:val="18"/>
      <w:szCs w:val="18"/>
    </w:rPr>
  </w:style>
  <w:style w:type="paragraph" w:styleId="Revision">
    <w:name w:val="Revision"/>
    <w:hidden/>
    <w:uiPriority w:val="71"/>
    <w:rsid w:val="00B2576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hir/Downloads/cog-sci-6-page-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B571315C70134693A164DBABDF4AF3" ma:contentTypeVersion="13" ma:contentTypeDescription="Create a new document." ma:contentTypeScope="" ma:versionID="8c90d0fb4dc9e3b32fcb6b46bc5aa698">
  <xsd:schema xmlns:xsd="http://www.w3.org/2001/XMLSchema" xmlns:xs="http://www.w3.org/2001/XMLSchema" xmlns:p="http://schemas.microsoft.com/office/2006/metadata/properties" xmlns:ns2="02adff9a-d020-4030-870a-fe1c8817879b" xmlns:ns3="485ff4a7-c7ed-45bb-8c8d-cea6e7af63b2" targetNamespace="http://schemas.microsoft.com/office/2006/metadata/properties" ma:root="true" ma:fieldsID="c94b4030d82feee6daf204c829a6a066" ns2:_="" ns3:_="">
    <xsd:import namespace="02adff9a-d020-4030-870a-fe1c8817879b"/>
    <xsd:import namespace="485ff4a7-c7ed-45bb-8c8d-cea6e7af63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adff9a-d020-4030-870a-fe1c881787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5ff4a7-c7ed-45bb-8c8d-cea6e7af63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1889D-0A5D-5F45-BCC3-1EA04D209EA8}">
  <ds:schemaRefs>
    <ds:schemaRef ds:uri="http://schemas.openxmlformats.org/officeDocument/2006/bibliography"/>
  </ds:schemaRefs>
</ds:datastoreItem>
</file>

<file path=customXml/itemProps2.xml><?xml version="1.0" encoding="utf-8"?>
<ds:datastoreItem xmlns:ds="http://schemas.openxmlformats.org/officeDocument/2006/customXml" ds:itemID="{E8B89D56-1D64-46A5-A05C-AA41B53ECC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0A6A5A-A7BF-40E5-B7FC-35F949205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adff9a-d020-4030-870a-fe1c8817879b"/>
    <ds:schemaRef ds:uri="485ff4a7-c7ed-45bb-8c8d-cea6e7af6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E0A9C5-1C5B-4405-9F45-D7E57597AF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cog-sci-6-page-paper-template.dotx</Template>
  <TotalTime>31</TotalTime>
  <Pages>2</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Mihir Kadiwala</dc:creator>
  <cp:keywords/>
  <cp:lastModifiedBy>Kadiwala, Mihir M</cp:lastModifiedBy>
  <cp:revision>2</cp:revision>
  <cp:lastPrinted>2018-12-31T15:06:00Z</cp:lastPrinted>
  <dcterms:created xsi:type="dcterms:W3CDTF">2023-12-13T21:55:00Z</dcterms:created>
  <dcterms:modified xsi:type="dcterms:W3CDTF">2023-12-13T23:49:00Z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0x01010095B571315C70134693A164DBABDF4AF3</vt:lpwstr>
  </property>
</Properties>
</file>