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firstLine="0"/>
        <w:rPr>
          <w:b w:val="1"/>
          <w:color w:val="0d0d0d"/>
          <w:sz w:val="24"/>
          <w:szCs w:val="24"/>
          <w:highlight w:val="white"/>
        </w:rPr>
      </w:pPr>
      <w:r w:rsidDel="00000000" w:rsidR="00000000" w:rsidRPr="00000000">
        <w:rPr>
          <w:b w:val="1"/>
          <w:color w:val="0d0d0d"/>
          <w:sz w:val="24"/>
          <w:szCs w:val="24"/>
          <w:highlight w:val="white"/>
          <w:rtl w:val="0"/>
        </w:rPr>
        <w:t xml:space="preserve">Market Size</w:t>
      </w:r>
    </w:p>
    <w:p w:rsidR="00000000" w:rsidDel="00000000" w:rsidP="00000000" w:rsidRDefault="00000000" w:rsidRPr="00000000" w14:paraId="00000002">
      <w:pPr>
        <w:spacing w:after="240" w:before="240" w:lineRule="auto"/>
        <w:rPr>
          <w:color w:val="0d0d0d"/>
          <w:sz w:val="20"/>
          <w:szCs w:val="20"/>
          <w:highlight w:val="white"/>
        </w:rPr>
      </w:pPr>
      <w:r w:rsidDel="00000000" w:rsidR="00000000" w:rsidRPr="00000000">
        <w:rPr>
          <w:b w:val="1"/>
          <w:color w:val="0d0d0d"/>
          <w:sz w:val="20"/>
          <w:szCs w:val="20"/>
          <w:highlight w:val="white"/>
          <w:rtl w:val="0"/>
        </w:rPr>
        <w:t xml:space="preserve">Define the Target Market</w:t>
      </w:r>
      <w:r w:rsidDel="00000000" w:rsidR="00000000" w:rsidRPr="00000000">
        <w:rPr>
          <w:color w:val="0d0d0d"/>
          <w:sz w:val="20"/>
          <w:szCs w:val="20"/>
          <w:highlight w:val="white"/>
          <w:rtl w:val="0"/>
        </w:rPr>
        <w:t xml:space="preserve">: AquaChain targets the water management market, initially focusing on Southern California, with plans for expansion across the United States and eventually globally.</w:t>
      </w:r>
    </w:p>
    <w:p w:rsidR="00000000" w:rsidDel="00000000" w:rsidP="00000000" w:rsidRDefault="00000000" w:rsidRPr="00000000" w14:paraId="00000003">
      <w:pPr>
        <w:spacing w:after="240" w:before="240" w:lineRule="auto"/>
        <w:rPr>
          <w:color w:val="0d0d0d"/>
          <w:sz w:val="20"/>
          <w:szCs w:val="20"/>
          <w:highlight w:val="white"/>
        </w:rPr>
      </w:pPr>
      <w:r w:rsidDel="00000000" w:rsidR="00000000" w:rsidRPr="00000000">
        <w:rPr>
          <w:b w:val="1"/>
          <w:color w:val="0d0d0d"/>
          <w:sz w:val="20"/>
          <w:szCs w:val="20"/>
          <w:highlight w:val="white"/>
          <w:rtl w:val="0"/>
        </w:rPr>
        <w:t xml:space="preserve">Segmentation and Data Gathering</w:t>
      </w:r>
      <w:r w:rsidDel="00000000" w:rsidR="00000000" w:rsidRPr="00000000">
        <w:rPr>
          <w:color w:val="0d0d0d"/>
          <w:sz w:val="20"/>
          <w:szCs w:val="20"/>
          <w:highlight w:val="white"/>
          <w:rtl w:val="0"/>
        </w:rPr>
        <w:t xml:space="preserve">: Segment the market into distinct customer groups based on their characteristics, needs, and revenue contributions and data gathering. These segments include utility companies, municipalities, water management organizations, and regulatory agencies.</w:t>
      </w:r>
    </w:p>
    <w:p w:rsidR="00000000" w:rsidDel="00000000" w:rsidP="00000000" w:rsidRDefault="00000000" w:rsidRPr="00000000" w14:paraId="00000004">
      <w:pPr>
        <w:spacing w:after="240" w:before="240" w:lineRule="auto"/>
        <w:rPr>
          <w:b w:val="1"/>
          <w:color w:val="0d0d0d"/>
          <w:sz w:val="20"/>
          <w:szCs w:val="20"/>
          <w:highlight w:val="white"/>
        </w:rPr>
      </w:pPr>
      <w:r w:rsidDel="00000000" w:rsidR="00000000" w:rsidRPr="00000000">
        <w:rPr>
          <w:b w:val="1"/>
          <w:color w:val="0d0d0d"/>
          <w:sz w:val="20"/>
          <w:szCs w:val="20"/>
          <w:highlight w:val="white"/>
          <w:rtl w:val="0"/>
        </w:rPr>
        <w:t xml:space="preserve">Estimating Market Size:</w:t>
      </w:r>
    </w:p>
    <w:tbl>
      <w:tblPr>
        <w:tblStyle w:val="Table1"/>
        <w:tblW w:w="1069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5655"/>
        <w:gridCol w:w="1935"/>
        <w:tblGridChange w:id="0">
          <w:tblGrid>
            <w:gridCol w:w="3105"/>
            <w:gridCol w:w="5655"/>
            <w:gridCol w:w="193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cfe2f3" w:val="clear"/>
            <w:tcMar>
              <w:top w:w="0.0" w:type="dxa"/>
              <w:left w:w="100.0" w:type="dxa"/>
              <w:bottom w:w="0.0" w:type="dxa"/>
              <w:right w:w="100.0" w:type="dxa"/>
            </w:tcMar>
            <w:vAlign w:val="top"/>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center"/>
              <w:rPr>
                <w:b w:val="1"/>
              </w:rPr>
            </w:pPr>
            <w:r w:rsidDel="00000000" w:rsidR="00000000" w:rsidRPr="00000000">
              <w:rPr>
                <w:b w:val="1"/>
                <w:rtl w:val="0"/>
              </w:rPr>
              <w:t xml:space="preserve">Customer Segmentation</w:t>
            </w:r>
          </w:p>
        </w:tc>
        <w:tc>
          <w:tcPr>
            <w:tcBorders>
              <w:top w:color="000000" w:space="0" w:sz="5" w:val="single"/>
              <w:left w:color="000000" w:space="0" w:sz="0" w:val="nil"/>
              <w:bottom w:color="000000" w:space="0" w:sz="5" w:val="single"/>
              <w:right w:color="000000" w:space="0" w:sz="5" w:val="single"/>
            </w:tcBorders>
            <w:shd w:fill="cfe2f3" w:val="clear"/>
            <w:tcMar>
              <w:top w:w="0.0" w:type="dxa"/>
              <w:left w:w="100.0" w:type="dxa"/>
              <w:bottom w:w="0.0" w:type="dxa"/>
              <w:right w:w="100.0" w:type="dxa"/>
            </w:tcMar>
            <w:vAlign w:val="top"/>
          </w:tcPr>
          <w:p w:rsidR="00000000" w:rsidDel="00000000" w:rsidP="00000000" w:rsidRDefault="00000000" w:rsidRPr="00000000" w14:paraId="00000006">
            <w:pPr>
              <w:spacing w:before="240" w:lineRule="auto"/>
              <w:jc w:val="center"/>
              <w:rPr>
                <w:b w:val="1"/>
                <w:sz w:val="20"/>
                <w:szCs w:val="20"/>
              </w:rPr>
            </w:pPr>
            <w:r w:rsidDel="00000000" w:rsidR="00000000" w:rsidRPr="00000000">
              <w:rPr>
                <w:b w:val="1"/>
                <w:sz w:val="20"/>
                <w:szCs w:val="20"/>
                <w:rtl w:val="0"/>
              </w:rPr>
              <w:t xml:space="preserve">Customer Name &amp; Revenue</w:t>
            </w:r>
          </w:p>
        </w:tc>
        <w:tc>
          <w:tcPr>
            <w:tcBorders>
              <w:top w:color="000000" w:space="0" w:sz="5" w:val="single"/>
              <w:left w:color="000000" w:space="0" w:sz="0" w:val="nil"/>
              <w:bottom w:color="000000" w:space="0" w:sz="5" w:val="single"/>
              <w:right w:color="000000" w:space="0" w:sz="5" w:val="single"/>
            </w:tcBorders>
            <w:shd w:fill="cfe2f3" w:val="clear"/>
            <w:tcMar>
              <w:top w:w="0.0" w:type="dxa"/>
              <w:left w:w="100.0" w:type="dxa"/>
              <w:bottom w:w="0.0" w:type="dxa"/>
              <w:right w:w="100.0" w:type="dxa"/>
            </w:tcMar>
            <w:vAlign w:val="top"/>
          </w:tcPr>
          <w:p w:rsidR="00000000" w:rsidDel="00000000" w:rsidP="00000000" w:rsidRDefault="00000000" w:rsidRPr="00000000" w14:paraId="00000007">
            <w:pPr>
              <w:spacing w:before="240" w:lineRule="auto"/>
              <w:jc w:val="center"/>
              <w:rPr>
                <w:b w:val="1"/>
                <w:sz w:val="20"/>
                <w:szCs w:val="20"/>
              </w:rPr>
            </w:pPr>
            <w:r w:rsidDel="00000000" w:rsidR="00000000" w:rsidRPr="00000000">
              <w:rPr>
                <w:b w:val="1"/>
                <w:sz w:val="20"/>
                <w:szCs w:val="20"/>
                <w:rtl w:val="0"/>
              </w:rPr>
              <w:t xml:space="preserve">Sum Revenue</w:t>
            </w:r>
          </w:p>
        </w:tc>
      </w:tr>
      <w:tr>
        <w:trPr>
          <w:cantSplit w:val="0"/>
          <w:trHeight w:val="13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8">
            <w:pPr>
              <w:spacing w:before="240" w:lineRule="auto"/>
              <w:rPr>
                <w:b w:val="1"/>
                <w:sz w:val="20"/>
                <w:szCs w:val="20"/>
              </w:rPr>
            </w:pPr>
            <w:r w:rsidDel="00000000" w:rsidR="00000000" w:rsidRPr="00000000">
              <w:rPr>
                <w:b w:val="1"/>
                <w:sz w:val="20"/>
                <w:szCs w:val="20"/>
                <w:rtl w:val="0"/>
              </w:rPr>
              <w:t xml:space="preserve">Utility Companies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9">
            <w:pPr>
              <w:spacing w:before="240" w:lineRule="auto"/>
              <w:rPr>
                <w:sz w:val="20"/>
                <w:szCs w:val="20"/>
              </w:rPr>
            </w:pPr>
            <w:r w:rsidDel="00000000" w:rsidR="00000000" w:rsidRPr="00000000">
              <w:rPr>
                <w:sz w:val="20"/>
                <w:szCs w:val="20"/>
                <w:rtl w:val="0"/>
              </w:rPr>
              <w:t xml:space="preserve">•   Los Angeles Department of Water and Power (LADWP): $500,000 annually</w:t>
              <w:br w:type="textWrapping"/>
              <w:t xml:space="preserve"> •   San Diego Water Authority: $400,000 annually</w:t>
              <w:br w:type="textWrapping"/>
              <w:t xml:space="preserve"> •   Metropolitan Water District of Southern California: $600,000 annually</w:t>
              <w:br w:type="textWrapping"/>
              <w:t xml:space="preserve"> •   Anaheim Public Utilities: $300,000 annually</w:t>
              <w:br w:type="textWrapping"/>
              <w:t xml:space="preserve"> •   Long Beach Water Department: $350,000 annually</w:t>
              <w:br w:type="textWrapping"/>
              <w:t xml:space="preserve"> •   Irvine Ranch Water District : $200,000 annually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A">
            <w:pPr>
              <w:spacing w:before="240" w:lineRule="auto"/>
              <w:rPr>
                <w:color w:val="1f1f1f"/>
                <w:sz w:val="20"/>
                <w:szCs w:val="20"/>
                <w:highlight w:val="white"/>
              </w:rPr>
            </w:pPr>
            <w:r w:rsidDel="00000000" w:rsidR="00000000" w:rsidRPr="00000000">
              <w:rPr>
                <w:color w:val="1f1f1f"/>
                <w:sz w:val="20"/>
                <w:szCs w:val="20"/>
                <w:highlight w:val="white"/>
                <w:rtl w:val="0"/>
              </w:rPr>
              <w:t xml:space="preserve">$2,350,000</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B">
            <w:pPr>
              <w:spacing w:before="240" w:lineRule="auto"/>
              <w:rPr>
                <w:b w:val="1"/>
                <w:sz w:val="20"/>
                <w:szCs w:val="20"/>
              </w:rPr>
            </w:pPr>
            <w:r w:rsidDel="00000000" w:rsidR="00000000" w:rsidRPr="00000000">
              <w:rPr>
                <w:b w:val="1"/>
                <w:sz w:val="20"/>
                <w:szCs w:val="20"/>
                <w:rtl w:val="0"/>
              </w:rPr>
              <w:t xml:space="preserve">Municipalities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C">
            <w:pPr>
              <w:spacing w:before="240" w:lineRule="auto"/>
              <w:rPr>
                <w:sz w:val="20"/>
                <w:szCs w:val="20"/>
              </w:rPr>
            </w:pPr>
            <w:r w:rsidDel="00000000" w:rsidR="00000000" w:rsidRPr="00000000">
              <w:rPr>
                <w:sz w:val="20"/>
                <w:szCs w:val="20"/>
                <w:rtl w:val="0"/>
              </w:rPr>
              <w:t xml:space="preserve">• City of Los Angeles: $700,000 annually</w:t>
              <w:br w:type="textWrapping"/>
              <w:t xml:space="preserve">  • City of San Diego: $600,000 annually</w:t>
              <w:br w:type="textWrapping"/>
              <w:t xml:space="preserve">  • City of Long Beach: $450,000 annually</w:t>
              <w:br w:type="textWrapping"/>
              <w:t xml:space="preserve">  • City of Anaheim: $400,000 annually</w:t>
              <w:br w:type="textWrapping"/>
              <w:t xml:space="preserve">  • City of Riverside: $300,000 annually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D">
            <w:pPr>
              <w:spacing w:before="240" w:lineRule="auto"/>
              <w:rPr>
                <w:color w:val="1f1f1f"/>
                <w:sz w:val="20"/>
                <w:szCs w:val="20"/>
                <w:highlight w:val="white"/>
              </w:rPr>
            </w:pPr>
            <w:r w:rsidDel="00000000" w:rsidR="00000000" w:rsidRPr="00000000">
              <w:rPr>
                <w:color w:val="1f1f1f"/>
                <w:sz w:val="20"/>
                <w:szCs w:val="20"/>
                <w:highlight w:val="white"/>
                <w:rtl w:val="0"/>
              </w:rPr>
              <w:t xml:space="preserve">$2,450,000</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E">
            <w:pPr>
              <w:spacing w:before="240" w:lineRule="auto"/>
              <w:rPr>
                <w:b w:val="1"/>
                <w:sz w:val="20"/>
                <w:szCs w:val="20"/>
              </w:rPr>
            </w:pPr>
            <w:r w:rsidDel="00000000" w:rsidR="00000000" w:rsidRPr="00000000">
              <w:rPr>
                <w:b w:val="1"/>
                <w:sz w:val="20"/>
                <w:szCs w:val="20"/>
                <w:rtl w:val="0"/>
              </w:rPr>
              <w:t xml:space="preserve">Water Management Organizations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F">
            <w:pPr>
              <w:spacing w:before="240" w:lineRule="auto"/>
              <w:rPr>
                <w:sz w:val="20"/>
                <w:szCs w:val="20"/>
              </w:rPr>
            </w:pPr>
            <w:r w:rsidDel="00000000" w:rsidR="00000000" w:rsidRPr="00000000">
              <w:rPr>
                <w:sz w:val="20"/>
                <w:szCs w:val="20"/>
                <w:rtl w:val="0"/>
              </w:rPr>
              <w:t xml:space="preserve">• Water Replenishment District of Southern California: $200,000 annually</w:t>
              <w:br w:type="textWrapping"/>
              <w:t xml:space="preserve">  • Orange County Water District: $250,000 annually</w:t>
              <w:br w:type="textWrapping"/>
              <w:t xml:space="preserve">  • San Gabriel Valley Water Association: $150,000 annually</w:t>
              <w:br w:type="textWrapping"/>
              <w:t xml:space="preserve">  • Western Municipal Water District: $180,000 annually</w:t>
              <w:br w:type="textWrapping"/>
              <w:t xml:space="preserve">  • Santa Ana Watershed Project Authority: $220,000 annually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0">
            <w:pPr>
              <w:spacing w:before="240" w:lineRule="auto"/>
              <w:rPr>
                <w:color w:val="1f1f1f"/>
                <w:sz w:val="20"/>
                <w:szCs w:val="20"/>
                <w:highlight w:val="white"/>
              </w:rPr>
            </w:pPr>
            <w:r w:rsidDel="00000000" w:rsidR="00000000" w:rsidRPr="00000000">
              <w:rPr>
                <w:color w:val="1f1f1f"/>
                <w:sz w:val="20"/>
                <w:szCs w:val="20"/>
                <w:highlight w:val="white"/>
                <w:rtl w:val="0"/>
              </w:rPr>
              <w:t xml:space="preserve">$1,000,000</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1">
            <w:pPr>
              <w:spacing w:before="240" w:lineRule="auto"/>
              <w:rPr>
                <w:b w:val="1"/>
                <w:sz w:val="20"/>
                <w:szCs w:val="20"/>
              </w:rPr>
            </w:pPr>
            <w:r w:rsidDel="00000000" w:rsidR="00000000" w:rsidRPr="00000000">
              <w:rPr>
                <w:b w:val="1"/>
                <w:sz w:val="20"/>
                <w:szCs w:val="20"/>
                <w:rtl w:val="0"/>
              </w:rPr>
              <w:t xml:space="preserve">Regulatory Agencies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2">
            <w:pPr>
              <w:spacing w:before="240" w:lineRule="auto"/>
              <w:rPr>
                <w:sz w:val="20"/>
                <w:szCs w:val="20"/>
              </w:rPr>
            </w:pPr>
            <w:r w:rsidDel="00000000" w:rsidR="00000000" w:rsidRPr="00000000">
              <w:rPr>
                <w:sz w:val="20"/>
                <w:szCs w:val="20"/>
                <w:rtl w:val="0"/>
              </w:rPr>
              <w:t xml:space="preserve">• California State Water Resources Control Board: $300,000 annually</w:t>
              <w:br w:type="textWrapping"/>
              <w:t xml:space="preserve">  • South Coast Water District: $150,000 annually</w:t>
              <w:br w:type="textWrapping"/>
              <w:t xml:space="preserve">  • Los Angeles Regional Water Quality Control Board: $200,000 annually</w:t>
              <w:br w:type="textWrapping"/>
              <w:t xml:space="preserve">  • Santa Ana Regional Water Quality Control Board: $180,000 annually</w:t>
              <w:br w:type="textWrapping"/>
              <w:t xml:space="preserve">  • San Diego Regional Water Quality Control Board: $250,000 annually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3">
            <w:pPr>
              <w:spacing w:before="240" w:lineRule="auto"/>
              <w:rPr>
                <w:color w:val="1f1f1f"/>
                <w:sz w:val="20"/>
                <w:szCs w:val="20"/>
                <w:highlight w:val="white"/>
              </w:rPr>
            </w:pPr>
            <w:r w:rsidDel="00000000" w:rsidR="00000000" w:rsidRPr="00000000">
              <w:rPr>
                <w:color w:val="1f1f1f"/>
                <w:sz w:val="20"/>
                <w:szCs w:val="20"/>
                <w:highlight w:val="white"/>
                <w:rtl w:val="0"/>
              </w:rPr>
              <w:t xml:space="preserve">$1,080,000</w:t>
            </w:r>
          </w:p>
        </w:tc>
      </w:tr>
    </w:tbl>
    <w:p w:rsidR="00000000" w:rsidDel="00000000" w:rsidP="00000000" w:rsidRDefault="00000000" w:rsidRPr="00000000" w14:paraId="00000014">
      <w:pPr>
        <w:spacing w:after="240" w:before="240" w:lineRule="auto"/>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015">
      <w:pPr>
        <w:spacing w:after="240" w:before="240" w:lineRule="auto"/>
        <w:rPr>
          <w:sz w:val="20"/>
          <w:szCs w:val="20"/>
        </w:rPr>
      </w:pPr>
      <w:r w:rsidDel="00000000" w:rsidR="00000000" w:rsidRPr="00000000">
        <w:rPr>
          <w:b w:val="1"/>
          <w:sz w:val="20"/>
          <w:szCs w:val="20"/>
          <w:rtl w:val="0"/>
        </w:rPr>
        <w:t xml:space="preserve">Market Size Considerations: </w:t>
      </w:r>
      <w:r w:rsidDel="00000000" w:rsidR="00000000" w:rsidRPr="00000000">
        <w:rPr>
          <w:sz w:val="20"/>
          <w:szCs w:val="20"/>
          <w:rtl w:val="0"/>
        </w:rPr>
        <w:t xml:space="preserve">Southern California represents 10% of the total US water management market, and the US market represents 25% of the global market. Market Size referenced from </w:t>
      </w:r>
      <w:hyperlink r:id="rId6">
        <w:r w:rsidDel="00000000" w:rsidR="00000000" w:rsidRPr="00000000">
          <w:rPr>
            <w:color w:val="1155cc"/>
            <w:sz w:val="20"/>
            <w:szCs w:val="20"/>
            <w:u w:val="single"/>
            <w:rtl w:val="0"/>
          </w:rPr>
          <w:t xml:space="preserve">Charting Our Water Future</w:t>
        </w:r>
      </w:hyperlink>
      <w:r w:rsidDel="00000000" w:rsidR="00000000" w:rsidRPr="00000000">
        <w:rPr>
          <w:sz w:val="20"/>
          <w:szCs w:val="20"/>
          <w:rtl w:val="0"/>
        </w:rPr>
        <w:t xml:space="preserve"> and </w:t>
      </w:r>
      <w:hyperlink r:id="rId7">
        <w:r w:rsidDel="00000000" w:rsidR="00000000" w:rsidRPr="00000000">
          <w:rPr>
            <w:color w:val="1155cc"/>
            <w:sz w:val="20"/>
            <w:szCs w:val="20"/>
            <w:u w:val="single"/>
            <w:rtl w:val="0"/>
          </w:rPr>
          <w:t xml:space="preserve">TAM Methodology: An Explanation and Example of Total Addressable Market Analysis</w:t>
        </w:r>
      </w:hyperlink>
      <w:r w:rsidDel="00000000" w:rsidR="00000000" w:rsidRPr="00000000">
        <w:rPr>
          <w:rtl w:val="0"/>
        </w:rPr>
      </w:r>
    </w:p>
    <w:p w:rsidR="00000000" w:rsidDel="00000000" w:rsidP="00000000" w:rsidRDefault="00000000" w:rsidRPr="00000000" w14:paraId="00000016">
      <w:pPr>
        <w:spacing w:after="240" w:before="240" w:lineRule="auto"/>
        <w:rPr>
          <w:b w:val="1"/>
          <w:sz w:val="20"/>
          <w:szCs w:val="20"/>
        </w:rPr>
      </w:pPr>
      <w:r w:rsidDel="00000000" w:rsidR="00000000" w:rsidRPr="00000000">
        <w:rPr>
          <w:b w:val="1"/>
          <w:sz w:val="20"/>
          <w:szCs w:val="20"/>
          <w:rtl w:val="0"/>
        </w:rPr>
        <w:t xml:space="preserve">Assumptions:</w:t>
      </w:r>
    </w:p>
    <w:p w:rsidR="00000000" w:rsidDel="00000000" w:rsidP="00000000" w:rsidRDefault="00000000" w:rsidRPr="00000000" w14:paraId="00000017">
      <w:pPr>
        <w:numPr>
          <w:ilvl w:val="0"/>
          <w:numId w:val="1"/>
        </w:numPr>
        <w:spacing w:after="0" w:afterAutospacing="0" w:lineRule="auto"/>
        <w:ind w:left="720" w:hanging="360"/>
        <w:jc w:val="both"/>
      </w:pPr>
      <w:r w:rsidDel="00000000" w:rsidR="00000000" w:rsidRPr="00000000">
        <w:rPr>
          <w:sz w:val="20"/>
          <w:szCs w:val="20"/>
          <w:rtl w:val="0"/>
        </w:rPr>
        <w:t xml:space="preserve">AquaChain's solutions will have similar market penetration and revenue potential per capita across different regions.</w:t>
      </w:r>
    </w:p>
    <w:p w:rsidR="00000000" w:rsidDel="00000000" w:rsidP="00000000" w:rsidRDefault="00000000" w:rsidRPr="00000000" w14:paraId="00000018">
      <w:pPr>
        <w:numPr>
          <w:ilvl w:val="0"/>
          <w:numId w:val="1"/>
        </w:numPr>
        <w:spacing w:after="0" w:afterAutospacing="0" w:lineRule="auto"/>
        <w:ind w:left="720" w:hanging="360"/>
        <w:jc w:val="both"/>
      </w:pPr>
      <w:r w:rsidDel="00000000" w:rsidR="00000000" w:rsidRPr="00000000">
        <w:rPr>
          <w:sz w:val="20"/>
          <w:szCs w:val="20"/>
          <w:rtl w:val="0"/>
        </w:rPr>
        <w:t xml:space="preserve">The market size in Southern California is representative of the broader US market.</w:t>
      </w:r>
    </w:p>
    <w:p w:rsidR="00000000" w:rsidDel="00000000" w:rsidP="00000000" w:rsidRDefault="00000000" w:rsidRPr="00000000" w14:paraId="00000019">
      <w:pPr>
        <w:numPr>
          <w:ilvl w:val="0"/>
          <w:numId w:val="1"/>
        </w:numPr>
        <w:spacing w:after="240" w:lineRule="auto"/>
        <w:ind w:left="720" w:hanging="360"/>
        <w:jc w:val="both"/>
      </w:pPr>
      <w:r w:rsidDel="00000000" w:rsidR="00000000" w:rsidRPr="00000000">
        <w:rPr>
          <w:sz w:val="20"/>
          <w:szCs w:val="20"/>
          <w:rtl w:val="0"/>
        </w:rPr>
        <w:t xml:space="preserve">The global market size is proportional to the US market size based on water management needs and infrastructure development.</w:t>
      </w:r>
    </w:p>
    <w:p w:rsidR="00000000" w:rsidDel="00000000" w:rsidP="00000000" w:rsidRDefault="00000000" w:rsidRPr="00000000" w14:paraId="0000001A">
      <w:pPr>
        <w:spacing w:after="240" w:before="240" w:lineRule="auto"/>
        <w:rPr>
          <w:sz w:val="20"/>
          <w:szCs w:val="20"/>
        </w:rPr>
      </w:pPr>
      <w:r w:rsidDel="00000000" w:rsidR="00000000" w:rsidRPr="00000000">
        <w:rPr>
          <w:b w:val="1"/>
          <w:sz w:val="20"/>
          <w:szCs w:val="20"/>
          <w:rtl w:val="0"/>
        </w:rPr>
        <w:t xml:space="preserve">US TAM = </w:t>
      </w:r>
      <w:r w:rsidDel="00000000" w:rsidR="00000000" w:rsidRPr="00000000">
        <w:rPr>
          <w:sz w:val="20"/>
          <w:szCs w:val="20"/>
          <w:rtl w:val="0"/>
        </w:rPr>
        <w:t xml:space="preserve">Total Annual Revenue (Southern California) / Proportional Representation of US Market</w:t>
      </w:r>
    </w:p>
    <w:p w:rsidR="00000000" w:rsidDel="00000000" w:rsidP="00000000" w:rsidRDefault="00000000" w:rsidRPr="00000000" w14:paraId="0000001B">
      <w:pPr>
        <w:spacing w:after="240" w:before="240" w:lineRule="auto"/>
        <w:rPr>
          <w:sz w:val="20"/>
          <w:szCs w:val="20"/>
        </w:rPr>
      </w:pPr>
      <w:r w:rsidDel="00000000" w:rsidR="00000000" w:rsidRPr="00000000">
        <w:rPr>
          <w:b w:val="1"/>
          <w:sz w:val="20"/>
          <w:szCs w:val="20"/>
          <w:rtl w:val="0"/>
        </w:rPr>
        <w:t xml:space="preserve">US TAM</w:t>
      </w:r>
      <w:r w:rsidDel="00000000" w:rsidR="00000000" w:rsidRPr="00000000">
        <w:rPr>
          <w:sz w:val="20"/>
          <w:szCs w:val="20"/>
          <w:rtl w:val="0"/>
        </w:rPr>
        <w:t xml:space="preserve"> = $6,880,000 / 0.10 = $68,800,000</w:t>
      </w:r>
    </w:p>
    <w:p w:rsidR="00000000" w:rsidDel="00000000" w:rsidP="00000000" w:rsidRDefault="00000000" w:rsidRPr="00000000" w14:paraId="0000001C">
      <w:pPr>
        <w:spacing w:after="240" w:before="240" w:lineRule="auto"/>
        <w:rPr>
          <w:sz w:val="20"/>
          <w:szCs w:val="20"/>
        </w:rPr>
      </w:pPr>
      <w:r w:rsidDel="00000000" w:rsidR="00000000" w:rsidRPr="00000000">
        <w:rPr>
          <w:b w:val="1"/>
          <w:sz w:val="20"/>
          <w:szCs w:val="20"/>
          <w:rtl w:val="0"/>
        </w:rPr>
        <w:t xml:space="preserve">Global TAM </w:t>
      </w:r>
      <w:r w:rsidDel="00000000" w:rsidR="00000000" w:rsidRPr="00000000">
        <w:rPr>
          <w:sz w:val="20"/>
          <w:szCs w:val="20"/>
          <w:rtl w:val="0"/>
        </w:rPr>
        <w:t xml:space="preserve">= US TAM / Proportional Representation of US Market in Global Market</w:t>
      </w:r>
    </w:p>
    <w:p w:rsidR="00000000" w:rsidDel="00000000" w:rsidP="00000000" w:rsidRDefault="00000000" w:rsidRPr="00000000" w14:paraId="0000001D">
      <w:pPr>
        <w:spacing w:after="240" w:before="240" w:lineRule="auto"/>
        <w:rPr>
          <w:sz w:val="20"/>
          <w:szCs w:val="20"/>
        </w:rPr>
      </w:pPr>
      <w:r w:rsidDel="00000000" w:rsidR="00000000" w:rsidRPr="00000000">
        <w:rPr>
          <w:b w:val="1"/>
          <w:sz w:val="20"/>
          <w:szCs w:val="20"/>
          <w:rtl w:val="0"/>
        </w:rPr>
        <w:t xml:space="preserve">Global TAM</w:t>
      </w:r>
      <w:r w:rsidDel="00000000" w:rsidR="00000000" w:rsidRPr="00000000">
        <w:rPr>
          <w:sz w:val="20"/>
          <w:szCs w:val="20"/>
          <w:rtl w:val="0"/>
        </w:rPr>
        <w:t xml:space="preserve"> = $68,800,000 / 0.25 = $275,200,000</w:t>
      </w:r>
    </w:p>
    <w:p w:rsidR="00000000" w:rsidDel="00000000" w:rsidP="00000000" w:rsidRDefault="00000000" w:rsidRPr="00000000" w14:paraId="0000001E">
      <w:pPr>
        <w:spacing w:after="240" w:before="240" w:lineRule="auto"/>
        <w:rPr>
          <w:color w:val="0d0d0d"/>
          <w:sz w:val="20"/>
          <w:szCs w:val="20"/>
          <w:highlight w:val="white"/>
        </w:rPr>
      </w:pPr>
      <w:r w:rsidDel="00000000" w:rsidR="00000000" w:rsidRPr="00000000">
        <w:rPr>
          <w:color w:val="0d0d0d"/>
          <w:sz w:val="20"/>
          <w:szCs w:val="20"/>
          <w:highlight w:val="white"/>
          <w:rtl w:val="0"/>
        </w:rPr>
        <w:t xml:space="preserve">Therefore, the market size is estimated to be around $275,200,000</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sz w:val="20"/>
          <w:szCs w:val="20"/>
        </w:rPr>
      </w:pPr>
      <w:r w:rsidDel="00000000" w:rsidR="00000000" w:rsidRPr="00000000">
        <w:rPr>
          <w:b w:val="1"/>
          <w:sz w:val="20"/>
          <w:szCs w:val="20"/>
          <w:rtl w:val="0"/>
        </w:rPr>
        <w:t xml:space="preserve">Step 2: Estimate SAM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0"/>
          <w:szCs w:val="20"/>
        </w:rPr>
      </w:pPr>
      <w:r w:rsidDel="00000000" w:rsidR="00000000" w:rsidRPr="00000000">
        <w:rPr>
          <w:sz w:val="20"/>
          <w:szCs w:val="20"/>
          <w:rtl w:val="0"/>
        </w:rPr>
        <w:t xml:space="preserve">Assuming AquaChain can realistically serve 80% of the US market with its current products and reach.</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0"/>
          <w:szCs w:val="20"/>
        </w:rPr>
      </w:pPr>
      <w:r w:rsidDel="00000000" w:rsidR="00000000" w:rsidRPr="00000000">
        <w:rPr>
          <w:sz w:val="20"/>
          <w:szCs w:val="20"/>
          <w:rtl w:val="0"/>
        </w:rPr>
        <w:t xml:space="preserve">SAM percentage = 80%</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0"/>
          <w:szCs w:val="20"/>
        </w:rPr>
      </w:pPr>
      <w:r w:rsidDel="00000000" w:rsidR="00000000" w:rsidRPr="00000000">
        <w:rPr>
          <w:sz w:val="20"/>
          <w:szCs w:val="20"/>
          <w:rtl w:val="0"/>
        </w:rPr>
        <w:t xml:space="preserve">SAM = US TAM x SAM percentage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0"/>
          <w:szCs w:val="20"/>
        </w:rPr>
      </w:pPr>
      <w:r w:rsidDel="00000000" w:rsidR="00000000" w:rsidRPr="00000000">
        <w:rPr>
          <w:sz w:val="20"/>
          <w:szCs w:val="20"/>
          <w:rtl w:val="0"/>
        </w:rPr>
        <w:t xml:space="preserve">= $68.8 million x 0.8</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0"/>
          <w:szCs w:val="20"/>
        </w:rPr>
      </w:pPr>
      <w:r w:rsidDel="00000000" w:rsidR="00000000" w:rsidRPr="00000000">
        <w:rPr>
          <w:sz w:val="20"/>
          <w:szCs w:val="20"/>
          <w:rtl w:val="0"/>
        </w:rPr>
        <w:t xml:space="preserve">= $55.04 million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sz w:val="20"/>
          <w:szCs w:val="20"/>
        </w:rPr>
      </w:pPr>
      <w:r w:rsidDel="00000000" w:rsidR="00000000" w:rsidRPr="00000000">
        <w:rPr>
          <w:b w:val="1"/>
          <w:sz w:val="20"/>
          <w:szCs w:val="20"/>
          <w:rtl w:val="0"/>
        </w:rPr>
        <w:t xml:space="preserve">Step 3: Estimate SOM</w:t>
      </w:r>
    </w:p>
    <w:p w:rsidR="00000000" w:rsidDel="00000000" w:rsidP="00000000" w:rsidRDefault="00000000" w:rsidRPr="00000000" w14:paraId="00000026">
      <w:pPr>
        <w:spacing w:after="240" w:before="240" w:lineRule="auto"/>
        <w:ind w:left="60" w:firstLine="0"/>
        <w:rPr>
          <w:sz w:val="20"/>
          <w:szCs w:val="20"/>
          <w:shd w:fill="fcfcf9" w:val="clear"/>
        </w:rPr>
      </w:pPr>
      <w:r w:rsidDel="00000000" w:rsidR="00000000" w:rsidRPr="00000000">
        <w:rPr>
          <w:sz w:val="20"/>
          <w:szCs w:val="20"/>
          <w:shd w:fill="fcfcf9" w:val="clear"/>
          <w:rtl w:val="0"/>
        </w:rPr>
        <w:t xml:space="preserve">The SOM represents the portion of the SAM that AquaChain can realistically capture, considering factors like competition, marketing efforts, and sales capabilities.Referenced from the following </w:t>
      </w:r>
      <w:hyperlink r:id="rId8">
        <w:r w:rsidDel="00000000" w:rsidR="00000000" w:rsidRPr="00000000">
          <w:rPr>
            <w:sz w:val="20"/>
            <w:szCs w:val="20"/>
            <w:shd w:fill="fcfcf9" w:val="clear"/>
            <w:rtl w:val="0"/>
          </w:rPr>
          <w:t xml:space="preserve">1</w:t>
        </w:r>
      </w:hyperlink>
      <w:hyperlink r:id="rId9">
        <w:r w:rsidDel="00000000" w:rsidR="00000000" w:rsidRPr="00000000">
          <w:rPr>
            <w:sz w:val="20"/>
            <w:szCs w:val="20"/>
            <w:shd w:fill="fcfcf9" w:val="clear"/>
            <w:rtl w:val="0"/>
          </w:rPr>
          <w:t xml:space="preserve">2</w:t>
        </w:r>
      </w:hyperlink>
      <w:hyperlink r:id="rId10">
        <w:r w:rsidDel="00000000" w:rsidR="00000000" w:rsidRPr="00000000">
          <w:rPr>
            <w:sz w:val="20"/>
            <w:szCs w:val="20"/>
            <w:shd w:fill="fcfcf9" w:val="clear"/>
            <w:rtl w:val="0"/>
          </w:rPr>
          <w:t xml:space="preserve">5</w:t>
        </w:r>
      </w:hyperlink>
      <w:r w:rsidDel="00000000" w:rsidR="00000000" w:rsidRPr="00000000">
        <w:rPr>
          <w:sz w:val="20"/>
          <w:szCs w:val="20"/>
          <w:shd w:fill="fcfcf9" w:val="clear"/>
          <w:rtl w:val="0"/>
        </w:rPr>
        <w:t xml:space="preserve"> </w:t>
      </w:r>
    </w:p>
    <w:p w:rsidR="00000000" w:rsidDel="00000000" w:rsidP="00000000" w:rsidRDefault="00000000" w:rsidRPr="00000000" w14:paraId="00000027">
      <w:pPr>
        <w:spacing w:after="240" w:before="240" w:lineRule="auto"/>
        <w:ind w:left="60" w:firstLine="0"/>
        <w:rPr>
          <w:sz w:val="20"/>
          <w:szCs w:val="20"/>
          <w:shd w:fill="fcfcf9" w:val="clear"/>
        </w:rPr>
      </w:pPr>
      <w:r w:rsidDel="00000000" w:rsidR="00000000" w:rsidRPr="00000000">
        <w:rPr>
          <w:sz w:val="20"/>
          <w:szCs w:val="20"/>
          <w:shd w:fill="fcfcf9" w:val="clear"/>
          <w:rtl w:val="0"/>
        </w:rPr>
        <w:t xml:space="preserve">SOM = SAM x Estimated Market Share</w:t>
      </w:r>
    </w:p>
    <w:p w:rsidR="00000000" w:rsidDel="00000000" w:rsidP="00000000" w:rsidRDefault="00000000" w:rsidRPr="00000000" w14:paraId="00000028">
      <w:pPr>
        <w:spacing w:after="240" w:before="240" w:lineRule="auto"/>
        <w:ind w:left="60" w:firstLine="0"/>
        <w:rPr>
          <w:sz w:val="20"/>
          <w:szCs w:val="20"/>
          <w:shd w:fill="fcfcf9" w:val="clear"/>
        </w:rPr>
      </w:pPr>
      <w:r w:rsidDel="00000000" w:rsidR="00000000" w:rsidRPr="00000000">
        <w:rPr>
          <w:sz w:val="20"/>
          <w:szCs w:val="20"/>
          <w:shd w:fill="fcfcf9" w:val="clear"/>
          <w:rtl w:val="0"/>
        </w:rPr>
        <w:t xml:space="preserve">= $55.04 million x 0.15</w:t>
      </w:r>
    </w:p>
    <w:p w:rsidR="00000000" w:rsidDel="00000000" w:rsidP="00000000" w:rsidRDefault="00000000" w:rsidRPr="00000000" w14:paraId="00000029">
      <w:pPr>
        <w:spacing w:after="240" w:before="240" w:lineRule="auto"/>
        <w:ind w:left="60" w:firstLine="0"/>
        <w:rPr>
          <w:sz w:val="20"/>
          <w:szCs w:val="20"/>
          <w:shd w:fill="fcfcf9" w:val="clear"/>
        </w:rPr>
      </w:pPr>
      <w:r w:rsidDel="00000000" w:rsidR="00000000" w:rsidRPr="00000000">
        <w:rPr>
          <w:sz w:val="20"/>
          <w:szCs w:val="20"/>
          <w:shd w:fill="fcfcf9" w:val="clear"/>
          <w:rtl w:val="0"/>
        </w:rPr>
        <w:t xml:space="preserve">= $8.26 million</w:t>
      </w:r>
    </w:p>
    <w:p w:rsidR="00000000" w:rsidDel="00000000" w:rsidP="00000000" w:rsidRDefault="00000000" w:rsidRPr="00000000" w14:paraId="0000002A">
      <w:pPr>
        <w:spacing w:after="240" w:before="240" w:lineRule="auto"/>
        <w:ind w:left="60" w:firstLine="0"/>
        <w:rPr>
          <w:b w:val="1"/>
          <w:sz w:val="20"/>
          <w:szCs w:val="20"/>
          <w:shd w:fill="fcfcf9" w:val="clear"/>
        </w:rPr>
      </w:pPr>
      <w:r w:rsidDel="00000000" w:rsidR="00000000" w:rsidRPr="00000000">
        <w:rPr>
          <w:b w:val="1"/>
          <w:sz w:val="20"/>
          <w:szCs w:val="20"/>
          <w:shd w:fill="fcfcf9" w:val="clear"/>
          <w:rtl w:val="0"/>
        </w:rPr>
        <w:t xml:space="preserve">In summary:</w:t>
      </w:r>
    </w:p>
    <w:p w:rsidR="00000000" w:rsidDel="00000000" w:rsidP="00000000" w:rsidRDefault="00000000" w:rsidRPr="00000000" w14:paraId="0000002B">
      <w:pPr>
        <w:spacing w:after="240" w:before="240" w:lineRule="auto"/>
        <w:ind w:left="60" w:firstLine="0"/>
        <w:rPr>
          <w:sz w:val="20"/>
          <w:szCs w:val="20"/>
          <w:shd w:fill="fcfcf9" w:val="clear"/>
        </w:rPr>
      </w:pPr>
      <w:r w:rsidDel="00000000" w:rsidR="00000000" w:rsidRPr="00000000">
        <w:rPr>
          <w:sz w:val="20"/>
          <w:szCs w:val="20"/>
          <w:shd w:fill="fcfcf9" w:val="clear"/>
          <w:rtl w:val="0"/>
        </w:rPr>
        <w:t xml:space="preserve">Total Addressable Market (TAM) = $275.2 million (Global market)</w:t>
      </w:r>
    </w:p>
    <w:p w:rsidR="00000000" w:rsidDel="00000000" w:rsidP="00000000" w:rsidRDefault="00000000" w:rsidRPr="00000000" w14:paraId="0000002C">
      <w:pPr>
        <w:spacing w:after="240" w:before="240" w:lineRule="auto"/>
        <w:ind w:left="60" w:firstLine="0"/>
        <w:rPr>
          <w:sz w:val="20"/>
          <w:szCs w:val="20"/>
          <w:shd w:fill="fcfcf9" w:val="clear"/>
        </w:rPr>
      </w:pPr>
      <w:r w:rsidDel="00000000" w:rsidR="00000000" w:rsidRPr="00000000">
        <w:rPr>
          <w:sz w:val="20"/>
          <w:szCs w:val="20"/>
          <w:shd w:fill="fcfcf9" w:val="clear"/>
          <w:rtl w:val="0"/>
        </w:rPr>
        <w:t xml:space="preserve">US TAM = $68.8 million</w:t>
      </w:r>
    </w:p>
    <w:p w:rsidR="00000000" w:rsidDel="00000000" w:rsidP="00000000" w:rsidRDefault="00000000" w:rsidRPr="00000000" w14:paraId="0000002D">
      <w:pPr>
        <w:spacing w:after="240" w:before="240" w:lineRule="auto"/>
        <w:ind w:left="60" w:firstLine="0"/>
        <w:rPr>
          <w:sz w:val="20"/>
          <w:szCs w:val="20"/>
          <w:shd w:fill="fcfcf9" w:val="clear"/>
        </w:rPr>
      </w:pPr>
      <w:r w:rsidDel="00000000" w:rsidR="00000000" w:rsidRPr="00000000">
        <w:rPr>
          <w:sz w:val="20"/>
          <w:szCs w:val="20"/>
          <w:shd w:fill="fcfcf9" w:val="clear"/>
          <w:rtl w:val="0"/>
        </w:rPr>
        <w:t xml:space="preserve">Serviceable Addressable Market (SAM) = $55.04 million (80% of US market)</w:t>
      </w:r>
    </w:p>
    <w:p w:rsidR="00000000" w:rsidDel="00000000" w:rsidP="00000000" w:rsidRDefault="00000000" w:rsidRPr="00000000" w14:paraId="0000002E">
      <w:pPr>
        <w:spacing w:after="240" w:before="240" w:lineRule="auto"/>
        <w:ind w:left="60" w:firstLine="0"/>
        <w:rPr>
          <w:sz w:val="20"/>
          <w:szCs w:val="20"/>
          <w:shd w:fill="fcfcf9" w:val="clear"/>
        </w:rPr>
      </w:pPr>
      <w:r w:rsidDel="00000000" w:rsidR="00000000" w:rsidRPr="00000000">
        <w:rPr>
          <w:sz w:val="20"/>
          <w:szCs w:val="20"/>
          <w:shd w:fill="fcfcf9" w:val="clear"/>
          <w:rtl w:val="0"/>
        </w:rPr>
        <w:t xml:space="preserve">Serviceable Obtainable Market (SOM) = $8.26 million (15% estimated market share)</w:t>
      </w:r>
      <w:r w:rsidDel="00000000" w:rsidR="00000000" w:rsidRPr="00000000">
        <w:rPr>
          <w:rtl w:val="0"/>
        </w:rPr>
      </w:r>
    </w:p>
    <w:p w:rsidR="00000000" w:rsidDel="00000000" w:rsidP="00000000" w:rsidRDefault="00000000" w:rsidRPr="00000000" w14:paraId="0000002F">
      <w:pPr>
        <w:spacing w:after="240" w:before="240" w:lineRule="auto"/>
        <w:ind w:left="0" w:firstLine="0"/>
        <w:rPr>
          <w:b w:val="1"/>
          <w:color w:val="0d0d0d"/>
          <w:sz w:val="24"/>
          <w:szCs w:val="24"/>
          <w:highlight w:val="white"/>
        </w:rPr>
      </w:pPr>
      <w:r w:rsidDel="00000000" w:rsidR="00000000" w:rsidRPr="00000000">
        <w:rPr>
          <w:b w:val="1"/>
          <w:color w:val="0d0d0d"/>
          <w:sz w:val="24"/>
          <w:szCs w:val="24"/>
          <w:highlight w:val="white"/>
          <w:rtl w:val="0"/>
        </w:rPr>
        <w:t xml:space="preserve">How to demonstrate Revenue potential?</w:t>
      </w:r>
    </w:p>
    <w:p w:rsidR="00000000" w:rsidDel="00000000" w:rsidP="00000000" w:rsidRDefault="00000000" w:rsidRPr="00000000" w14:paraId="00000030">
      <w:pPr>
        <w:spacing w:after="240" w:before="240" w:lineRule="auto"/>
        <w:rPr>
          <w:color w:val="0d0d0d"/>
          <w:sz w:val="20"/>
          <w:szCs w:val="20"/>
          <w:highlight w:val="white"/>
        </w:rPr>
      </w:pPr>
      <w:r w:rsidDel="00000000" w:rsidR="00000000" w:rsidRPr="00000000">
        <w:rPr>
          <w:color w:val="0d0d0d"/>
          <w:sz w:val="20"/>
          <w:szCs w:val="20"/>
          <w:highlight w:val="white"/>
          <w:rtl w:val="0"/>
        </w:rPr>
        <w:t xml:space="preserve">For AquaChain, demonstrating revenue potential involves leveraging its customer segments' total revenue and average revenue per client to showcase its market position and growth prospects effectively.</w:t>
      </w:r>
    </w:p>
    <w:p w:rsidR="00000000" w:rsidDel="00000000" w:rsidP="00000000" w:rsidRDefault="00000000" w:rsidRPr="00000000" w14:paraId="00000031">
      <w:pPr>
        <w:numPr>
          <w:ilvl w:val="0"/>
          <w:numId w:val="2"/>
        </w:numPr>
        <w:spacing w:after="0" w:afterAutospacing="0" w:lineRule="auto"/>
        <w:ind w:left="720" w:hanging="360"/>
        <w:rPr>
          <w:color w:val="0d0d0d"/>
          <w:sz w:val="20"/>
          <w:szCs w:val="20"/>
          <w:highlight w:val="white"/>
        </w:rPr>
      </w:pPr>
      <w:r w:rsidDel="00000000" w:rsidR="00000000" w:rsidRPr="00000000">
        <w:rPr>
          <w:b w:val="1"/>
          <w:color w:val="0d0d0d"/>
          <w:sz w:val="20"/>
          <w:szCs w:val="20"/>
          <w:highlight w:val="white"/>
          <w:rtl w:val="0"/>
        </w:rPr>
        <w:t xml:space="preserve">Diverse Revenue Streams</w:t>
      </w:r>
      <w:r w:rsidDel="00000000" w:rsidR="00000000" w:rsidRPr="00000000">
        <w:rPr>
          <w:color w:val="0d0d0d"/>
          <w:sz w:val="20"/>
          <w:szCs w:val="20"/>
          <w:highlight w:val="white"/>
          <w:rtl w:val="0"/>
        </w:rPr>
        <w:t xml:space="preserve">: AquaChain will highlight its diverse revenue streams from different customer segments, such as utility companies, municipalities, water management organizations, and regulatory agencies. By presenting the total revenue generated from each segment, AquaChain demonstrates its ability to tap into various sectors of the water management market, reducing dependency on any single customer segment.</w:t>
      </w:r>
    </w:p>
    <w:p w:rsidR="00000000" w:rsidDel="00000000" w:rsidP="00000000" w:rsidRDefault="00000000" w:rsidRPr="00000000" w14:paraId="00000032">
      <w:pPr>
        <w:numPr>
          <w:ilvl w:val="0"/>
          <w:numId w:val="2"/>
        </w:numPr>
        <w:spacing w:after="0" w:afterAutospacing="0" w:lineRule="auto"/>
        <w:ind w:left="720" w:hanging="360"/>
        <w:rPr>
          <w:color w:val="0d0d0d"/>
          <w:sz w:val="20"/>
          <w:szCs w:val="20"/>
          <w:highlight w:val="white"/>
        </w:rPr>
      </w:pPr>
      <w:r w:rsidDel="00000000" w:rsidR="00000000" w:rsidRPr="00000000">
        <w:rPr>
          <w:b w:val="1"/>
          <w:color w:val="0d0d0d"/>
          <w:sz w:val="20"/>
          <w:szCs w:val="20"/>
          <w:highlight w:val="white"/>
          <w:rtl w:val="0"/>
        </w:rPr>
        <w:t xml:space="preserve">Average Revenue per Client</w:t>
      </w:r>
      <w:r w:rsidDel="00000000" w:rsidR="00000000" w:rsidRPr="00000000">
        <w:rPr>
          <w:color w:val="0d0d0d"/>
          <w:sz w:val="20"/>
          <w:szCs w:val="20"/>
          <w:highlight w:val="white"/>
          <w:rtl w:val="0"/>
        </w:rPr>
        <w:t xml:space="preserve">: AquaChain will emphasize the average revenue it generates per client within each segment. This metric provides insights into AquaChain's pricing strategy, customer value proposition, and the level of engagement with its clients. By showcasing competitive average revenue figures, AquaChain positions itself as a value-driven solution provider with strong revenue potential per client across different segments.</w:t>
      </w:r>
    </w:p>
    <w:p w:rsidR="00000000" w:rsidDel="00000000" w:rsidP="00000000" w:rsidRDefault="00000000" w:rsidRPr="00000000" w14:paraId="00000033">
      <w:pPr>
        <w:numPr>
          <w:ilvl w:val="0"/>
          <w:numId w:val="2"/>
        </w:numPr>
        <w:spacing w:after="0" w:afterAutospacing="0" w:lineRule="auto"/>
        <w:ind w:left="720" w:hanging="360"/>
        <w:rPr>
          <w:color w:val="0d0d0d"/>
          <w:sz w:val="20"/>
          <w:szCs w:val="20"/>
          <w:highlight w:val="white"/>
        </w:rPr>
      </w:pPr>
      <w:r w:rsidDel="00000000" w:rsidR="00000000" w:rsidRPr="00000000">
        <w:rPr>
          <w:b w:val="1"/>
          <w:color w:val="0d0d0d"/>
          <w:sz w:val="20"/>
          <w:szCs w:val="20"/>
          <w:highlight w:val="white"/>
          <w:rtl w:val="0"/>
        </w:rPr>
        <w:t xml:space="preserve">Market Penetration and Expansion Opportunitie</w:t>
      </w:r>
      <w:r w:rsidDel="00000000" w:rsidR="00000000" w:rsidRPr="00000000">
        <w:rPr>
          <w:color w:val="0d0d0d"/>
          <w:sz w:val="20"/>
          <w:szCs w:val="20"/>
          <w:highlight w:val="white"/>
          <w:rtl w:val="0"/>
        </w:rPr>
        <w:t xml:space="preserve">s: AquaChain will use its revenue data to assess its market penetration within existing customer segments and identify opportunities for expansion. By analyzing the distribution of revenue across different segments and comparing it to market size estimates, AquaChain can pinpoint areas for growth and prioritize its expansion efforts accordingly.</w:t>
      </w:r>
    </w:p>
    <w:p w:rsidR="00000000" w:rsidDel="00000000" w:rsidP="00000000" w:rsidRDefault="00000000" w:rsidRPr="00000000" w14:paraId="00000034">
      <w:pPr>
        <w:numPr>
          <w:ilvl w:val="0"/>
          <w:numId w:val="2"/>
        </w:numPr>
        <w:spacing w:after="0" w:afterAutospacing="0" w:lineRule="auto"/>
        <w:ind w:left="720" w:hanging="360"/>
        <w:rPr>
          <w:color w:val="0d0d0d"/>
          <w:sz w:val="20"/>
          <w:szCs w:val="20"/>
          <w:highlight w:val="white"/>
        </w:rPr>
      </w:pPr>
      <w:r w:rsidDel="00000000" w:rsidR="00000000" w:rsidRPr="00000000">
        <w:rPr>
          <w:b w:val="1"/>
          <w:color w:val="0d0d0d"/>
          <w:sz w:val="20"/>
          <w:szCs w:val="20"/>
          <w:highlight w:val="white"/>
          <w:rtl w:val="0"/>
        </w:rPr>
        <w:t xml:space="preserve">Customer Acquisition and Retention Strategies</w:t>
      </w:r>
      <w:r w:rsidDel="00000000" w:rsidR="00000000" w:rsidRPr="00000000">
        <w:rPr>
          <w:color w:val="0d0d0d"/>
          <w:sz w:val="20"/>
          <w:szCs w:val="20"/>
          <w:highlight w:val="white"/>
          <w:rtl w:val="0"/>
        </w:rPr>
        <w:t xml:space="preserve">: AquaChain will align its revenue potential demonstration with its customer acquisition and retention strategies. By highlighting its success in acquiring new clients and retaining existing ones, AquaChain can showcase its ability to sustain revenue growth over time. This includes showcasing case studies, testimonials, and client success stories that illustrate AquaChain's value proposition and customer satisfaction levels.</w:t>
      </w:r>
    </w:p>
    <w:p w:rsidR="00000000" w:rsidDel="00000000" w:rsidP="00000000" w:rsidRDefault="00000000" w:rsidRPr="00000000" w14:paraId="00000035">
      <w:pPr>
        <w:numPr>
          <w:ilvl w:val="0"/>
          <w:numId w:val="2"/>
        </w:numPr>
        <w:spacing w:after="240" w:lineRule="auto"/>
        <w:ind w:left="720" w:hanging="360"/>
        <w:rPr>
          <w:color w:val="0d0d0d"/>
          <w:sz w:val="20"/>
          <w:szCs w:val="20"/>
          <w:highlight w:val="white"/>
        </w:rPr>
      </w:pPr>
      <w:r w:rsidDel="00000000" w:rsidR="00000000" w:rsidRPr="00000000">
        <w:rPr>
          <w:b w:val="1"/>
          <w:color w:val="0d0d0d"/>
          <w:sz w:val="20"/>
          <w:szCs w:val="20"/>
          <w:highlight w:val="white"/>
          <w:rtl w:val="0"/>
        </w:rPr>
        <w:t xml:space="preserve">Investor Communication and Reporting:</w:t>
      </w:r>
      <w:r w:rsidDel="00000000" w:rsidR="00000000" w:rsidRPr="00000000">
        <w:rPr>
          <w:color w:val="0d0d0d"/>
          <w:sz w:val="20"/>
          <w:szCs w:val="20"/>
          <w:highlight w:val="white"/>
          <w:rtl w:val="0"/>
        </w:rPr>
        <w:t xml:space="preserve"> AquaChain will incorporate revenue potential demonstrations into its investor communication and reporting efforts. This includes providing transparent and accurate financial reporting, forecasting future revenue growth based on market trends and company projections, and addressing investor concerns or inquiries related to revenue performance.</w:t>
      </w:r>
    </w:p>
    <w:p w:rsidR="00000000" w:rsidDel="00000000" w:rsidP="00000000" w:rsidRDefault="00000000" w:rsidRPr="00000000" w14:paraId="00000036">
      <w:pPr>
        <w:spacing w:after="240" w:before="240" w:lineRule="auto"/>
        <w:rPr>
          <w:color w:val="0d0d0d"/>
          <w:sz w:val="20"/>
          <w:szCs w:val="20"/>
          <w:highlight w:val="white"/>
        </w:rPr>
      </w:pPr>
      <w:r w:rsidDel="00000000" w:rsidR="00000000" w:rsidRPr="00000000">
        <w:rPr>
          <w:color w:val="0d0d0d"/>
          <w:sz w:val="20"/>
          <w:szCs w:val="20"/>
          <w:highlight w:val="white"/>
          <w:rtl w:val="0"/>
        </w:rPr>
        <w:t xml:space="preserve">By effectively leveraging its customer segment revenue data and average revenue per client metrics, AquaChain can demonstrate its revenue potential to investors, stakeholders, and potential clients, positioning itself as a leading player in the water management industry with sustainable growth prospects.</w:t>
      </w:r>
    </w:p>
    <w:p w:rsidR="00000000" w:rsidDel="00000000" w:rsidP="00000000" w:rsidRDefault="00000000" w:rsidRPr="00000000" w14:paraId="00000037">
      <w:pPr>
        <w:spacing w:after="240" w:before="240" w:lineRule="auto"/>
        <w:rPr>
          <w:color w:val="0d0d0d"/>
          <w:sz w:val="20"/>
          <w:szCs w:val="20"/>
          <w:highlight w:val="white"/>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antler.co/academy/tam-sam-som" TargetMode="External"/><Relationship Id="rId9" Type="http://schemas.openxmlformats.org/officeDocument/2006/relationships/hyperlink" Target="https://planbeyond.com/blog/calculate-total-addressable-market-research/" TargetMode="External"/><Relationship Id="rId5" Type="http://schemas.openxmlformats.org/officeDocument/2006/relationships/styles" Target="styles.xml"/><Relationship Id="rId6" Type="http://schemas.openxmlformats.org/officeDocument/2006/relationships/hyperlink" Target="https://www.mckinsey.com/~/media/mckinsey/dotcom/client_service/sustainability/pdfs/charting%20our%20water%20future/charting_our_water_future_full_report_.ashx" TargetMode="External"/><Relationship Id="rId7" Type="http://schemas.openxmlformats.org/officeDocument/2006/relationships/hyperlink" Target="https://www.toptal.com/finance/market-sizing/total-addressable-market-example" TargetMode="External"/><Relationship Id="rId8" Type="http://schemas.openxmlformats.org/officeDocument/2006/relationships/hyperlink" Target="https://www.toptal.com/finance/market-sizing/total-addressable-market-examp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