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AquaChain Strategic Relationship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 of strategic relationships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Technology Partnerships</w:t>
      </w:r>
      <w:r w:rsidDel="00000000" w:rsidR="00000000" w:rsidRPr="00000000">
        <w:rPr>
          <w:sz w:val="24"/>
          <w:szCs w:val="24"/>
          <w:rtl w:val="0"/>
        </w:rPr>
        <w:t xml:space="preserve">: Collaborate with sensor and blockchain technology firms for advanced monitoring and data management solutions.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Utility Partnerships</w:t>
      </w:r>
      <w:r w:rsidDel="00000000" w:rsidR="00000000" w:rsidRPr="00000000">
        <w:rPr>
          <w:sz w:val="24"/>
          <w:szCs w:val="24"/>
          <w:rtl w:val="0"/>
        </w:rPr>
        <w:t xml:space="preserve">: Form alliances with utility companies for pilot projects and tailored water management solutions.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Government and Regulatory Collaborations</w:t>
      </w:r>
      <w:r w:rsidDel="00000000" w:rsidR="00000000" w:rsidRPr="00000000">
        <w:rPr>
          <w:sz w:val="24"/>
          <w:szCs w:val="24"/>
          <w:rtl w:val="0"/>
        </w:rPr>
        <w:t xml:space="preserve">: Work with regulatory agencies for compliance solutions and access to funding support.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Academic and Research Collaborations</w:t>
      </w:r>
      <w:r w:rsidDel="00000000" w:rsidR="00000000" w:rsidRPr="00000000">
        <w:rPr>
          <w:sz w:val="24"/>
          <w:szCs w:val="24"/>
          <w:rtl w:val="0"/>
        </w:rPr>
        <w:t xml:space="preserve">: Partner with universities for research validation and educational programs.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Industry Associations and Channels</w:t>
      </w:r>
      <w:r w:rsidDel="00000000" w:rsidR="00000000" w:rsidRPr="00000000">
        <w:rPr>
          <w:sz w:val="24"/>
          <w:szCs w:val="24"/>
          <w:rtl w:val="0"/>
        </w:rPr>
        <w:t xml:space="preserve">: Join industry groups for networking and market insights, and collaborate with channel partners for distribution.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International and Environmental Partnerships</w:t>
      </w:r>
      <w:r w:rsidDel="00000000" w:rsidR="00000000" w:rsidRPr="00000000">
        <w:rPr>
          <w:sz w:val="24"/>
          <w:szCs w:val="24"/>
          <w:rtl w:val="0"/>
        </w:rPr>
        <w:t xml:space="preserve">: Forge alliances with international organizations and environmental NGOs for global expansion and sustainability initiatives.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Financial and Investment Partnerships</w:t>
      </w:r>
      <w:r w:rsidDel="00000000" w:rsidR="00000000" w:rsidRPr="00000000">
        <w:rPr>
          <w:sz w:val="24"/>
          <w:szCs w:val="24"/>
          <w:rtl w:val="0"/>
        </w:rPr>
        <w:t xml:space="preserve">: Engage with investors and financial institutions for funding and project financing opportunities.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Suppliers and Service Providers</w:t>
      </w:r>
      <w:r w:rsidDel="00000000" w:rsidR="00000000" w:rsidRPr="00000000">
        <w:rPr>
          <w:sz w:val="24"/>
          <w:szCs w:val="24"/>
          <w:rtl w:val="0"/>
        </w:rPr>
        <w:t xml:space="preserve">: Collaborate with suppliers and contractors for procurement and support services.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strategic relationships provide AquaChain with access to resources, expertise, and market opportunities critical for its growth and success in the water management industry.</w:t>
      </w:r>
    </w:p>
    <w:p w:rsidR="00000000" w:rsidDel="00000000" w:rsidP="00000000" w:rsidRDefault="00000000" w:rsidRPr="00000000" w14:paraId="0000000C">
      <w:pPr>
        <w:spacing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Relevant Customer Information for Aquachain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Insights</w:t>
      </w:r>
      <w:r w:rsidDel="00000000" w:rsidR="00000000" w:rsidRPr="00000000">
        <w:rPr>
          <w:sz w:val="24"/>
          <w:szCs w:val="24"/>
          <w:rtl w:val="0"/>
        </w:rPr>
        <w:t xml:space="preserve">: Identify customer pain points such as infrastructure challenges, regulatory compliance, and operational efficiency needs.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Profile</w:t>
      </w:r>
      <w:r w:rsidDel="00000000" w:rsidR="00000000" w:rsidRPr="00000000">
        <w:rPr>
          <w:sz w:val="24"/>
          <w:szCs w:val="24"/>
          <w:rtl w:val="0"/>
        </w:rPr>
        <w:t xml:space="preserve">: Define customer demographics, including geographic distribution, industry sectors, and population served.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Feedback and Satisfaction</w:t>
      </w:r>
      <w:r w:rsidDel="00000000" w:rsidR="00000000" w:rsidRPr="00000000">
        <w:rPr>
          <w:sz w:val="24"/>
          <w:szCs w:val="24"/>
          <w:rtl w:val="0"/>
        </w:rPr>
        <w:t xml:space="preserve">: Gather customer feedback and testimonials to gauge satisfaction and success stories with AquaChain's solutions.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Retention and Expansion</w:t>
      </w:r>
      <w:r w:rsidDel="00000000" w:rsidR="00000000" w:rsidRPr="00000000">
        <w:rPr>
          <w:sz w:val="24"/>
          <w:szCs w:val="24"/>
          <w:rtl w:val="0"/>
        </w:rPr>
        <w:t xml:space="preserve">: Develop strategies for customer retention and expansion, including loyalty programs and upselling opportunities.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