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228B22"/>
          <w:sz w:val="52"/>
        </w:rPr>
        <w:t>BinGO (CleanTrack AI)</w:t>
      </w:r>
    </w:p>
    <w:p>
      <w:pPr>
        <w:spacing w:after="280"/>
        <w:jc w:val="center"/>
      </w:pPr>
      <w:r>
        <w:rPr>
          <w:rFonts w:ascii="Arial" w:hAnsi="Arial"/>
          <w:color w:val="646E78"/>
          <w:sz w:val="26"/>
        </w:rPr>
        <w:t>AI-Powered Smart Waste Management &amp; Municipal Dispatch Ecosystem</w:t>
        <w:br/>
        <w:t>Technical Choices, Operating Assumptions &amp; Compliance Specification</w:t>
      </w:r>
    </w:p>
    <w:tbl>
      <w:tblPr>
        <w:tblW w:type="auto" w:w="0"/>
        <w:jc w:val="center"/>
        <w:tblLook w:firstColumn="1" w:firstRow="1" w:lastColumn="0" w:lastRow="0" w:noHBand="0" w:noVBand="1" w:val="04A0"/>
      </w:tblPr>
      <w:tblGrid>
        <w:gridCol w:w="9360"/>
      </w:tblGrid>
      <w:tr>
        <w:tc>
          <w:tcPr>
            <w:tcW w:type="dxa" w:w="9360"/>
            <w:shd w:fill="F4F9F4"/>
            <w:tcMar>
              <w:top w:w="180" w:type="dxa"/>
              <w:bottom w:w="180" w:type="dxa"/>
              <w:left w:w="240" w:type="dxa"/>
              <w:right w:w="240" w:type="dxa"/>
            </w:tcMar>
          </w:tcPr>
          <w:p>
            <w:pPr>
              <w:spacing w:after="60"/>
            </w:pPr>
            <w:r>
              <w:rPr>
                <w:b/>
                <w:color w:val="228B22"/>
                <w:sz w:val="22"/>
              </w:rPr>
              <w:t xml:space="preserve">Team: </w:t>
            </w:r>
            <w:r>
              <w:rPr>
                <w:b/>
                <w:color w:val="101820"/>
                <w:sz w:val="22"/>
              </w:rPr>
              <w:t>NullOps</w:t>
              <w:br/>
            </w:r>
            <w:r>
              <w:rPr>
                <w:b/>
                <w:sz w:val="21"/>
              </w:rPr>
              <w:t xml:space="preserve">Team Members: </w:t>
            </w:r>
            <w:r>
              <w:rPr>
                <w:sz w:val="21"/>
              </w:rPr>
              <w:t>Jasmine Tripathy (Leader), Mihir Kumar Das, Laxmipriya Swain</w:t>
              <w:br/>
            </w:r>
            <w:r>
              <w:rPr>
                <w:b/>
                <w:sz w:val="19"/>
              </w:rPr>
              <w:t xml:space="preserve">Document Version: </w:t>
            </w:r>
            <w:r>
              <w:rPr>
                <w:sz w:val="19"/>
              </w:rPr>
              <w:t>2.4.0 • Municipal Enterprise Specification • Date: August 2026</w:t>
            </w:r>
          </w:p>
        </w:tc>
      </w:tr>
    </w:tbl>
    <w:p>
      <w:pPr>
        <w:spacing w:after="120"/>
      </w:pPr>
    </w:p>
    <w:p>
      <w:pPr>
        <w:spacing w:before="280" w:after="80"/>
      </w:pPr>
      <w:r>
        <w:rPr>
          <w:rFonts w:ascii="Arial" w:hAnsi="Arial"/>
          <w:b/>
          <w:color w:val="228B22"/>
          <w:sz w:val="32"/>
        </w:rPr>
        <w:t>1. Executive Summary &amp; Project Context</w:t>
      </w:r>
    </w:p>
    <w:p>
      <w:pPr>
        <w:spacing w:after="80" w:line="276" w:lineRule="auto"/>
      </w:pPr>
      <w:r>
        <w:rPr>
          <w:rFonts w:ascii="Calibri" w:hAnsi="Calibri"/>
          <w:color w:val="212529"/>
          <w:sz w:val="21"/>
        </w:rPr>
        <w:t>BinGO is an enterprise-grade civic technology platform engineered to resolve critical inefficiencies in municipal solid waste collection, citizen engagement, and code enforcement. Traditional municipal sanitation relies heavily on manual reporting hotlines, paper logs, and uncoordinated vehicle dispatches, creating a massive trust deficit and uncontrolled public dumping.</w:t>
      </w:r>
    </w:p>
    <w:p>
      <w:pPr>
        <w:spacing w:after="80" w:line="276" w:lineRule="auto"/>
      </w:pPr>
      <w:r>
        <w:rPr>
          <w:rFonts w:ascii="Calibri" w:hAnsi="Calibri"/>
          <w:color w:val="212529"/>
          <w:sz w:val="21"/>
        </w:rPr>
        <w:t>By unifying multi-tier computer vision (YOLOv8n), spatiotemporal DBSCAN hotspot clustering, algorithmic TSP route optimization, multi-channel live status delivery (WebSocket &amp; SMS/MMS), and gamified citizen micro-rewards, BinGO transforms urban waste management into a transparent, self-learning civic operation.</w:t>
      </w:r>
    </w:p>
    <w:p>
      <w:pPr>
        <w:spacing w:before="280" w:after="80"/>
      </w:pPr>
      <w:r>
        <w:rPr>
          <w:rFonts w:ascii="Arial" w:hAnsi="Arial"/>
          <w:b/>
          <w:color w:val="228B22"/>
          <w:sz w:val="32"/>
        </w:rPr>
        <w:t>2. Core Technology Choices &amp; Architectural Rationales</w:t>
      </w:r>
    </w:p>
    <w:p>
      <w:pPr>
        <w:spacing w:before="200" w:after="60"/>
      </w:pPr>
      <w:r>
        <w:rPr>
          <w:rFonts w:ascii="Arial" w:hAnsi="Arial"/>
          <w:b/>
          <w:color w:val="101820"/>
          <w:sz w:val="25"/>
        </w:rPr>
        <w:t>2.1 Backend Application Core — FastAPI (Python 3.12)</w:t>
      </w:r>
    </w:p>
    <w:p>
      <w:pPr>
        <w:spacing w:after="80" w:line="276" w:lineRule="auto"/>
      </w:pPr>
      <w:r>
        <w:rPr>
          <w:rFonts w:ascii="Calibri" w:hAnsi="Calibri"/>
          <w:b/>
          <w:color w:val="101820"/>
          <w:sz w:val="21"/>
        </w:rPr>
        <w:t xml:space="preserve">• Asynchronous ASGI Architecture: </w:t>
      </w:r>
      <w:r>
        <w:rPr>
          <w:rFonts w:ascii="Calibri" w:hAnsi="Calibri"/>
          <w:color w:val="212529"/>
          <w:sz w:val="21"/>
        </w:rPr>
        <w:t>FastAPI was selected for the API gateway and domain microservices. Its asynchronous ASGI architecture provides non-blocking high-throughput concurrency required for real-time WebSocket telemetry and bulk image ingestion. Pydantic v2 ensures strict compile-time payload validation, preventing corrupt reports from entering municipal queues.</w:t>
      </w:r>
    </w:p>
    <w:p>
      <w:pPr>
        <w:spacing w:before="200" w:after="60"/>
      </w:pPr>
      <w:r>
        <w:rPr>
          <w:rFonts w:ascii="Arial" w:hAnsi="Arial"/>
          <w:b/>
          <w:color w:val="101820"/>
          <w:sz w:val="25"/>
        </w:rPr>
        <w:t>2.2 Spatial Database — PostgreSQL 16 + PostGIS 3.4</w:t>
      </w:r>
    </w:p>
    <w:p>
      <w:pPr>
        <w:spacing w:after="80" w:line="276" w:lineRule="auto"/>
      </w:pPr>
      <w:r>
        <w:rPr>
          <w:rFonts w:ascii="Calibri" w:hAnsi="Calibri"/>
          <w:b/>
          <w:color w:val="101820"/>
          <w:sz w:val="21"/>
        </w:rPr>
        <w:t xml:space="preserve">• PostGIS Spatial Indexing: </w:t>
      </w:r>
      <w:r>
        <w:rPr>
          <w:rFonts w:ascii="Calibri" w:hAnsi="Calibri"/>
          <w:color w:val="212529"/>
          <w:sz w:val="21"/>
        </w:rPr>
        <w:t>Spatial indexing via PostGIS R-Tree/GIST indexes enables sub-millisecond bounding-box and radius queries on WGS84 (EPSG:4326) coordinates. This allows instantaneous execution of 100m geo-fence queries and street-snapping without external GIS dependencies.</w:t>
      </w:r>
    </w:p>
    <w:p>
      <w:pPr>
        <w:spacing w:before="200" w:after="60"/>
      </w:pPr>
      <w:r>
        <w:rPr>
          <w:rFonts w:ascii="Arial" w:hAnsi="Arial"/>
          <w:b/>
          <w:color w:val="101820"/>
          <w:sz w:val="25"/>
        </w:rPr>
        <w:t>2.3 Computer Vision &amp; Edge Inference — YOLOv8n (Ultralytics)</w:t>
      </w:r>
    </w:p>
    <w:p>
      <w:pPr>
        <w:spacing w:after="80" w:line="276" w:lineRule="auto"/>
      </w:pPr>
      <w:r>
        <w:rPr>
          <w:rFonts w:ascii="Calibri" w:hAnsi="Calibri"/>
          <w:b/>
          <w:color w:val="101820"/>
          <w:sz w:val="21"/>
        </w:rPr>
        <w:t xml:space="preserve">• YOLOv8 Nano &amp; Verification Diff: </w:t>
      </w:r>
      <w:r>
        <w:rPr>
          <w:rFonts w:ascii="Calibri" w:hAnsi="Calibri"/>
          <w:color w:val="212529"/>
          <w:sz w:val="21"/>
        </w:rPr>
        <w:t>YOLOv8 Nano delivers ultra-fast CPU inference (&lt;80ms) trained on TACO and Kaggle Garbage datasets. A client-side canvas skin-tone &amp; texture entropy filter prevents selfies and hands from generating false positives. Furthermore, a Before/After AI diff module verifies that cleanup photos achieve 100% waste footprint removal before field tickets are closed.</w:t>
      </w:r>
    </w:p>
    <w:p>
      <w:pPr>
        <w:spacing w:before="200" w:after="60"/>
      </w:pPr>
      <w:r>
        <w:rPr>
          <w:rFonts w:ascii="Arial" w:hAnsi="Arial"/>
          <w:b/>
          <w:color w:val="101820"/>
          <w:sz w:val="25"/>
        </w:rPr>
        <w:t>2.4 Asynchronous Worker Queue — Redis 7.2 + arq</w:t>
      </w:r>
    </w:p>
    <w:p>
      <w:pPr>
        <w:spacing w:after="80" w:line="276" w:lineRule="auto"/>
      </w:pPr>
      <w:r>
        <w:rPr>
          <w:rFonts w:ascii="Calibri" w:hAnsi="Calibri"/>
          <w:b/>
          <w:color w:val="101820"/>
          <w:sz w:val="21"/>
        </w:rPr>
        <w:t xml:space="preserve">• Decoupled Task Processing: </w:t>
      </w:r>
      <w:r>
        <w:rPr>
          <w:rFonts w:ascii="Calibri" w:hAnsi="Calibri"/>
          <w:color w:val="212529"/>
          <w:sz w:val="21"/>
        </w:rPr>
        <w:t>Heavy operations such as DBSCAN hotspot calculation, stereo volume triangulation, and active learning log archival run asynchronously through arq workers, decoupling upload latency from background computation.</w:t>
      </w:r>
    </w:p>
    <w:p>
      <w:pPr>
        <w:spacing w:before="200" w:after="60"/>
      </w:pPr>
      <w:r>
        <w:rPr>
          <w:rFonts w:ascii="Arial" w:hAnsi="Arial"/>
          <w:b/>
          <w:color w:val="101820"/>
          <w:sz w:val="25"/>
        </w:rPr>
        <w:t>2.5 Accessible Multi-Channel Communication — Twilio SMS/MMS Gateway</w:t>
      </w:r>
    </w:p>
    <w:p>
      <w:pPr>
        <w:spacing w:after="80" w:line="276" w:lineRule="auto"/>
      </w:pPr>
      <w:r>
        <w:rPr>
          <w:rFonts w:ascii="Calibri" w:hAnsi="Calibri"/>
          <w:b/>
          <w:color w:val="101820"/>
          <w:sz w:val="21"/>
        </w:rPr>
        <w:t xml:space="preserve">• SMS/MMS-First Accessibility: </w:t>
      </w:r>
      <w:r>
        <w:rPr>
          <w:rFonts w:ascii="Calibri" w:hAnsi="Calibri"/>
          <w:color w:val="212529"/>
          <w:sz w:val="21"/>
        </w:rPr>
        <w:t>Provides full feature parity for non-smartphone users and low-connectivity regions. Citizens can submit waste photos via MMS and receive automated dispatch arrival confirmations over SMS.</w:t>
      </w:r>
    </w:p>
    <w:p>
      <w:pPr>
        <w:spacing w:before="280" w:after="80"/>
      </w:pPr>
      <w:r>
        <w:rPr>
          <w:rFonts w:ascii="Arial" w:hAnsi="Arial"/>
          <w:b/>
          <w:color w:val="228B22"/>
          <w:sz w:val="32"/>
        </w:rPr>
        <w:t>3. Unique &amp; Differentiating Features</w:t>
      </w:r>
    </w:p>
    <w:tbl>
      <w:tblPr>
        <w:tblW w:type="auto" w:w="0"/>
        <w:jc w:val="center"/>
        <w:tblLook w:firstColumn="1" w:firstRow="1" w:lastColumn="0" w:lastRow="0" w:noHBand="0" w:noVBand="1" w:val="04A0"/>
      </w:tblPr>
      <w:tblGrid>
        <w:gridCol w:w="3120"/>
        <w:gridCol w:w="3120"/>
        <w:gridCol w:w="3120"/>
      </w:tblGrid>
      <w:tr>
        <w:tc>
          <w:tcPr>
            <w:tcW w:type="dxa" w:w="3120"/>
            <w:shd w:fill="228B22"/>
          </w:tcPr>
          <w:p>
            <w:r>
              <w:rPr>
                <w:b/>
                <w:color w:val="FFFFFF"/>
                <w:sz w:val="19"/>
              </w:rPr>
              <w:t>Feature</w:t>
            </w:r>
          </w:p>
        </w:tc>
        <w:tc>
          <w:tcPr>
            <w:tcW w:type="dxa" w:w="3120"/>
            <w:shd w:fill="228B22"/>
          </w:tcPr>
          <w:p>
            <w:r>
              <w:rPr>
                <w:b/>
                <w:color w:val="FFFFFF"/>
                <w:sz w:val="19"/>
              </w:rPr>
              <w:t>Technical Architecture</w:t>
            </w:r>
          </w:p>
        </w:tc>
        <w:tc>
          <w:tcPr>
            <w:tcW w:type="dxa" w:w="3120"/>
            <w:shd w:fill="228B22"/>
          </w:tcPr>
          <w:p>
            <w:r>
              <w:rPr>
                <w:b/>
                <w:color w:val="FFFFFF"/>
                <w:sz w:val="19"/>
              </w:rPr>
              <w:t>Municipal Strategic Value</w:t>
            </w:r>
          </w:p>
        </w:tc>
      </w:tr>
      <w:tr>
        <w:tc>
          <w:tcPr>
            <w:tcW w:type="dxa" w:w="3120"/>
            <w:tcMar>
              <w:top w:w="80" w:type="dxa"/>
              <w:bottom w:w="80" w:type="dxa"/>
              <w:left w:w="100" w:type="dxa"/>
              <w:right w:w="100" w:type="dxa"/>
            </w:tcMar>
          </w:tcPr>
          <w:p>
            <w:r>
              <w:rPr>
                <w:rFonts w:ascii="Calibri" w:hAnsi="Calibri"/>
                <w:sz w:val="18"/>
              </w:rPr>
              <w:t>Illegal Dumping Pattern Detector</w:t>
            </w:r>
          </w:p>
        </w:tc>
        <w:tc>
          <w:tcPr>
            <w:tcW w:type="dxa" w:w="3120"/>
            <w:tcMar>
              <w:top w:w="80" w:type="dxa"/>
              <w:bottom w:w="80" w:type="dxa"/>
              <w:left w:w="100" w:type="dxa"/>
              <w:right w:w="100" w:type="dxa"/>
            </w:tcMar>
          </w:tcPr>
          <w:p>
            <w:r>
              <w:rPr>
                <w:rFonts w:ascii="Calibri" w:hAnsi="Calibri"/>
                <w:sz w:val="18"/>
              </w:rPr>
              <w:t>Cross-references hotspot recurrence frequency + late-night time windows (11PM-4AM) + waste type signatures (construction rubble, chemical drums) with confidence scoring.</w:t>
            </w:r>
          </w:p>
        </w:tc>
        <w:tc>
          <w:tcPr>
            <w:tcW w:type="dxa" w:w="3120"/>
            <w:tcMar>
              <w:top w:w="80" w:type="dxa"/>
              <w:bottom w:w="80" w:type="dxa"/>
              <w:left w:w="100" w:type="dxa"/>
              <w:right w:w="100" w:type="dxa"/>
            </w:tcMar>
          </w:tcPr>
          <w:p>
            <w:r>
              <w:rPr>
                <w:rFonts w:ascii="Calibri" w:hAnsi="Calibri"/>
                <w:sz w:val="18"/>
              </w:rPr>
              <w:t>Wedge into municipal code enforcement &amp; police FIR workflows, creating a new budget line beyond basic sanitation.</w:t>
            </w:r>
          </w:p>
        </w:tc>
      </w:tr>
      <w:tr>
        <w:tc>
          <w:tcPr>
            <w:tcW w:type="dxa" w:w="3120"/>
            <w:tcMar>
              <w:top w:w="80" w:type="dxa"/>
              <w:bottom w:w="80" w:type="dxa"/>
              <w:left w:w="100" w:type="dxa"/>
              <w:right w:w="100" w:type="dxa"/>
            </w:tcMar>
          </w:tcPr>
          <w:p>
            <w:r>
              <w:rPr>
                <w:rFonts w:ascii="Calibri" w:hAnsi="Calibri"/>
                <w:sz w:val="18"/>
              </w:rPr>
              <w:t>TSP Route Optimizer</w:t>
            </w:r>
          </w:p>
        </w:tc>
        <w:tc>
          <w:tcPr>
            <w:tcW w:type="dxa" w:w="3120"/>
            <w:tcMar>
              <w:top w:w="80" w:type="dxa"/>
              <w:bottom w:w="80" w:type="dxa"/>
              <w:left w:w="100" w:type="dxa"/>
              <w:right w:w="100" w:type="dxa"/>
            </w:tcMar>
          </w:tcPr>
          <w:p>
            <w:r>
              <w:rPr>
                <w:rFonts w:ascii="Calibri" w:hAnsi="Calibri"/>
                <w:sz w:val="18"/>
              </w:rPr>
              <w:t>Algorithmic nearest-neighbor Haversine Traveling Salesperson Problem batching 5-8 nearby open reports into one vehicle shift loop.</w:t>
            </w:r>
          </w:p>
        </w:tc>
        <w:tc>
          <w:tcPr>
            <w:tcW w:type="dxa" w:w="3120"/>
            <w:tcMar>
              <w:top w:w="80" w:type="dxa"/>
              <w:bottom w:w="80" w:type="dxa"/>
              <w:left w:w="100" w:type="dxa"/>
              <w:right w:w="100" w:type="dxa"/>
            </w:tcMar>
          </w:tcPr>
          <w:p>
            <w:r>
              <w:rPr>
                <w:rFonts w:ascii="Calibri" w:hAnsi="Calibri"/>
                <w:sz w:val="18"/>
              </w:rPr>
              <w:t>Reduces fuel consumption and municipal fleet operating costs by over 40-62% vs. ad-hoc single dispatches.</w:t>
            </w:r>
          </w:p>
        </w:tc>
      </w:tr>
      <w:tr>
        <w:tc>
          <w:tcPr>
            <w:tcW w:type="dxa" w:w="3120"/>
            <w:tcMar>
              <w:top w:w="80" w:type="dxa"/>
              <w:bottom w:w="80" w:type="dxa"/>
              <w:left w:w="100" w:type="dxa"/>
              <w:right w:w="100" w:type="dxa"/>
            </w:tcMar>
          </w:tcPr>
          <w:p>
            <w:r>
              <w:rPr>
                <w:rFonts w:ascii="Calibri" w:hAnsi="Calibri"/>
                <w:sz w:val="18"/>
              </w:rPr>
              <w:t>100m Proximity Radar &amp; Dwell Alerts</w:t>
            </w:r>
          </w:p>
        </w:tc>
        <w:tc>
          <w:tcPr>
            <w:tcW w:type="dxa" w:w="3120"/>
            <w:tcMar>
              <w:top w:w="80" w:type="dxa"/>
              <w:bottom w:w="80" w:type="dxa"/>
              <w:left w:w="100" w:type="dxa"/>
              <w:right w:w="100" w:type="dxa"/>
            </w:tcMar>
          </w:tcPr>
          <w:p>
            <w:r>
              <w:rPr>
                <w:rFonts w:ascii="Calibri" w:hAnsi="Calibri"/>
                <w:sz w:val="18"/>
              </w:rPr>
              <w:t>Telemetric geo-fence monitor alerting flagged daily repeat dumpers when a collection truck is within 100m, detailing exact on-site dwell time (~12 mins).</w:t>
            </w:r>
          </w:p>
        </w:tc>
        <w:tc>
          <w:tcPr>
            <w:tcW w:type="dxa" w:w="3120"/>
            <w:tcMar>
              <w:top w:w="80" w:type="dxa"/>
              <w:bottom w:w="80" w:type="dxa"/>
              <w:left w:w="100" w:type="dxa"/>
              <w:right w:w="100" w:type="dxa"/>
            </w:tcMar>
          </w:tcPr>
          <w:p>
            <w:r>
              <w:rPr>
                <w:rFonts w:ascii="Calibri" w:hAnsi="Calibri"/>
                <w:sz w:val="18"/>
              </w:rPr>
              <w:t>Direct psychological deterrence that channels daily waste directly into municipal trucks before it hits the street.</w:t>
            </w:r>
          </w:p>
        </w:tc>
      </w:tr>
      <w:tr>
        <w:tc>
          <w:tcPr>
            <w:tcW w:type="dxa" w:w="3120"/>
            <w:tcMar>
              <w:top w:w="80" w:type="dxa"/>
              <w:bottom w:w="80" w:type="dxa"/>
              <w:left w:w="100" w:type="dxa"/>
              <w:right w:w="100" w:type="dxa"/>
            </w:tcMar>
          </w:tcPr>
          <w:p>
            <w:r>
              <w:rPr>
                <w:rFonts w:ascii="Calibri" w:hAnsi="Calibri"/>
                <w:sz w:val="18"/>
              </w:rPr>
              <w:t>Carbon &amp; ESG Impact Dashboard</w:t>
            </w:r>
          </w:p>
        </w:tc>
        <w:tc>
          <w:tcPr>
            <w:tcW w:type="dxa" w:w="3120"/>
            <w:tcMar>
              <w:top w:w="80" w:type="dxa"/>
              <w:bottom w:w="80" w:type="dxa"/>
              <w:left w:w="100" w:type="dxa"/>
              <w:right w:w="100" w:type="dxa"/>
            </w:tcMar>
          </w:tcPr>
          <w:p>
            <w:r>
              <w:rPr>
                <w:rFonts w:ascii="Calibri" w:hAnsi="Calibri"/>
                <w:sz w:val="18"/>
              </w:rPr>
              <w:t>Converts cleared volume and material mass into IPCC AR6 greenhouse gas emission avoidance (CO2e avoided, landfill diverted).</w:t>
            </w:r>
          </w:p>
        </w:tc>
        <w:tc>
          <w:tcPr>
            <w:tcW w:type="dxa" w:w="3120"/>
            <w:tcMar>
              <w:top w:w="80" w:type="dxa"/>
              <w:bottom w:w="80" w:type="dxa"/>
              <w:left w:w="100" w:type="dxa"/>
              <w:right w:w="100" w:type="dxa"/>
            </w:tcMar>
          </w:tcPr>
          <w:p>
            <w:r>
              <w:rPr>
                <w:rFonts w:ascii="Calibri" w:hAnsi="Calibri"/>
                <w:sz w:val="18"/>
              </w:rPr>
              <w:t>Equips city governments with auditable, ESG-reportable sustainability metrics for municipal green bonds.</w:t>
            </w:r>
          </w:p>
        </w:tc>
      </w:tr>
      <w:tr>
        <w:tc>
          <w:tcPr>
            <w:tcW w:type="dxa" w:w="3120"/>
            <w:tcMar>
              <w:top w:w="80" w:type="dxa"/>
              <w:bottom w:w="80" w:type="dxa"/>
              <w:left w:w="100" w:type="dxa"/>
              <w:right w:w="100" w:type="dxa"/>
            </w:tcMar>
          </w:tcPr>
          <w:p>
            <w:r>
              <w:rPr>
                <w:rFonts w:ascii="Calibri" w:hAnsi="Calibri"/>
                <w:sz w:val="18"/>
              </w:rPr>
              <w:t>Public Transparency Map</w:t>
            </w:r>
          </w:p>
        </w:tc>
        <w:tc>
          <w:tcPr>
            <w:tcW w:type="dxa" w:w="3120"/>
            <w:tcMar>
              <w:top w:w="80" w:type="dxa"/>
              <w:bottom w:w="80" w:type="dxa"/>
              <w:left w:w="100" w:type="dxa"/>
              <w:right w:w="100" w:type="dxa"/>
            </w:tcMar>
          </w:tcPr>
          <w:p>
            <w:r>
              <w:rPr>
                <w:rFonts w:ascii="Calibri" w:hAnsi="Calibri"/>
                <w:sz w:val="18"/>
              </w:rPr>
              <w:t>Auth-optional, rate-limited public Leaflet heatmap rendering cleared (green) vs. active (amber) reports by ward.</w:t>
            </w:r>
          </w:p>
        </w:tc>
        <w:tc>
          <w:tcPr>
            <w:tcW w:type="dxa" w:w="3120"/>
            <w:tcMar>
              <w:top w:w="80" w:type="dxa"/>
              <w:bottom w:w="80" w:type="dxa"/>
              <w:left w:w="100" w:type="dxa"/>
              <w:right w:w="100" w:type="dxa"/>
            </w:tcMar>
          </w:tcPr>
          <w:p>
            <w:r>
              <w:rPr>
                <w:rFonts w:ascii="Calibri" w:hAnsi="Calibri"/>
                <w:sz w:val="18"/>
              </w:rPr>
              <w:t>Eliminates citizen cynicism through open-data public governance without exposing citizen PII or home addresses.</w:t>
            </w:r>
          </w:p>
        </w:tc>
      </w:tr>
    </w:tbl>
    <w:p>
      <w:pPr>
        <w:spacing w:after="80"/>
      </w:pPr>
    </w:p>
    <w:p>
      <w:pPr>
        <w:spacing w:before="280" w:after="80"/>
      </w:pPr>
      <w:r>
        <w:rPr>
          <w:rFonts w:ascii="Arial" w:hAnsi="Arial"/>
          <w:b/>
          <w:color w:val="228B22"/>
          <w:sz w:val="32"/>
        </w:rPr>
        <w:t>4. Operating Assumptions &amp; Engineering Parameters</w:t>
      </w:r>
    </w:p>
    <w:p>
      <w:pPr>
        <w:spacing w:after="80" w:line="276" w:lineRule="auto"/>
      </w:pPr>
      <w:r>
        <w:rPr>
          <w:rFonts w:ascii="Calibri" w:hAnsi="Calibri"/>
          <w:b/>
          <w:color w:val="101820"/>
          <w:sz w:val="21"/>
        </w:rPr>
        <w:t xml:space="preserve">Spatial GPS Drift Handling: </w:t>
      </w:r>
      <w:r>
        <w:rPr>
          <w:rFonts w:ascii="Calibri" w:hAnsi="Calibri"/>
          <w:color w:val="212529"/>
          <w:sz w:val="21"/>
        </w:rPr>
        <w:t>GPS drift in dense urban environments averages 5m to 25m. BinGO applies a 15-meter coordinate snapping radius to group duplicate citizen submissions on the same physical corner.</w:t>
      </w:r>
    </w:p>
    <w:p>
      <w:pPr>
        <w:spacing w:after="80" w:line="276" w:lineRule="auto"/>
      </w:pPr>
      <w:r>
        <w:rPr>
          <w:rFonts w:ascii="Calibri" w:hAnsi="Calibri"/>
          <w:b/>
          <w:color w:val="101820"/>
          <w:sz w:val="21"/>
        </w:rPr>
        <w:t xml:space="preserve">Bulk Density Constants: </w:t>
      </w:r>
      <w:r>
        <w:rPr>
          <w:rFonts w:ascii="Calibri" w:hAnsi="Calibri"/>
          <w:color w:val="212529"/>
          <w:sz w:val="21"/>
        </w:rPr>
        <w:t>Standard volumetric conversion factors applied: Plastic (100 kg/m³), Cardboard (200 kg/m³), Organic (400 kg/m³), Metal (800 kg/m³), Hazardous (600 kg/m³), Mixed (300 kg/m³).</w:t>
      </w:r>
    </w:p>
    <w:p>
      <w:pPr>
        <w:spacing w:after="80" w:line="276" w:lineRule="auto"/>
      </w:pPr>
      <w:r>
        <w:rPr>
          <w:rFonts w:ascii="Calibri" w:hAnsi="Calibri"/>
          <w:b/>
          <w:color w:val="101820"/>
          <w:sz w:val="21"/>
        </w:rPr>
        <w:t xml:space="preserve">Vehicle Dynamics &amp; Dwell Estimation: </w:t>
      </w:r>
      <w:r>
        <w:rPr>
          <w:rFonts w:ascii="Calibri" w:hAnsi="Calibri"/>
          <w:color w:val="212529"/>
          <w:sz w:val="21"/>
        </w:rPr>
        <w:t>Municipal tippers operate at an urban transit velocity of 18-25 km/h. On-site cleanup dwell time is estimated at 8-15 minutes depending on waste category.</w:t>
      </w:r>
    </w:p>
    <w:p>
      <w:pPr>
        <w:spacing w:after="80" w:line="276" w:lineRule="auto"/>
      </w:pPr>
      <w:r>
        <w:rPr>
          <w:rFonts w:ascii="Calibri" w:hAnsi="Calibri"/>
          <w:b/>
          <w:color w:val="101820"/>
          <w:sz w:val="21"/>
        </w:rPr>
        <w:t xml:space="preserve">DBSCAN Cluster Parameters: </w:t>
      </w:r>
      <w:r>
        <w:rPr>
          <w:rFonts w:ascii="Calibri" w:hAnsi="Calibri"/>
          <w:color w:val="212529"/>
          <w:sz w:val="21"/>
        </w:rPr>
        <w:t>Calibrated at eps = 0.003° (~330m) and min_samples = 3 to filter transient litter while isolating persistent dumping clusters.</w:t>
      </w:r>
    </w:p>
    <w:p>
      <w:pPr>
        <w:spacing w:before="280" w:after="80"/>
      </w:pPr>
      <w:r>
        <w:rPr>
          <w:rFonts w:ascii="Arial" w:hAnsi="Arial"/>
          <w:b/>
          <w:color w:val="228B22"/>
          <w:sz w:val="32"/>
        </w:rPr>
        <w:t>5. Statutory, Environmental &amp; Privacy Compliance Checks</w:t>
      </w:r>
    </w:p>
    <w:p>
      <w:pPr>
        <w:spacing w:before="200" w:after="60"/>
      </w:pPr>
      <w:r>
        <w:rPr>
          <w:rFonts w:ascii="Arial" w:hAnsi="Arial"/>
          <w:b/>
          <w:color w:val="101820"/>
          <w:sz w:val="25"/>
        </w:rPr>
        <w:t>5.1 Data Privacy (DPDP Act &amp; GDPR Compliance)</w:t>
      </w:r>
    </w:p>
    <w:p>
      <w:pPr>
        <w:spacing w:after="80" w:line="276" w:lineRule="auto"/>
      </w:pPr>
      <w:r>
        <w:rPr>
          <w:rFonts w:ascii="Calibri" w:hAnsi="Calibri"/>
          <w:b/>
          <w:color w:val="101820"/>
          <w:sz w:val="21"/>
        </w:rPr>
        <w:t xml:space="preserve">• EXIF Scrubbing &amp; Zero Biometric Retention: </w:t>
      </w:r>
      <w:r>
        <w:rPr>
          <w:rFonts w:ascii="Calibri" w:hAnsi="Calibri"/>
          <w:color w:val="212529"/>
          <w:sz w:val="21"/>
        </w:rPr>
        <w:t>All ingested photos undergo client/server EXIF metadata scrubbing, stripping camera serial numbers, device models, and owner data. Public map layers display aggregated ward centroids with zero citizen PII. Account deletion triggers complete cryptographic erasure of phone numbers and tokens in accordance with Right-to-Erasure statutes.</w:t>
      </w:r>
    </w:p>
    <w:p>
      <w:pPr>
        <w:spacing w:before="200" w:after="60"/>
      </w:pPr>
      <w:r>
        <w:rPr>
          <w:rFonts w:ascii="Arial" w:hAnsi="Arial"/>
          <w:b/>
          <w:color w:val="101820"/>
          <w:sz w:val="25"/>
        </w:rPr>
        <w:t>5.2 Solid Waste Management (SWM Rules 2016 / CPCB Norms)</w:t>
      </w:r>
    </w:p>
    <w:p>
      <w:pPr>
        <w:spacing w:after="80" w:line="276" w:lineRule="auto"/>
      </w:pPr>
      <w:r>
        <w:rPr>
          <w:rFonts w:ascii="Calibri" w:hAnsi="Calibri"/>
          <w:b/>
          <w:color w:val="101820"/>
          <w:sz w:val="21"/>
        </w:rPr>
        <w:t xml:space="preserve">• Hazardous Waste Escalation: </w:t>
      </w:r>
      <w:r>
        <w:rPr>
          <w:rFonts w:ascii="Calibri" w:hAnsi="Calibri"/>
          <w:color w:val="212529"/>
          <w:sz w:val="21"/>
        </w:rPr>
        <w:t>Enforces mandatory priority tagging on hazardous, chemical, and biomedical waste (Urgency Score: 95/100), ensuring appropriate specialized handling gear and preventing improper compactor loading.</w:t>
      </w:r>
    </w:p>
    <w:p>
      <w:pPr>
        <w:spacing w:before="200" w:after="60"/>
      </w:pPr>
      <w:r>
        <w:rPr>
          <w:rFonts w:ascii="Arial" w:hAnsi="Arial"/>
          <w:b/>
          <w:color w:val="101820"/>
          <w:sz w:val="25"/>
        </w:rPr>
        <w:t>5.3 IPCC AR6 Carbon Offset Methodology</w:t>
      </w:r>
    </w:p>
    <w:p>
      <w:pPr>
        <w:spacing w:after="80" w:line="276" w:lineRule="auto"/>
      </w:pPr>
      <w:r>
        <w:rPr>
          <w:rFonts w:ascii="Calibri" w:hAnsi="Calibri"/>
          <w:b/>
          <w:color w:val="101820"/>
          <w:sz w:val="21"/>
        </w:rPr>
        <w:t xml:space="preserve">• ESG Carbon Calculation: </w:t>
      </w:r>
      <w:r>
        <w:rPr>
          <w:rFonts w:ascii="Calibri" w:hAnsi="Calibri"/>
          <w:color w:val="212529"/>
          <w:sz w:val="21"/>
        </w:rPr>
        <w:t>Emissions diversion calculations strictly follow IPCC Sixth Assessment Report (AR6) emission factors: Plastic (0.70 t CO2e/t), Cardboard (0.50 t CO2e/t), Organic (0.27 t CO2e/t), Metal (1.80 t CO2e/t).</w:t>
      </w:r>
    </w:p>
    <w:p>
      <w:pPr>
        <w:spacing w:before="200" w:after="60"/>
      </w:pPr>
      <w:r>
        <w:rPr>
          <w:rFonts w:ascii="Arial" w:hAnsi="Arial"/>
          <w:b/>
          <w:color w:val="101820"/>
          <w:sz w:val="25"/>
        </w:rPr>
        <w:t>5.4 Open Data &amp; Cartographic Licensing (ODbL)</w:t>
      </w:r>
    </w:p>
    <w:p>
      <w:pPr>
        <w:spacing w:after="80" w:line="276" w:lineRule="auto"/>
      </w:pPr>
      <w:r>
        <w:rPr>
          <w:rFonts w:ascii="Calibri" w:hAnsi="Calibri"/>
          <w:b/>
          <w:color w:val="101820"/>
          <w:sz w:val="21"/>
        </w:rPr>
        <w:t xml:space="preserve">• OpenStreetMap / CartoDB Compliance: </w:t>
      </w:r>
      <w:r>
        <w:rPr>
          <w:rFonts w:ascii="Calibri" w:hAnsi="Calibri"/>
          <w:color w:val="212529"/>
          <w:sz w:val="21"/>
        </w:rPr>
        <w:t>Full attribution to OpenStreetMap contributors and CartoDB Dark Matter tile infrastructure is maintained across all citizen, administrative, and public transparency mapping components.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