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F3864"/>
          <w:sz w:val="48"/>
          <w:szCs w:val="48"/>
        </w:rPr>
        <w:t xml:space="preserve">Sampling Error Analysis</w:t>
      </w:r>
    </w:p>
    <w:p>
      <w:pPr>
        <w:spacing w:after="60" w:before="0"/>
        <w:jc w:val="left"/>
      </w:pPr>
      <w:r>
        <w:rPr>
          <w:rFonts w:ascii="Arial" w:cs="Arial" w:eastAsia="Arial" w:hAnsi="Arial"/>
          <w:color w:val="2E74B5"/>
          <w:sz w:val="26"/>
          <w:szCs w:val="26"/>
        </w:rPr>
        <w:t xml:space="preserve">VM0042 v2.2 §8.6.1.1.3-4 — Stratified Random Sampling</w:t>
      </w:r>
    </w:p>
    <w:p>
      <w:pPr>
        <w:spacing w:after="240" w:before="0"/>
        <w:jc w:val="left"/>
      </w:pPr>
      <w:r>
        <w:rPr>
          <w:rFonts w:ascii="Arial" w:cs="Arial" w:eastAsia="Arial" w:hAnsi="Arial"/>
          <w:color w:val="666666"/>
          <w:sz w:val="20"/>
          <w:szCs w:val="20"/>
        </w:rPr>
        <w:t xml:space="preserve">Kenya Smallholder SOC Project  |  Regenerative Carbon Alliance  |  2026</w:t>
      </w:r>
    </w:p>
    <w:p>
      <w:pPr>
        <w:pBdr>
          <w:bottom w:val="single" w:color="2E75B6" w:sz="6" w:space="1"/>
        </w:pBdr>
        <w:spacing w:after="120" w:before="120"/>
      </w:pPr>
      <w:r>
        <w:t xml:space="preserve"/>
      </w:r>
    </w:p>
    <w:p>
      <w:pPr>
        <w:pStyle w:val="Heading1"/>
        <w:spacing w:after="160" w:before="320"/>
      </w:pPr>
      <w:r>
        <w:rPr>
          <w:rFonts w:ascii="Arial" w:cs="Arial" w:eastAsia="Arial" w:hAnsi="Arial"/>
          <w:b/>
          <w:bCs/>
          <w:sz w:val="32"/>
          <w:szCs w:val="32"/>
        </w:rPr>
        <w:t xml:space="preserve">1. Purpose</w:t>
      </w:r>
    </w:p>
    <w:p>
      <w:pPr>
        <w:spacing w:after="120" w:before="60"/>
      </w:pPr>
      <w:r>
        <w:rPr>
          <w:rFonts w:ascii="Arial" w:cs="Arial" w:eastAsia="Arial" w:hAnsi="Arial"/>
          <w:b w:val="false"/>
          <w:bCs w:val="false"/>
          <w:sz w:val="22"/>
          <w:szCs w:val="22"/>
        </w:rPr>
        <w:t xml:space="preserve">This report documents the analytical calculation of sampling error for the Kenya Smallholder Soil Organic Carbon (SOC) project under Verra VCS Methodology VM0042 v2.2. Sampling error is one of two components of total uncertainty required under §8.6.1.1 (the other being model prediction error, which will be quantified in a separate Model Validation Report). Together they determine the uncertainty deduction applied to reported Verified Carbon Units (VCUs).</w:t>
      </w:r>
    </w:p>
    <w:p>
      <w:pPr>
        <w:spacing w:after="120" w:before="60"/>
      </w:pPr>
      <w:r>
        <w:rPr>
          <w:rFonts w:ascii="Arial" w:cs="Arial" w:eastAsia="Arial" w:hAnsi="Arial"/>
          <w:b w:val="false"/>
          <w:bCs w:val="false"/>
          <w:sz w:val="22"/>
          <w:szCs w:val="22"/>
        </w:rPr>
        <w:t xml:space="preserve">All calculations follow VM0042 v2.2 Equations 62–64. The project uses Quantification Approach 1 (Measure and Model), with RothC as the biogeochemical model and stratified random sampling as the spatial design.</w:t>
      </w:r>
    </w:p>
    <w:p>
      <w:pPr>
        <w:spacing w:after="60" w:before="60"/>
      </w:pPr>
      <w:r>
        <w:t xml:space="preserve"/>
      </w:r>
    </w:p>
    <w:p>
      <w:pPr>
        <w:pStyle w:val="Heading1"/>
        <w:spacing w:after="160" w:before="320"/>
      </w:pPr>
      <w:r>
        <w:rPr>
          <w:rFonts w:ascii="Arial" w:cs="Arial" w:eastAsia="Arial" w:hAnsi="Arial"/>
          <w:b/>
          <w:bCs/>
          <w:sz w:val="32"/>
          <w:szCs w:val="32"/>
        </w:rPr>
        <w:t xml:space="preserve">2. Project and Sampling Design</w:t>
      </w:r>
    </w:p>
    <w:p>
      <w:pPr>
        <w:pStyle w:val="Heading2"/>
        <w:spacing w:after="120" w:before="240"/>
      </w:pPr>
      <w:r>
        <w:rPr>
          <w:rFonts w:ascii="Arial" w:cs="Arial" w:eastAsia="Arial" w:hAnsi="Arial"/>
          <w:b/>
          <w:bCs/>
          <w:sz w:val="26"/>
          <w:szCs w:val="26"/>
        </w:rPr>
        <w:t xml:space="preserve">2.1 Strata Definition</w:t>
      </w:r>
    </w:p>
    <w:p>
      <w:pPr>
        <w:spacing w:after="120" w:before="60"/>
      </w:pPr>
      <w:r>
        <w:rPr>
          <w:rFonts w:ascii="Arial" w:cs="Arial" w:eastAsia="Arial" w:hAnsi="Arial"/>
          <w:b w:val="false"/>
          <w:bCs w:val="false"/>
          <w:sz w:val="22"/>
          <w:szCs w:val="22"/>
        </w:rPr>
        <w:t xml:space="preserve">Per VM0042 §8.2.1, strata are defined to minimise within-stratum variability in SOC dynamics. For this project, strata are defined by FAO soil type, which is the primary driver of both RothC model parameterisation and underlying carbon turnover rates. Three strata were identified across the project area: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872"/>
        <w:gridCol w:w="1404"/>
        <w:gridCol w:w="1404"/>
      </w:tblGrid>
      <w:tr>
        <w:trPr>
          <w:tblHeader/>
        </w:trP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Stratum (FAO Soil Type)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Cooperatives</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Area (ha)</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Sample Points (n)</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n / ha (×10⁻³)</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ANm (Andosol mollic)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Lanyuak + Eor Emayian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9,023.00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6.76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NTh (Nitisol humic)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Mumberes (NTh 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333.77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38.94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NTu (Nitisol eutric)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Kabianga + Kipsigis + Mumberes (NTu)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26,012.50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3.84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sz w:val="20"/>
                <w:szCs w:val="20"/>
              </w:rPr>
              <w:t xml:space="preserve">35,369.27</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sz w:val="20"/>
                <w:szCs w:val="20"/>
              </w:rPr>
              <w:t xml:space="preserve">174</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sz w:val="20"/>
                <w:szCs w:val="20"/>
              </w:rPr>
              <w:t xml:space="preserve">4.92</w:t>
            </w:r>
          </w:p>
        </w:tc>
      </w:tr>
    </w:tbl>
    <w:p>
      <w:pPr>
        <w:spacing w:after="60" w:before="60"/>
      </w:pPr>
      <w:r>
        <w:t xml:space="preserve"/>
      </w:r>
    </w:p>
    <w:p>
      <w:pPr>
        <w:spacing w:after="120" w:before="60"/>
      </w:pPr>
      <w:r>
        <w:rPr>
          <w:rFonts w:ascii="Arial" w:cs="Arial" w:eastAsia="Arial" w:hAnsi="Arial"/>
          <w:b w:val="false"/>
          <w:bCs w:val="false"/>
          <w:sz w:val="22"/>
          <w:szCs w:val="22"/>
        </w:rPr>
        <w:t xml:space="preserve">The project spans five cooperatives (Lanyuak, Eor Emayian, Mumberes, Kabianga, and Kipsigis) covering a total area of 35,369.27 ha in the western Kenya highlands. Cooperative membership is not a stratum — all points within the same soil type are pooled for variance estimation regardless of cooperative.</w:t>
      </w:r>
    </w:p>
    <w:p>
      <w:pPr>
        <w:pStyle w:val="Heading2"/>
        <w:spacing w:after="120" w:before="240"/>
      </w:pPr>
      <w:r>
        <w:rPr>
          <w:rFonts w:ascii="Arial" w:cs="Arial" w:eastAsia="Arial" w:hAnsi="Arial"/>
          <w:b/>
          <w:bCs/>
          <w:sz w:val="26"/>
          <w:szCs w:val="26"/>
        </w:rPr>
        <w:t xml:space="preserve">2.2 Sampling</w:t>
      </w:r>
    </w:p>
    <w:p>
      <w:pPr>
        <w:spacing w:after="120" w:before="60"/>
      </w:pPr>
      <w:r>
        <w:rPr>
          <w:rFonts w:ascii="Arial" w:cs="Arial" w:eastAsia="Arial" w:hAnsi="Arial"/>
          <w:b w:val="false"/>
          <w:bCs w:val="false"/>
          <w:sz w:val="22"/>
          <w:szCs w:val="22"/>
        </w:rPr>
        <w:t xml:space="preserve">Baseline soil sampling was conducted at 174 sample points allocated across the three strata using stratified random sampling with proportional allocation. At each point, SOC content (%) was measured by dry combustion (Dumas method) at 0–30 cm depth. Bulk density was measured at 36 points and imputed using cooperative-level means for the remaining 138 points. All 174 points produced valid RothC model runs and are included in this analysis.</w:t>
      </w:r>
    </w:p>
    <w:p>
      <w:pPr>
        <w:spacing w:after="120" w:before="60"/>
      </w:pPr>
      <w:r>
        <w:rPr>
          <w:rFonts w:ascii="Arial" w:cs="Arial" w:eastAsia="Arial" w:hAnsi="Arial"/>
          <w:b w:val="false"/>
          <w:bCs w:val="false"/>
          <w:sz w:val="22"/>
          <w:szCs w:val="22"/>
        </w:rPr>
        <w:t xml:space="preserve">The sampling intensity by stratum is:</w:t>
      </w:r>
    </w:p>
    <w:p>
      <w:pPr>
        <w:pStyle w:val="ListParagraph"/>
        <w:numPr>
          <w:ilvl w:val="0"/>
          <w:numId w:val="2"/>
        </w:numPr>
        <w:spacing w:after="40" w:before="40"/>
      </w:pPr>
      <w:r>
        <w:rPr>
          <w:rFonts w:ascii="Arial" w:cs="Arial" w:eastAsia="Arial" w:hAnsi="Arial"/>
          <w:sz w:val="22"/>
          <w:szCs w:val="22"/>
        </w:rPr>
        <w:t xml:space="preserve">ANm: 61 points over 9,023 ha = 1 point per 147.9 ha</w:t>
      </w:r>
    </w:p>
    <w:p>
      <w:pPr>
        <w:pStyle w:val="ListParagraph"/>
        <w:numPr>
          <w:ilvl w:val="0"/>
          <w:numId w:val="2"/>
        </w:numPr>
        <w:spacing w:after="40" w:before="40"/>
      </w:pPr>
      <w:r>
        <w:rPr>
          <w:rFonts w:ascii="Arial" w:cs="Arial" w:eastAsia="Arial" w:hAnsi="Arial"/>
          <w:sz w:val="22"/>
          <w:szCs w:val="22"/>
        </w:rPr>
        <w:t xml:space="preserve">NTh: 13 points over 333.77 ha = 1 point per 25.7 ha (highest density)</w:t>
      </w:r>
    </w:p>
    <w:p>
      <w:pPr>
        <w:pStyle w:val="ListParagraph"/>
        <w:numPr>
          <w:ilvl w:val="0"/>
          <w:numId w:val="2"/>
        </w:numPr>
        <w:spacing w:after="40" w:before="40"/>
      </w:pPr>
      <w:r>
        <w:rPr>
          <w:rFonts w:ascii="Arial" w:cs="Arial" w:eastAsia="Arial" w:hAnsi="Arial"/>
          <w:sz w:val="22"/>
          <w:szCs w:val="22"/>
        </w:rPr>
        <w:t xml:space="preserve">NTu: 100 points over 26,012.50 ha = 1 point per 260.1 ha</w:t>
      </w:r>
    </w:p>
    <w:p>
      <w:pPr>
        <w:spacing w:after="60" w:before="60"/>
      </w:pPr>
      <w:r>
        <w:t xml:space="preserve"/>
      </w:r>
    </w:p>
    <w:p>
      <w:pPr>
        <w:pStyle w:val="Heading1"/>
        <w:spacing w:after="160" w:before="320"/>
      </w:pPr>
      <w:r>
        <w:rPr>
          <w:rFonts w:ascii="Arial" w:cs="Arial" w:eastAsia="Arial" w:hAnsi="Arial"/>
          <w:b/>
          <w:bCs/>
          <w:sz w:val="32"/>
          <w:szCs w:val="32"/>
        </w:rPr>
        <w:t xml:space="preserve">3. Methodology</w:t>
      </w:r>
    </w:p>
    <w:p>
      <w:pPr>
        <w:pStyle w:val="Heading2"/>
        <w:spacing w:after="120" w:before="240"/>
      </w:pPr>
      <w:r>
        <w:rPr>
          <w:rFonts w:ascii="Arial" w:cs="Arial" w:eastAsia="Arial" w:hAnsi="Arial"/>
          <w:b/>
          <w:bCs/>
          <w:sz w:val="26"/>
          <w:szCs w:val="26"/>
        </w:rPr>
        <w:t xml:space="preserve">3.1 Per-Point RothC Modelling</w:t>
      </w:r>
    </w:p>
    <w:p>
      <w:pPr>
        <w:spacing w:after="120" w:before="60"/>
      </w:pPr>
      <w:r>
        <w:rPr>
          <w:rFonts w:ascii="Arial" w:cs="Arial" w:eastAsia="Arial" w:hAnsi="Arial"/>
          <w:b w:val="false"/>
          <w:bCs w:val="false"/>
          <w:sz w:val="22"/>
          <w:szCs w:val="22"/>
        </w:rPr>
        <w:t xml:space="preserve">For each of the 174 sample points, the RothC-26.3 model was run using point-specific soil inputs (SOC content, bulk density, clay content, FAO soil type) alongside crop-specific carbon input parameters derived from the Bolinder approach. Carbon inputs were assigned based on the crop recorded at each point; where no specific crop was recorded (e.g. 'No crop', grazing, or minor crop types), the arithmetic mean of carbon input parameters across all defined crops within the same (cooperative, soil type) stratum was used. Each run produced a time-series of modelled emission reductions (ERs) in tCO2e/ha/yr for projection years 2026–2065.</w:t>
      </w:r>
    </w:p>
    <w:p>
      <w:pPr>
        <w:spacing w:after="120" w:before="60"/>
      </w:pPr>
      <w:r>
        <w:rPr>
          <w:rFonts w:ascii="Arial" w:cs="Arial" w:eastAsia="Arial" w:hAnsi="Arial"/>
          <w:b w:val="false"/>
          <w:bCs w:val="false"/>
          <w:sz w:val="22"/>
          <w:szCs w:val="22"/>
        </w:rPr>
        <w:t xml:space="preserve">The per-point ER in year t — denoted Δ̂_{h,i,t} — represents the modelled difference between baseline and project scenario SOC trajectories at sample point i within stratum h.</w:t>
      </w:r>
    </w:p>
    <w:p>
      <w:pPr>
        <w:pStyle w:val="Heading2"/>
        <w:spacing w:after="120" w:before="240"/>
      </w:pPr>
      <w:r>
        <w:rPr>
          <w:rFonts w:ascii="Arial" w:cs="Arial" w:eastAsia="Arial" w:hAnsi="Arial"/>
          <w:b/>
          <w:bCs/>
          <w:sz w:val="26"/>
          <w:szCs w:val="26"/>
        </w:rPr>
        <w:t xml:space="preserve">3.2 Sampling Variance — VM0042 Equation 62</w:t>
      </w:r>
    </w:p>
    <w:p>
      <w:pPr>
        <w:spacing w:after="120" w:before="60"/>
      </w:pPr>
      <w:r>
        <w:rPr>
          <w:rFonts w:ascii="Arial" w:cs="Arial" w:eastAsia="Arial" w:hAnsi="Arial"/>
          <w:b w:val="false"/>
          <w:bCs w:val="false"/>
          <w:sz w:val="22"/>
          <w:szCs w:val="22"/>
        </w:rPr>
        <w:t xml:space="preserve">The sampling variance for stratum h in year t is computed as:</w:t>
      </w:r>
    </w:p>
    <w:p>
      <w:pPr>
        <w:spacing w:after="120" w:before="120"/>
        <w:jc w:val="center"/>
      </w:pPr>
      <w:r>
        <w:rPr>
          <w:rFonts w:ascii="Courier New" w:cs="Courier New" w:eastAsia="Courier New" w:hAnsi="Courier New"/>
          <w:sz w:val="20"/>
          <w:szCs w:val="20"/>
        </w:rPr>
        <w:t xml:space="preserve">s²_sampling,h,t  =  [A²_h / (n_h × (n_h − 1))]  ×  Σᵢ (Δ̂_h,i,t − Δ̄_h,t)²</w:t>
      </w:r>
    </w:p>
    <w:p>
      <w:pPr>
        <w:spacing w:after="120" w:before="60"/>
      </w:pPr>
      <w:r>
        <w:rPr>
          <w:rFonts w:ascii="Arial" w:cs="Arial" w:eastAsia="Arial" w:hAnsi="Arial"/>
          <w:b w:val="false"/>
          <w:bCs w:val="false"/>
          <w:sz w:val="22"/>
          <w:szCs w:val="22"/>
        </w:rPr>
        <w:t xml:space="preserve">where:</w:t>
      </w:r>
    </w:p>
    <w:p>
      <w:pPr>
        <w:pStyle w:val="ListParagraph"/>
        <w:numPr>
          <w:ilvl w:val="0"/>
          <w:numId w:val="2"/>
        </w:numPr>
        <w:spacing w:after="40" w:before="40"/>
      </w:pPr>
      <w:r>
        <w:rPr>
          <w:rFonts w:ascii="Arial" w:cs="Arial" w:eastAsia="Arial" w:hAnsi="Arial"/>
          <w:sz w:val="22"/>
          <w:szCs w:val="22"/>
        </w:rPr>
        <w:t xml:space="preserve">A_h = area of stratum h (ha)</w:t>
      </w:r>
    </w:p>
    <w:p>
      <w:pPr>
        <w:pStyle w:val="ListParagraph"/>
        <w:numPr>
          <w:ilvl w:val="0"/>
          <w:numId w:val="2"/>
        </w:numPr>
        <w:spacing w:after="40" w:before="40"/>
      </w:pPr>
      <w:r>
        <w:rPr>
          <w:rFonts w:ascii="Arial" w:cs="Arial" w:eastAsia="Arial" w:hAnsi="Arial"/>
          <w:sz w:val="22"/>
          <w:szCs w:val="22"/>
        </w:rPr>
        <w:t xml:space="preserve">n_h = number of sample points in stratum h</w:t>
      </w:r>
    </w:p>
    <w:p>
      <w:pPr>
        <w:pStyle w:val="ListParagraph"/>
        <w:numPr>
          <w:ilvl w:val="0"/>
          <w:numId w:val="2"/>
        </w:numPr>
        <w:spacing w:after="40" w:before="40"/>
      </w:pPr>
      <w:r>
        <w:rPr>
          <w:rFonts w:ascii="Arial" w:cs="Arial" w:eastAsia="Arial" w:hAnsi="Arial"/>
          <w:sz w:val="22"/>
          <w:szCs w:val="22"/>
        </w:rPr>
        <w:t xml:space="preserve">Δ̂_h,i,t = modelled ER at point i in stratum h in year t (tCO2e/ha/yr)</w:t>
      </w:r>
    </w:p>
    <w:p>
      <w:pPr>
        <w:pStyle w:val="ListParagraph"/>
        <w:numPr>
          <w:ilvl w:val="0"/>
          <w:numId w:val="2"/>
        </w:numPr>
        <w:spacing w:after="40" w:before="40"/>
      </w:pPr>
      <w:r>
        <w:rPr>
          <w:rFonts w:ascii="Arial" w:cs="Arial" w:eastAsia="Arial" w:hAnsi="Arial"/>
          <w:sz w:val="22"/>
          <w:szCs w:val="22"/>
        </w:rPr>
        <w:t xml:space="preserve">Δ̄_h,t = arithmetic mean ER across all points in stratum h in year t (tCO2e/ha/yr)</w:t>
      </w:r>
    </w:p>
    <w:p>
      <w:pPr>
        <w:spacing w:after="60" w:before="60"/>
      </w:pPr>
      <w:r>
        <w:t xml:space="preserve"/>
      </w:r>
    </w:p>
    <w:p>
      <w:pPr>
        <w:spacing w:after="120" w:before="60"/>
      </w:pPr>
      <w:r>
        <w:rPr>
          <w:rFonts w:ascii="Arial" w:cs="Arial" w:eastAsia="Arial" w:hAnsi="Arial"/>
          <w:b w:val="false"/>
          <w:bCs w:val="false"/>
          <w:sz w:val="22"/>
          <w:szCs w:val="22"/>
        </w:rPr>
        <w:t xml:space="preserve">The total project-level sampling variance is then:</w:t>
      </w:r>
    </w:p>
    <w:p>
      <w:pPr>
        <w:spacing w:after="120" w:before="120"/>
        <w:jc w:val="center"/>
      </w:pPr>
      <w:r>
        <w:rPr>
          <w:rFonts w:ascii="Courier New" w:cs="Courier New" w:eastAsia="Courier New" w:hAnsi="Courier New"/>
          <w:sz w:val="20"/>
          <w:szCs w:val="20"/>
        </w:rPr>
        <w:t xml:space="preserve">s²_sampling,t  =  Σ_h  s²_sampling,h,t</w:t>
      </w:r>
    </w:p>
    <w:p>
      <w:pPr>
        <w:pStyle w:val="Heading2"/>
        <w:spacing w:after="120" w:before="240"/>
      </w:pPr>
      <w:r>
        <w:rPr>
          <w:rFonts w:ascii="Arial" w:cs="Arial" w:eastAsia="Arial" w:hAnsi="Arial"/>
          <w:b/>
          <w:bCs/>
          <w:sz w:val="26"/>
          <w:szCs w:val="26"/>
        </w:rPr>
        <w:t xml:space="preserve">3.3 Combined Variance of the Areal Mean — VM0042 Equation 63</w:t>
      </w:r>
    </w:p>
    <w:p>
      <w:pPr>
        <w:spacing w:after="120" w:before="60"/>
      </w:pPr>
      <w:r>
        <w:rPr>
          <w:rFonts w:ascii="Arial" w:cs="Arial" w:eastAsia="Arial" w:hAnsi="Arial"/>
          <w:b w:val="false"/>
          <w:bCs w:val="false"/>
          <w:sz w:val="22"/>
          <w:szCs w:val="22"/>
        </w:rPr>
        <w:t xml:space="preserve">The variance of the areal mean ER estimate, incorporating both sampling error and model prediction error, is:</w:t>
      </w:r>
    </w:p>
    <w:p>
      <w:pPr>
        <w:spacing w:after="120" w:before="120"/>
        <w:jc w:val="center"/>
      </w:pPr>
      <w:r>
        <w:rPr>
          <w:rFonts w:ascii="Courier New" w:cs="Courier New" w:eastAsia="Courier New" w:hAnsi="Courier New"/>
          <w:sz w:val="20"/>
          <w:szCs w:val="20"/>
        </w:rPr>
        <w:t xml:space="preserve">s²_Δ̄,t  =  s²_sampling,t / A²  +  s²_model</w:t>
      </w:r>
    </w:p>
    <w:p>
      <w:pPr>
        <w:spacing w:after="120" w:before="60"/>
      </w:pPr>
      <w:r>
        <w:rPr>
          <w:rFonts w:ascii="Arial" w:cs="Arial" w:eastAsia="Arial" w:hAnsi="Arial"/>
          <w:b w:val="false"/>
          <w:bCs w:val="false"/>
          <w:sz w:val="22"/>
          <w:szCs w:val="22"/>
        </w:rPr>
        <w:t xml:space="preserve">where A = 35,369.27 ha is the total project area and s²_model is the area-weighted model prediction variance from the Model Validation Report (Eq. 64). In this report, s²_model = 0.0 (placeholder), so all results reflect sampling error only. The final combined U% must be recomputed once the Model Validation Report is finalised.</w:t>
      </w:r>
    </w:p>
    <w:p>
      <w:pPr>
        <w:pStyle w:val="Heading2"/>
        <w:spacing w:after="120" w:before="240"/>
      </w:pPr>
      <w:r>
        <w:rPr>
          <w:rFonts w:ascii="Arial" w:cs="Arial" w:eastAsia="Arial" w:hAnsi="Arial"/>
          <w:b/>
          <w:bCs/>
          <w:sz w:val="26"/>
          <w:szCs w:val="26"/>
        </w:rPr>
        <w:t xml:space="preserve">3.4 Uncertainty Percentage</w:t>
      </w:r>
    </w:p>
    <w:p>
      <w:pPr>
        <w:spacing w:after="120" w:before="60"/>
      </w:pPr>
      <w:r>
        <w:rPr>
          <w:rFonts w:ascii="Arial" w:cs="Arial" w:eastAsia="Arial" w:hAnsi="Arial"/>
          <w:b w:val="false"/>
          <w:bCs w:val="false"/>
          <w:sz w:val="22"/>
          <w:szCs w:val="22"/>
        </w:rPr>
        <w:t xml:space="preserve">The half-width of the 95% confidence interval expressed as a percentage of the mean estimate is:</w:t>
      </w:r>
    </w:p>
    <w:p>
      <w:pPr>
        <w:spacing w:after="120" w:before="120"/>
        <w:jc w:val="center"/>
      </w:pPr>
      <w:r>
        <w:rPr>
          <w:rFonts w:ascii="Courier New" w:cs="Courier New" w:eastAsia="Courier New" w:hAnsi="Courier New"/>
          <w:sz w:val="20"/>
          <w:szCs w:val="20"/>
        </w:rPr>
        <w:t xml:space="preserve">U%  =  1.96 × s_Δ̄,t / |Δ̄_t|  × 100</w:t>
      </w:r>
    </w:p>
    <w:p>
      <w:pPr>
        <w:spacing w:after="120" w:before="60"/>
      </w:pPr>
      <w:r>
        <w:rPr>
          <w:rFonts w:ascii="Arial" w:cs="Arial" w:eastAsia="Arial" w:hAnsi="Arial"/>
          <w:b w:val="false"/>
          <w:bCs w:val="false"/>
          <w:sz w:val="22"/>
          <w:szCs w:val="22"/>
        </w:rPr>
        <w:t xml:space="preserve">where Δ̄_t is the area-weighted mean project ER in year t. If U% &gt; 10%, VM0042 requires an uncertainty deduction to reported VCUs. The deduction multiplier is (1 − U%/200).</w:t>
      </w:r>
    </w:p>
    <w:p>
      <w:pPr>
        <w:pStyle w:val="Heading2"/>
        <w:spacing w:after="120" w:before="240"/>
      </w:pPr>
      <w:r>
        <w:rPr>
          <w:rFonts w:ascii="Arial" w:cs="Arial" w:eastAsia="Arial" w:hAnsi="Arial"/>
          <w:b/>
          <w:bCs/>
          <w:sz w:val="26"/>
          <w:szCs w:val="26"/>
        </w:rPr>
        <w:t xml:space="preserve">3.5 Temporal Scope</w:t>
      </w:r>
    </w:p>
    <w:p>
      <w:pPr>
        <w:spacing w:after="120" w:before="60"/>
      </w:pPr>
      <w:r>
        <w:rPr>
          <w:rFonts w:ascii="Arial" w:cs="Arial" w:eastAsia="Arial" w:hAnsi="Arial"/>
          <w:b w:val="false"/>
          <w:bCs w:val="false"/>
          <w:sz w:val="22"/>
          <w:szCs w:val="22"/>
        </w:rPr>
        <w:t xml:space="preserve">Sampling error is reported here for the first verification period only (projection years 2027–2031), since all 174 points were sampled at a single baseline in 2025. Future verification periods will incorporate true-up remeasurement data collected every five years per VM0042 §8.3, which will update both the sampling error and the model prediction error estimates. Year 2026 shows zero variance in the outputs because RothC initialises from the measured SOC values at t=0, producing identical project and baseline starting conditions with no ER in the first model year.</w:t>
      </w:r>
    </w:p>
    <w:p>
      <w:pPr>
        <w:spacing w:after="60" w:before="60"/>
      </w:pPr>
      <w:r>
        <w:t xml:space="preserve"/>
      </w:r>
    </w:p>
    <w:p>
      <w:pPr>
        <w:pStyle w:val="Heading1"/>
        <w:spacing w:after="160" w:before="320"/>
      </w:pPr>
      <w:r>
        <w:rPr>
          <w:rFonts w:ascii="Arial" w:cs="Arial" w:eastAsia="Arial" w:hAnsi="Arial"/>
          <w:b/>
          <w:bCs/>
          <w:sz w:val="32"/>
          <w:szCs w:val="32"/>
        </w:rPr>
        <w:t xml:space="preserve">4. Results</w:t>
      </w:r>
    </w:p>
    <w:p>
      <w:pPr>
        <w:pStyle w:val="Heading2"/>
        <w:spacing w:after="120" w:before="240"/>
      </w:pPr>
      <w:r>
        <w:rPr>
          <w:rFonts w:ascii="Arial" w:cs="Arial" w:eastAsia="Arial" w:hAnsi="Arial"/>
          <w:b/>
          <w:bCs/>
          <w:sz w:val="26"/>
          <w:szCs w:val="26"/>
        </w:rPr>
        <w:t xml:space="preserve">4.1 Verification Period Sampling Error (2027–2031)</w:t>
      </w:r>
    </w:p>
    <w:p>
      <w:pPr>
        <w:spacing w:after="120" w:before="60"/>
      </w:pPr>
      <w:r>
        <w:rPr>
          <w:rFonts w:ascii="Arial" w:cs="Arial" w:eastAsia="Arial" w:hAnsi="Arial"/>
          <w:b w:val="false"/>
          <w:bCs w:val="false"/>
          <w:sz w:val="22"/>
          <w:szCs w:val="22"/>
        </w:rPr>
        <w:t xml:space="preserve">Table 2 presents the mean area-weighted ER, the standard error of the mean, and the resulting U% for each year of the first verification period. All values reflect sampling error only (s²_model = 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800"/>
        <w:gridCol w:w="1800"/>
      </w:tblGrid>
      <w:tr>
        <w:trPr>
          <w:tblHeader/>
        </w:trP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Year</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Mean ER
(tCO2e/ha/yr)</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SE of Mean
(tCO2e/ha/yr)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U% (sampling only)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Exceeds 10%?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2027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48.08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1.0482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2028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25.75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0.5520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2029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16.53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0.3487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11.59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0.2410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2031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8.85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0.1825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bl>
    <w:p>
      <w:pPr>
        <w:spacing w:after="60" w:before="60"/>
      </w:pPr>
      <w:r>
        <w:t xml:space="preserve"/>
      </w:r>
    </w:p>
    <w:p>
      <w:pPr>
        <w:spacing w:after="120" w:before="60"/>
      </w:pPr>
      <w:r>
        <w:rPr>
          <w:rFonts w:ascii="Arial" w:cs="Arial" w:eastAsia="Arial" w:hAnsi="Arial"/>
          <w:b w:val="false"/>
          <w:bCs w:val="false"/>
          <w:sz w:val="22"/>
          <w:szCs w:val="22"/>
        </w:rPr>
        <w:t xml:space="preserve">U% ranges from 4.04% to 4.27% across the verification period — well below the VM0042 10% threshold. No uncertainty deduction is required on the basis of sampling error alone. The mean U% across the five-year verification period is 4.17%.</w:t>
      </w:r>
    </w:p>
    <w:p>
      <w:pPr>
        <w:spacing w:after="120" w:before="60"/>
      </w:pPr>
      <w:r>
        <w:rPr>
          <w:rFonts w:ascii="Arial" w:cs="Arial" w:eastAsia="Arial" w:hAnsi="Arial"/>
          <w:b w:val="false"/>
          <w:bCs w:val="false"/>
          <w:sz w:val="22"/>
          <w:szCs w:val="22"/>
        </w:rPr>
        <w:t xml:space="preserve">U% is slightly higher in earlier years because the mean ER is larger (the project sequestration rate is highest immediately after baseline), while the standard error of the mean decreases proportionally more slowly. As the modelled ER converges toward equilibrium in later years, U% stabilises.</w:t>
      </w:r>
    </w:p>
    <w:p>
      <w:pPr>
        <w:pStyle w:val="Heading2"/>
        <w:spacing w:after="120" w:before="240"/>
      </w:pPr>
      <w:r>
        <w:rPr>
          <w:rFonts w:ascii="Arial" w:cs="Arial" w:eastAsia="Arial" w:hAnsi="Arial"/>
          <w:b/>
          <w:bCs/>
          <w:sz w:val="26"/>
          <w:szCs w:val="26"/>
        </w:rPr>
        <w:t xml:space="preserve">4.2 Stratum Contributions to Sampling Variance</w:t>
      </w:r>
    </w:p>
    <w:p>
      <w:pPr>
        <w:spacing w:after="120" w:before="60"/>
      </w:pPr>
      <w:r>
        <w:rPr>
          <w:rFonts w:ascii="Arial" w:cs="Arial" w:eastAsia="Arial" w:hAnsi="Arial"/>
          <w:b w:val="false"/>
          <w:bCs w:val="false"/>
          <w:sz w:val="22"/>
          <w:szCs w:val="22"/>
        </w:rPr>
        <w:t xml:space="preserve">Table 3 shows the per-stratum breakdown of sampling variance for 2027, the first full model year. The NTu stratum dominates despite having the highest point count (100 points), because its area (26,012.50 ha) is so large that the A²_h scaling factor in Equation 62 overwhelms the variance reduction from higher 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2160"/>
        <w:gridCol w:w="2160"/>
      </w:tblGrid>
      <w:tr>
        <w:trPr>
          <w:tblHeader/>
        </w:trP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Stratum</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A_h (ha)</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n_h</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s²_sampling,h (tCO2e/yr)²</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 of Total Variance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9,023.00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3.20 × 10⁸</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23.2%</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NTh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333.77</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2.22 × 10⁶</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0.2%</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NTu</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26,012.50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1.05 × 10⁹</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76.6%</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sz w:val="20"/>
                <w:szCs w:val="20"/>
              </w:rPr>
              <w:t xml:space="preserve">35,369.27</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sz w:val="20"/>
                <w:szCs w:val="20"/>
              </w:rPr>
              <w:t xml:space="preserve">174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sz w:val="20"/>
                <w:szCs w:val="20"/>
              </w:rPr>
              <w:t xml:space="preserve">1.37 × 10⁹</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sz w:val="20"/>
                <w:szCs w:val="20"/>
              </w:rPr>
              <w:t xml:space="preserve">100.0%</w:t>
            </w:r>
          </w:p>
        </w:tc>
      </w:tr>
    </w:tbl>
    <w:p>
      <w:pPr>
        <w:spacing w:after="60" w:before="60"/>
      </w:pPr>
      <w:r>
        <w:t xml:space="preserve"/>
      </w:r>
    </w:p>
    <w:p>
      <w:pPr>
        <w:spacing w:after="120" w:before="60"/>
      </w:pPr>
      <w:r>
        <w:rPr>
          <w:rFonts w:ascii="Arial" w:cs="Arial" w:eastAsia="Arial" w:hAnsi="Arial"/>
          <w:b w:val="false"/>
          <w:bCs w:val="false"/>
          <w:sz w:val="22"/>
          <w:szCs w:val="22"/>
        </w:rPr>
        <w:t xml:space="preserve">The NTh stratum (Mumberes humic Nitisols) contributes negligibly to total variance (0.2%) because its small area (333.77 ha) produces a very small A²_h term. Its relatively high point density (1 per 25.7 ha) also keeps the within-stratum variance low in absolute terms.</w:t>
      </w:r>
    </w:p>
    <w:p>
      <w:pPr>
        <w:spacing w:after="120" w:before="60"/>
      </w:pPr>
      <w:r>
        <w:rPr>
          <w:rFonts w:ascii="Arial" w:cs="Arial" w:eastAsia="Arial" w:hAnsi="Arial"/>
          <w:b w:val="false"/>
          <w:bCs w:val="false"/>
          <w:sz w:val="22"/>
          <w:szCs w:val="22"/>
        </w:rPr>
        <w:t xml:space="preserve">The ANm stratum (Andosols, 23.2% of variance) is proportionally better sampled than NTu given its smaller area and 61 points, but its contribution remains material because of SOC heterogeneity among the Lanyuak and Eor Emayian points.</w:t>
      </w:r>
    </w:p>
    <w:p>
      <w:pPr>
        <w:spacing w:after="60" w:before="60"/>
      </w:pPr>
      <w:r>
        <w:t xml:space="preserve"/>
      </w:r>
    </w:p>
    <w:p>
      <w:pPr>
        <w:pStyle w:val="Heading1"/>
        <w:spacing w:after="160" w:before="320"/>
      </w:pPr>
      <w:r>
        <w:rPr>
          <w:rFonts w:ascii="Arial" w:cs="Arial" w:eastAsia="Arial" w:hAnsi="Arial"/>
          <w:b/>
          <w:bCs/>
          <w:sz w:val="32"/>
          <w:szCs w:val="32"/>
        </w:rPr>
        <w:t xml:space="preserve">5. Limitations and Next Steps</w:t>
      </w:r>
    </w:p>
    <w:p>
      <w:pPr>
        <w:pStyle w:val="Heading2"/>
        <w:spacing w:after="120" w:before="240"/>
      </w:pPr>
      <w:r>
        <w:rPr>
          <w:rFonts w:ascii="Arial" w:cs="Arial" w:eastAsia="Arial" w:hAnsi="Arial"/>
          <w:b/>
          <w:bCs/>
          <w:sz w:val="26"/>
          <w:szCs w:val="26"/>
        </w:rPr>
        <w:t xml:space="preserve">5.1 Model Prediction Error Not Yet Included</w:t>
      </w:r>
    </w:p>
    <w:p>
      <w:pPr>
        <w:spacing w:after="120" w:before="60"/>
      </w:pPr>
      <w:r>
        <w:rPr>
          <w:rFonts w:ascii="Arial" w:cs="Arial" w:eastAsia="Arial" w:hAnsi="Arial"/>
          <w:b w:val="false"/>
          <w:bCs w:val="false"/>
          <w:sz w:val="22"/>
          <w:szCs w:val="22"/>
        </w:rPr>
        <w:t xml:space="preserve">The U% values reported here are lower bounds. Model prediction error (s²_model) from the Model Validation Report must be added via Equation 63 before reporting the final combined uncertainty deduction. The combined U% will be higher than the sampling-only values shown here. Given that sampling error alone is ~4%, there is meaningful headroom before the 10% threshold is reached, but the magnitude of s²_model is not yet known.</w:t>
      </w:r>
    </w:p>
    <w:p>
      <w:pPr>
        <w:pStyle w:val="Heading2"/>
        <w:spacing w:after="120" w:before="240"/>
      </w:pPr>
      <w:r>
        <w:rPr>
          <w:rFonts w:ascii="Arial" w:cs="Arial" w:eastAsia="Arial" w:hAnsi="Arial"/>
          <w:b/>
          <w:bCs/>
          <w:sz w:val="26"/>
          <w:szCs w:val="26"/>
        </w:rPr>
        <w:t xml:space="preserve">5.2 Bulk Density Imputation</w:t>
      </w:r>
    </w:p>
    <w:p>
      <w:pPr>
        <w:spacing w:after="120" w:before="60"/>
      </w:pPr>
      <w:r>
        <w:rPr>
          <w:rFonts w:ascii="Arial" w:cs="Arial" w:eastAsia="Arial" w:hAnsi="Arial"/>
          <w:b w:val="false"/>
          <w:bCs w:val="false"/>
          <w:sz w:val="22"/>
          <w:szCs w:val="22"/>
        </w:rPr>
        <w:t xml:space="preserve">Bulk density was measured at only 36 of 174 points (21%). The remaining 138 points used cooperative-level mean BD values. This introduces a systematic component to SOC stock estimation that is not reflected in the sampling variance, since the imputed values carry no within-stratum spread. The impact is expected to be small given the relatively low coefficient of variation in measured BD values across the project, but a larger BD measurement programme at the next true-up would reduce this source of unquantified error.</w:t>
      </w:r>
    </w:p>
    <w:p>
      <w:pPr>
        <w:pStyle w:val="Heading2"/>
        <w:spacing w:after="120" w:before="240"/>
      </w:pPr>
      <w:r>
        <w:rPr>
          <w:rFonts w:ascii="Arial" w:cs="Arial" w:eastAsia="Arial" w:hAnsi="Arial"/>
          <w:b/>
          <w:bCs/>
          <w:sz w:val="26"/>
          <w:szCs w:val="26"/>
        </w:rPr>
        <w:t xml:space="preserve">5.3 Single Baseline Snapshot</w:t>
      </w:r>
    </w:p>
    <w:p>
      <w:pPr>
        <w:spacing w:after="120" w:before="60"/>
      </w:pPr>
      <w:r>
        <w:rPr>
          <w:rFonts w:ascii="Arial" w:cs="Arial" w:eastAsia="Arial" w:hAnsi="Arial"/>
          <w:b w:val="false"/>
          <w:bCs w:val="false"/>
          <w:sz w:val="22"/>
          <w:szCs w:val="22"/>
        </w:rPr>
        <w:t xml:space="preserve">All 174 points were sampled at a single point in time. The sampling variance computed here captures spatial heterogeneity in initial SOC conditions but not temporal variability in SOC that may emerge as management practices are actually implemented. Mandatory five-year true-up remeasurement under VM0042 §8.3 will progressively update both sampling and model error estimates as observed SOC trajectories are incorporated.</w:t>
      </w:r>
    </w:p>
    <w:p>
      <w:pPr>
        <w:pStyle w:val="Heading2"/>
        <w:spacing w:after="120" w:before="240"/>
      </w:pPr>
      <w:r>
        <w:rPr>
          <w:rFonts w:ascii="Arial" w:cs="Arial" w:eastAsia="Arial" w:hAnsi="Arial"/>
          <w:b/>
          <w:bCs/>
          <w:sz w:val="26"/>
          <w:szCs w:val="26"/>
        </w:rPr>
        <w:t xml:space="preserve">5.4 Recommended Actions</w:t>
      </w:r>
    </w:p>
    <w:p>
      <w:pPr>
        <w:pStyle w:val="ListParagraph"/>
        <w:numPr>
          <w:ilvl w:val="0"/>
          <w:numId w:val="2"/>
        </w:numPr>
        <w:spacing w:after="40" w:before="40"/>
      </w:pPr>
      <w:r>
        <w:rPr>
          <w:rFonts w:ascii="Arial" w:cs="Arial" w:eastAsia="Arial" w:hAnsi="Arial"/>
          <w:sz w:val="22"/>
          <w:szCs w:val="22"/>
        </w:rPr>
        <w:t xml:space="preserve">Complete the Model Validation Report to obtain s²_model, then recompute combined U% using Equation 63.</w:t>
      </w:r>
    </w:p>
    <w:p>
      <w:pPr>
        <w:pStyle w:val="ListParagraph"/>
        <w:numPr>
          <w:ilvl w:val="0"/>
          <w:numId w:val="2"/>
        </w:numPr>
        <w:spacing w:after="40" w:before="40"/>
      </w:pPr>
      <w:r>
        <w:rPr>
          <w:rFonts w:ascii="Arial" w:cs="Arial" w:eastAsia="Arial" w:hAnsi="Arial"/>
          <w:sz w:val="22"/>
          <w:szCs w:val="22"/>
        </w:rPr>
        <w:t xml:space="preserve">At first true-up (approximately 2030–2031), add remeasured SOC data to the per-point time-series and rerun this script to update the sampling error estimate.</w:t>
      </w:r>
    </w:p>
    <w:p>
      <w:pPr>
        <w:pStyle w:val="ListParagraph"/>
        <w:numPr>
          <w:ilvl w:val="0"/>
          <w:numId w:val="2"/>
        </w:numPr>
        <w:spacing w:after="40" w:before="40"/>
      </w:pPr>
      <w:r>
        <w:rPr>
          <w:rFonts w:ascii="Arial" w:cs="Arial" w:eastAsia="Arial" w:hAnsi="Arial"/>
          <w:sz w:val="22"/>
          <w:szCs w:val="22"/>
        </w:rPr>
        <w:t xml:space="preserve">Consider increasing BD measurement coverage at the next true-up, prioritising the NTu stratum given its dominant contribution to sampling variance.</w:t>
      </w:r>
    </w:p>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sz w:val="32"/>
          <w:szCs w:val="32"/>
        </w:rPr>
        <w:t xml:space="preserve">Appendix A — Notation Reference</w:t>
      </w:r>
    </w:p>
    <w:p>
      <w:pPr>
        <w:spacing w:after="120" w:before="60"/>
      </w:pPr>
      <w:r>
        <w:rPr>
          <w:rFonts w:ascii="Arial" w:cs="Arial" w:eastAsia="Arial" w:hAnsi="Arial"/>
          <w:b w:val="false"/>
          <w:bCs w:val="false"/>
          <w:sz w:val="22"/>
          <w:szCs w:val="22"/>
        </w:rPr>
        <w:t xml:space="preserve">The following symbols are used throughout this report, consistent with VM0042 v2.2 §8.6: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Symbol</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Definition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Units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Δ̂_h,i,t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Modelled ER at point i, stratum h, year 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tCO2e/ha/yr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Δ̄_h,t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Stratum mean modelled ER in year 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tCO2e/ha/yr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Δ̄_t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Area-weighted project mean ER in year 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tCO2e/ha/yr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A_h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Area of stratum 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project area (35,369.27 ha)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n_h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Number of sample points in stratum 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s²_sampling,h,t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Sampling variance contribution of stratum h (Eq. 62)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(tCO2e/yr)²</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s²_sampling,t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project sampling variance (Eq. 62)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(tCO2e/yr)²</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s²_model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Area-weighted model prediction variance (Eq. 64)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(tCO2e/ha/yr)²</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s²_Δ̄,t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Variance of the areal mean ER estimate (Eq. 63)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(tCO2e/ha/yr)²</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s_Δ̄,t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error of the areal mean ER (√s²_Δ̄,t)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tCO2e/ha/yr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Half-width of 95% CI as % of mean 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bl>
    <w:p>
      <w:pPr>
        <w:spacing w:after="60" w:before="60"/>
      </w:pPr>
      <w:r>
        <w:t xml:space="preserve"/>
      </w:r>
    </w:p>
    <w:p>
      <w:pPr>
        <w:pBdr>
          <w:bottom w:val="single" w:color="2E75B6" w:sz="6" w:space="1"/>
        </w:pBdr>
        <w:spacing w:after="120" w:before="120"/>
      </w:pPr>
      <w:r>
        <w:t xml:space="preserve"/>
      </w:r>
    </w:p>
    <w:p>
      <w:pPr>
        <w:spacing w:after="120" w:before="60"/>
      </w:pPr>
      <w:r>
        <w:rPr>
          <w:rFonts w:ascii="Arial" w:cs="Arial" w:eastAsia="Arial" w:hAnsi="Arial"/>
          <w:b w:val="false"/>
          <w:bCs w:val="false"/>
          <w:sz w:val="18"/>
          <w:szCs w:val="18"/>
        </w:rPr>
        <w:t xml:space="preserve">End of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Sampling Error Analysis — VM0042 v2.2 §8.6</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2026-04-08T15:54:39.482Z</dcterms:created>
  <dcterms:modified xsi:type="dcterms:W3CDTF">2026-04-08T15:54:39.483Z</dcterms:modified>
</cp:coreProperties>
</file>

<file path=docProps/custom.xml><?xml version="1.0" encoding="utf-8"?>
<Properties xmlns="http://schemas.openxmlformats.org/officeDocument/2006/custom-properties" xmlns:vt="http://schemas.openxmlformats.org/officeDocument/2006/docPropsVTypes"/>
</file>