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258C" w14:textId="77777777" w:rsidR="00E02E42" w:rsidRDefault="00000000">
      <w:pPr>
        <w:spacing w:after="60"/>
      </w:pPr>
      <w:r>
        <w:rPr>
          <w:rFonts w:cs="Arial"/>
          <w:b/>
          <w:bCs/>
          <w:color w:val="2E7D4F"/>
          <w:sz w:val="26"/>
          <w:szCs w:val="26"/>
        </w:rPr>
        <w:t>Gazelle</w:t>
      </w:r>
    </w:p>
    <w:p w14:paraId="6C4B3A3B" w14:textId="77777777" w:rsidR="00E02E42" w:rsidRDefault="00000000">
      <w:pPr>
        <w:spacing w:after="400"/>
      </w:pPr>
      <w:r>
        <w:rPr>
          <w:rFonts w:cs="Arial"/>
          <w:color w:val="888888"/>
          <w:sz w:val="17"/>
          <w:szCs w:val="17"/>
        </w:rPr>
        <w:t>ECOSOLUTIONS</w:t>
      </w:r>
    </w:p>
    <w:p w14:paraId="1D05E97D" w14:textId="77777777" w:rsidR="00E02E42" w:rsidRDefault="00000000">
      <w:pPr>
        <w:spacing w:after="100"/>
      </w:pPr>
      <w:r>
        <w:rPr>
          <w:rFonts w:cs="Arial"/>
          <w:b/>
          <w:bCs/>
          <w:color w:val="111111"/>
          <w:sz w:val="44"/>
          <w:szCs w:val="44"/>
        </w:rPr>
        <w:t>Soil Sampling Methods Note</w:t>
      </w:r>
    </w:p>
    <w:p w14:paraId="06DB2439" w14:textId="77777777" w:rsidR="00E02E42" w:rsidRDefault="00000000">
      <w:pPr>
        <w:spacing w:after="240"/>
      </w:pPr>
      <w:r>
        <w:rPr>
          <w:rFonts w:cs="Arial"/>
          <w:color w:val="2E7D4F"/>
          <w:sz w:val="24"/>
          <w:szCs w:val="24"/>
        </w:rPr>
        <w:t>Bulk Density Sampling Justification &amp; ESM Requirements</w:t>
      </w:r>
    </w:p>
    <w:p w14:paraId="200960F2" w14:textId="77777777" w:rsidR="00E02E42" w:rsidRDefault="00E02E42">
      <w:pPr>
        <w:pBdr>
          <w:bottom w:val="single" w:sz="6" w:space="1" w:color="2E7D4F"/>
        </w:pBdr>
        <w:spacing w:before="120" w:after="120"/>
      </w:pPr>
    </w:p>
    <w:p w14:paraId="22D8ED45" w14:textId="77777777" w:rsidR="00E02E42" w:rsidRDefault="00000000">
      <w:pPr>
        <w:pStyle w:val="Heading2"/>
      </w:pPr>
      <w:r>
        <w:rPr>
          <w:sz w:val="21"/>
          <w:szCs w:val="21"/>
        </w:rPr>
        <w:t>Purpose of this Note</w:t>
      </w:r>
    </w:p>
    <w:p w14:paraId="7713433C" w14:textId="77777777" w:rsidR="00E02E42" w:rsidRDefault="00000000">
      <w:pPr>
        <w:spacing w:after="160" w:line="276" w:lineRule="auto"/>
        <w:jc w:val="both"/>
      </w:pPr>
      <w:proofErr w:type="gramStart"/>
      <w:r>
        <w:rPr>
          <w:rFonts w:cs="Arial"/>
        </w:rPr>
        <w:t>This methods</w:t>
      </w:r>
      <w:proofErr w:type="gramEnd"/>
      <w:r>
        <w:rPr>
          <w:rFonts w:cs="Arial"/>
        </w:rPr>
        <w:t xml:space="preserve"> note addresses two questions that have arisen regarding the soil sampling campaign conducted in September 2025 across five farmer cooperatives in Western Kenya as part of the VM0042 v2.2 Quantification Approach 1 (Measure and Model — RothC) project. Specifically, it clarifies:</w:t>
      </w:r>
    </w:p>
    <w:p w14:paraId="39074677" w14:textId="77777777" w:rsidR="00E02E42" w:rsidRDefault="00000000">
      <w:pPr>
        <w:pStyle w:val="ListParagraph"/>
        <w:numPr>
          <w:ilvl w:val="0"/>
          <w:numId w:val="2"/>
        </w:numPr>
        <w:spacing w:line="276" w:lineRule="auto"/>
        <w:jc w:val="both"/>
      </w:pPr>
      <w:r>
        <w:rPr>
          <w:b/>
          <w:bCs/>
        </w:rPr>
        <w:t xml:space="preserve">Part 1: </w:t>
      </w:r>
      <w:r>
        <w:t>Whether per-sample bulk density (BD) measurement is required at t=0, or whether stratum-average BD derived from a representative subsample is acceptable.</w:t>
      </w:r>
    </w:p>
    <w:p w14:paraId="67270BD5" w14:textId="77777777" w:rsidR="00E02E42" w:rsidRDefault="00000000">
      <w:pPr>
        <w:pStyle w:val="ListParagraph"/>
        <w:numPr>
          <w:ilvl w:val="0"/>
          <w:numId w:val="2"/>
        </w:numPr>
        <w:spacing w:line="276" w:lineRule="auto"/>
        <w:jc w:val="both"/>
      </w:pPr>
      <w:r>
        <w:rPr>
          <w:b/>
          <w:bCs/>
        </w:rPr>
        <w:t xml:space="preserve">Part 2: </w:t>
      </w:r>
      <w:r>
        <w:t xml:space="preserve">What the Equivalent Soil Mass (ESM) requirement </w:t>
      </w:r>
      <w:proofErr w:type="gramStart"/>
      <w:r>
        <w:t>actually demands</w:t>
      </w:r>
      <w:proofErr w:type="gramEnd"/>
      <w:r>
        <w:t>, when it applies, what additive sampling is needed to satisfy it, and whether the supplemental 30–50 cm BD collection can take place at a different time from the original t=0 SOC sampling.</w:t>
      </w:r>
    </w:p>
    <w:p w14:paraId="5FFDEAF4" w14:textId="77777777" w:rsidR="00E02E42" w:rsidRDefault="00E02E42">
      <w:pPr>
        <w:spacing w:after="80"/>
      </w:pPr>
    </w:p>
    <w:p w14:paraId="2B2B8728" w14:textId="77777777" w:rsidR="00E02E42" w:rsidRDefault="00000000">
      <w:pPr>
        <w:spacing w:after="160" w:line="276" w:lineRule="auto"/>
        <w:jc w:val="both"/>
      </w:pPr>
      <w:r>
        <w:rPr>
          <w:rFonts w:cs="Arial"/>
        </w:rPr>
        <w:t>The short answer to both concerns is that the project is not in a non-conforming position. One targeted, low-cost supplemental field action is recommended to fully close the ESM gap before the planned March 2026 validation audit.</w:t>
      </w:r>
    </w:p>
    <w:p w14:paraId="3FECCE51" w14:textId="77777777" w:rsidR="00E02E42" w:rsidRDefault="00E02E42">
      <w:pPr>
        <w:pBdr>
          <w:bottom w:val="single" w:sz="6" w:space="1" w:color="2E7D4F"/>
        </w:pBdr>
        <w:spacing w:before="120" w:after="120"/>
      </w:pPr>
    </w:p>
    <w:p w14:paraId="7AB3C985" w14:textId="77777777" w:rsidR="00E02E42" w:rsidRDefault="00000000">
      <w:pPr>
        <w:pStyle w:val="Heading1"/>
      </w:pPr>
      <w:r>
        <w:rPr>
          <w:sz w:val="21"/>
          <w:szCs w:val="21"/>
        </w:rPr>
        <w:t>Part 1 — Bulk Density Sampling at t=0</w:t>
      </w:r>
    </w:p>
    <w:p w14:paraId="5E46FA30" w14:textId="77777777" w:rsidR="00E02E42" w:rsidRDefault="00000000">
      <w:pPr>
        <w:pStyle w:val="Heading2"/>
      </w:pPr>
      <w:proofErr w:type="gramStart"/>
      <w:r>
        <w:rPr>
          <w:sz w:val="21"/>
          <w:szCs w:val="21"/>
        </w:rPr>
        <w:t>1.1  What</w:t>
      </w:r>
      <w:proofErr w:type="gramEnd"/>
      <w:r>
        <w:rPr>
          <w:sz w:val="21"/>
          <w:szCs w:val="21"/>
        </w:rPr>
        <w:t xml:space="preserve"> the Methodology Requires</w:t>
      </w:r>
    </w:p>
    <w:p w14:paraId="63F8DB7A" w14:textId="77777777" w:rsidR="00E02E42" w:rsidRDefault="00000000">
      <w:pPr>
        <w:spacing w:after="160" w:line="276" w:lineRule="auto"/>
        <w:jc w:val="both"/>
      </w:pPr>
      <w:r>
        <w:rPr>
          <w:rFonts w:cs="Arial"/>
        </w:rPr>
        <w:t xml:space="preserve">VM0042 v2.2 Section 8.2.1.5 requires that bulk density be determined using the core, excavation, or clod method and that estimates be </w:t>
      </w:r>
      <w:r>
        <w:rPr>
          <w:rFonts w:cs="Arial"/>
          <w:i/>
          <w:iCs/>
        </w:rPr>
        <w:t>“derived from representative (unbiased) sampling”</w:t>
      </w:r>
      <w:r>
        <w:rPr>
          <w:rFonts w:cs="Arial"/>
        </w:rPr>
        <w:t xml:space="preserve"> with accuracy ensured </w:t>
      </w:r>
      <w:r>
        <w:rPr>
          <w:rFonts w:cs="Arial"/>
          <w:i/>
          <w:iCs/>
        </w:rPr>
        <w:t>“through adherence to best practices.”</w:t>
      </w:r>
      <w:r>
        <w:rPr>
          <w:rFonts w:cs="Arial"/>
          <w:sz w:val="16"/>
          <w:szCs w:val="16"/>
          <w:vertAlign w:val="superscript"/>
        </w:rPr>
        <w:t>1</w:t>
      </w:r>
      <w:r>
        <w:rPr>
          <w:rFonts w:cs="Arial"/>
        </w:rPr>
        <w:t xml:space="preserve"> The methodology does not prescribe a fixed number of BD measurements per SOC sample point, nor does it require one BD measurement per SOC sample. The operative requirement is statistical representativeness at the stratum level.</w:t>
      </w:r>
    </w:p>
    <w:p w14:paraId="5D08C191" w14:textId="77777777" w:rsidR="00E02E42" w:rsidRDefault="00000000">
      <w:pPr>
        <w:spacing w:after="160" w:line="276" w:lineRule="auto"/>
        <w:jc w:val="both"/>
      </w:pPr>
      <w:r>
        <w:rPr>
          <w:rFonts w:cs="Arial"/>
        </w:rPr>
        <w:t xml:space="preserve">Section 8.2.1.3 further states that SOC content and soil mass should be obtained from the same sample </w:t>
      </w:r>
      <w:r>
        <w:rPr>
          <w:rFonts w:cs="Arial"/>
          <w:i/>
          <w:iCs/>
        </w:rPr>
        <w:t>“where possible”</w:t>
      </w:r>
      <w:r>
        <w:rPr>
          <w:rFonts w:cs="Arial"/>
        </w:rPr>
        <w:t xml:space="preserve"> — language that explicitly acknowledges practical constraints and permits a subsample approach where full BD coverage is not feasible.</w:t>
      </w:r>
    </w:p>
    <w:p w14:paraId="33F6C73F" w14:textId="77777777" w:rsidR="00E02E42" w:rsidRDefault="00000000">
      <w:pPr>
        <w:pStyle w:val="Heading2"/>
      </w:pPr>
      <w:proofErr w:type="gramStart"/>
      <w:r>
        <w:rPr>
          <w:sz w:val="21"/>
          <w:szCs w:val="21"/>
        </w:rPr>
        <w:t>1.2  Statistical</w:t>
      </w:r>
      <w:proofErr w:type="gramEnd"/>
      <w:r>
        <w:rPr>
          <w:sz w:val="21"/>
          <w:szCs w:val="21"/>
        </w:rPr>
        <w:t xml:space="preserve"> Justification for Stratum-Average BD</w:t>
      </w:r>
    </w:p>
    <w:p w14:paraId="1D46811F" w14:textId="77777777" w:rsidR="00E02E42" w:rsidRDefault="00000000">
      <w:pPr>
        <w:spacing w:after="160" w:line="276" w:lineRule="auto"/>
        <w:jc w:val="both"/>
      </w:pPr>
      <w:r>
        <w:rPr>
          <w:rFonts w:cs="Arial"/>
        </w:rPr>
        <w:t xml:space="preserve">Where BD is measured on a representative subsample and variance within the stratum is demonstrably low, applying a stratum-average BD to all sample points is statistically defensible. The coefficient of variation (CV) is the standard metric used to </w:t>
      </w:r>
      <w:proofErr w:type="spellStart"/>
      <w:r>
        <w:rPr>
          <w:rFonts w:cs="Arial"/>
        </w:rPr>
        <w:t>characterise</w:t>
      </w:r>
      <w:proofErr w:type="spellEnd"/>
      <w:r>
        <w:rPr>
          <w:rFonts w:cs="Arial"/>
        </w:rPr>
        <w:t xml:space="preserve"> within-stratum BD homogeneity.</w:t>
      </w:r>
      <w:r>
        <w:rPr>
          <w:rFonts w:cs="Arial"/>
          <w:sz w:val="16"/>
          <w:szCs w:val="16"/>
          <w:vertAlign w:val="superscript"/>
        </w:rPr>
        <w:t>2</w:t>
      </w:r>
      <w:r>
        <w:rPr>
          <w:rFonts w:cs="Arial"/>
        </w:rPr>
        <w:t xml:space="preserve"> The CV is defined as:</w:t>
      </w:r>
    </w:p>
    <w:p w14:paraId="34D455CF" w14:textId="77777777" w:rsidR="00E02E42" w:rsidRDefault="00000000">
      <w:pPr>
        <w:spacing w:before="160" w:after="160"/>
        <w:jc w:val="center"/>
      </w:pPr>
      <w:r>
        <w:rPr>
          <w:rFonts w:cs="Arial"/>
          <w:b/>
          <w:bCs/>
        </w:rPr>
        <w:t>CV (%) = (σ / x̅) × 100</w:t>
      </w:r>
    </w:p>
    <w:p w14:paraId="50ECADFB" w14:textId="77777777" w:rsidR="00E02E42" w:rsidRDefault="00000000">
      <w:pPr>
        <w:spacing w:after="160" w:line="276" w:lineRule="auto"/>
        <w:jc w:val="both"/>
      </w:pPr>
      <w:r>
        <w:rPr>
          <w:rFonts w:cs="Arial"/>
        </w:rPr>
        <w:lastRenderedPageBreak/>
        <w:t>where σ is the standard deviation of BD measurements within the stratum and x̅ is the stratum mean BD. CVs below approximately 10–15% indicate low spatial variability and are widely accepted as justification for applying a stratum mean.</w:t>
      </w:r>
      <w:r>
        <w:rPr>
          <w:rFonts w:cs="Arial"/>
          <w:sz w:val="16"/>
          <w:szCs w:val="16"/>
          <w:vertAlign w:val="superscript"/>
        </w:rPr>
        <w:t>3</w:t>
      </w:r>
    </w:p>
    <w:p w14:paraId="22DB5079" w14:textId="77777777" w:rsidR="00E02E42" w:rsidRDefault="00000000">
      <w:pPr>
        <w:pStyle w:val="Heading2"/>
      </w:pPr>
      <w:proofErr w:type="gramStart"/>
      <w:r>
        <w:rPr>
          <w:sz w:val="21"/>
          <w:szCs w:val="21"/>
        </w:rPr>
        <w:t>1.3  Results</w:t>
      </w:r>
      <w:proofErr w:type="gramEnd"/>
      <w:r>
        <w:rPr>
          <w:sz w:val="21"/>
          <w:szCs w:val="21"/>
        </w:rPr>
        <w:t>: BD Variability in Project Strata</w:t>
      </w:r>
    </w:p>
    <w:p w14:paraId="52AB0713" w14:textId="77777777" w:rsidR="00E02E42" w:rsidRDefault="00000000">
      <w:pPr>
        <w:spacing w:after="160" w:line="276" w:lineRule="auto"/>
        <w:jc w:val="both"/>
      </w:pPr>
      <w:r>
        <w:rPr>
          <w:rFonts w:cs="Arial"/>
        </w:rPr>
        <w:t xml:space="preserve">Bulk density was measured on a randomly selected subset of samples within each soil stratum during the September 2025 field campaign. Table 1 </w:t>
      </w:r>
      <w:proofErr w:type="spellStart"/>
      <w:r>
        <w:rPr>
          <w:rFonts w:cs="Arial"/>
        </w:rPr>
        <w:t>summarises</w:t>
      </w:r>
      <w:proofErr w:type="spellEnd"/>
      <w:r>
        <w:rPr>
          <w:rFonts w:cs="Arial"/>
        </w:rPr>
        <w:t xml:space="preserve"> BD sample counts and variability statistics by stratum, excluding the Adu cooperative which is not participating in this project.</w:t>
      </w:r>
    </w:p>
    <w:p w14:paraId="063B4AEF" w14:textId="77777777" w:rsidR="00E02E42" w:rsidRDefault="00E02E4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634"/>
        <w:gridCol w:w="1311"/>
        <w:gridCol w:w="1464"/>
        <w:gridCol w:w="1071"/>
        <w:gridCol w:w="1096"/>
      </w:tblGrid>
      <w:tr w:rsidR="00E02E42" w14:paraId="0CA0D977"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2BB65CEF" w14:textId="77777777" w:rsidR="00E02E42" w:rsidRDefault="00000000">
            <w:pPr>
              <w:jc w:val="center"/>
            </w:pPr>
            <w:r>
              <w:rPr>
                <w:rFonts w:cs="Arial"/>
                <w:b/>
                <w:bCs/>
                <w:color w:val="FFFFFF"/>
                <w:sz w:val="19"/>
                <w:szCs w:val="19"/>
              </w:rPr>
              <w:t>Soil Stratum</w:t>
            </w:r>
            <w:r>
              <w:rPr>
                <w:rFonts w:cs="Arial"/>
                <w:b/>
                <w:bCs/>
                <w:color w:val="FFFFFF"/>
                <w:sz w:val="19"/>
                <w:szCs w:val="19"/>
              </w:rPr>
              <w:br/>
              <w:t>(FAO Code)</w:t>
            </w:r>
          </w:p>
        </w:tc>
        <w:tc>
          <w:tcPr>
            <w:tcW w:w="30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E1819D0" w14:textId="77777777" w:rsidR="00E02E42" w:rsidRDefault="00000000">
            <w:pPr>
              <w:jc w:val="center"/>
            </w:pPr>
            <w:r>
              <w:rPr>
                <w:rFonts w:cs="Arial"/>
                <w:b/>
                <w:bCs/>
                <w:color w:val="FFFFFF"/>
                <w:sz w:val="19"/>
                <w:szCs w:val="19"/>
              </w:rPr>
              <w:t>Cooperatives</w:t>
            </w:r>
          </w:p>
        </w:tc>
        <w:tc>
          <w:tcPr>
            <w:tcW w:w="14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4DA303FF" w14:textId="77777777" w:rsidR="00E02E42" w:rsidRDefault="00000000">
            <w:pPr>
              <w:jc w:val="center"/>
            </w:pPr>
            <w:r>
              <w:rPr>
                <w:rFonts w:cs="Arial"/>
                <w:b/>
                <w:bCs/>
                <w:color w:val="FFFFFF"/>
                <w:sz w:val="19"/>
                <w:szCs w:val="19"/>
              </w:rPr>
              <w:t>Total</w:t>
            </w:r>
            <w:r>
              <w:rPr>
                <w:rFonts w:cs="Arial"/>
                <w:b/>
                <w:bCs/>
                <w:color w:val="FFFFFF"/>
                <w:sz w:val="19"/>
                <w:szCs w:val="19"/>
              </w:rPr>
              <w:br/>
              <w:t>Samples</w:t>
            </w:r>
          </w:p>
        </w:tc>
        <w:tc>
          <w:tcPr>
            <w:tcW w:w="16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1DD39C3" w14:textId="77777777" w:rsidR="00E02E42" w:rsidRDefault="00000000">
            <w:pPr>
              <w:jc w:val="center"/>
            </w:pPr>
            <w:r>
              <w:rPr>
                <w:rFonts w:cs="Arial"/>
                <w:b/>
                <w:bCs/>
                <w:color w:val="FFFFFF"/>
                <w:sz w:val="19"/>
                <w:szCs w:val="19"/>
              </w:rPr>
              <w:t>BD Samples</w:t>
            </w:r>
            <w:r>
              <w:rPr>
                <w:rFonts w:cs="Arial"/>
                <w:b/>
                <w:bCs/>
                <w:color w:val="FFFFFF"/>
                <w:sz w:val="19"/>
                <w:szCs w:val="19"/>
              </w:rPr>
              <w:br/>
              <w:t>(0–30 cm)</w:t>
            </w:r>
          </w:p>
        </w:tc>
        <w:tc>
          <w:tcPr>
            <w:tcW w:w="12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1EFDA570" w14:textId="77777777" w:rsidR="00E02E42" w:rsidRDefault="00000000">
            <w:pPr>
              <w:jc w:val="center"/>
            </w:pPr>
            <w:r>
              <w:rPr>
                <w:rFonts w:cs="Arial"/>
                <w:b/>
                <w:bCs/>
                <w:color w:val="FFFFFF"/>
                <w:sz w:val="19"/>
                <w:szCs w:val="19"/>
              </w:rPr>
              <w:t>BD</w:t>
            </w:r>
            <w:r>
              <w:rPr>
                <w:rFonts w:cs="Arial"/>
                <w:b/>
                <w:bCs/>
                <w:color w:val="FFFFFF"/>
                <w:sz w:val="19"/>
                <w:szCs w:val="19"/>
              </w:rPr>
              <w:br/>
              <w:t>Rate</w:t>
            </w:r>
          </w:p>
        </w:tc>
        <w:tc>
          <w:tcPr>
            <w:tcW w:w="1226"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3C08AFE" w14:textId="77777777" w:rsidR="00E02E42" w:rsidRDefault="00000000">
            <w:pPr>
              <w:jc w:val="center"/>
            </w:pPr>
            <w:r>
              <w:rPr>
                <w:rFonts w:cs="Arial"/>
                <w:b/>
                <w:bCs/>
                <w:color w:val="FFFFFF"/>
                <w:sz w:val="19"/>
                <w:szCs w:val="19"/>
              </w:rPr>
              <w:t>CV</w:t>
            </w:r>
            <w:r>
              <w:rPr>
                <w:rFonts w:cs="Arial"/>
                <w:b/>
                <w:bCs/>
                <w:color w:val="FFFFFF"/>
                <w:sz w:val="19"/>
                <w:szCs w:val="19"/>
              </w:rPr>
              <w:br/>
              <w:t>(%)</w:t>
            </w:r>
          </w:p>
        </w:tc>
      </w:tr>
      <w:tr w:rsidR="00E02E42" w14:paraId="13FE7EC5"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C35DA2" w14:textId="77777777" w:rsidR="00E02E42" w:rsidRDefault="00000000">
            <w:pPr>
              <w:jc w:val="center"/>
            </w:pPr>
            <w:proofErr w:type="spellStart"/>
            <w:r>
              <w:rPr>
                <w:rFonts w:cs="Arial"/>
                <w:color w:val="111111"/>
                <w:sz w:val="19"/>
                <w:szCs w:val="19"/>
              </w:rPr>
              <w:t>ANm</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EBDA8F" w14:textId="77777777" w:rsidR="00E02E42" w:rsidRDefault="00000000">
            <w:proofErr w:type="spellStart"/>
            <w:r>
              <w:rPr>
                <w:rFonts w:cs="Arial"/>
                <w:color w:val="111111"/>
                <w:sz w:val="19"/>
                <w:szCs w:val="19"/>
              </w:rPr>
              <w:t>Eor</w:t>
            </w:r>
            <w:proofErr w:type="spellEnd"/>
            <w:r>
              <w:rPr>
                <w:rFonts w:cs="Arial"/>
                <w:color w:val="111111"/>
                <w:sz w:val="19"/>
                <w:szCs w:val="19"/>
              </w:rPr>
              <w:t xml:space="preserve"> Emayian, </w:t>
            </w:r>
            <w:proofErr w:type="spellStart"/>
            <w:r>
              <w:rPr>
                <w:rFonts w:cs="Arial"/>
                <w:color w:val="111111"/>
                <w:sz w:val="19"/>
                <w:szCs w:val="19"/>
              </w:rPr>
              <w:t>Lanyuak</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2C571A" w14:textId="77777777" w:rsidR="00E02E42" w:rsidRDefault="00000000">
            <w:pPr>
              <w:jc w:val="center"/>
            </w:pPr>
            <w:r>
              <w:rPr>
                <w:rFonts w:cs="Arial"/>
                <w:color w:val="111111"/>
                <w:sz w:val="19"/>
                <w:szCs w:val="19"/>
              </w:rPr>
              <w:t>61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1627F0" w14:textId="77777777" w:rsidR="00E02E42" w:rsidRDefault="00000000">
            <w:pPr>
              <w:jc w:val="center"/>
            </w:pPr>
            <w:r>
              <w:rPr>
                <w:rFonts w:cs="Arial"/>
                <w:color w:val="111111"/>
                <w:sz w:val="19"/>
                <w:szCs w:val="19"/>
              </w:rPr>
              <w:t>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6CB19" w14:textId="77777777" w:rsidR="00E02E42" w:rsidRDefault="00000000">
            <w:pPr>
              <w:jc w:val="center"/>
            </w:pPr>
            <w:r>
              <w:rPr>
                <w:rFonts w:cs="Arial"/>
                <w:color w:val="111111"/>
                <w:sz w:val="19"/>
                <w:szCs w:val="19"/>
              </w:rPr>
              <w:t>23%</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AA5EAB" w14:textId="77777777" w:rsidR="00E02E42" w:rsidRDefault="00000000">
            <w:pPr>
              <w:jc w:val="center"/>
            </w:pPr>
            <w:r>
              <w:rPr>
                <w:rFonts w:cs="Arial"/>
                <w:color w:val="111111"/>
                <w:sz w:val="19"/>
                <w:szCs w:val="19"/>
              </w:rPr>
              <w:t>6.8%</w:t>
            </w:r>
          </w:p>
        </w:tc>
      </w:tr>
      <w:tr w:rsidR="00E02E42" w14:paraId="0E12D986"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25520B55" w14:textId="77777777" w:rsidR="00E02E42" w:rsidRDefault="00000000">
            <w:pPr>
              <w:jc w:val="center"/>
            </w:pPr>
            <w:proofErr w:type="spellStart"/>
            <w:r>
              <w:rPr>
                <w:rFonts w:cs="Arial"/>
                <w:color w:val="111111"/>
                <w:sz w:val="19"/>
                <w:szCs w:val="19"/>
              </w:rPr>
              <w:t>NTu</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57898575" w14:textId="77777777" w:rsidR="00E02E42" w:rsidRDefault="00000000">
            <w:proofErr w:type="spellStart"/>
            <w:r>
              <w:rPr>
                <w:rFonts w:cs="Arial"/>
                <w:color w:val="111111"/>
                <w:sz w:val="19"/>
                <w:szCs w:val="19"/>
              </w:rPr>
              <w:t>Kabianga</w:t>
            </w:r>
            <w:proofErr w:type="spellEnd"/>
            <w:r>
              <w:rPr>
                <w:rFonts w:cs="Arial"/>
                <w:color w:val="111111"/>
                <w:sz w:val="19"/>
                <w:szCs w:val="19"/>
              </w:rPr>
              <w:t xml:space="preserve">, Kipsigis, </w:t>
            </w:r>
            <w:proofErr w:type="spellStart"/>
            <w:r>
              <w:rPr>
                <w:rFonts w:cs="Arial"/>
                <w:color w:val="111111"/>
                <w:sz w:val="19"/>
                <w:szCs w:val="19"/>
              </w:rPr>
              <w:t>Mumberes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51D1C194" w14:textId="77777777" w:rsidR="00E02E42" w:rsidRDefault="00000000">
            <w:pPr>
              <w:jc w:val="center"/>
            </w:pPr>
            <w:r>
              <w:rPr>
                <w:rFonts w:cs="Arial"/>
                <w:color w:val="111111"/>
                <w:sz w:val="19"/>
                <w:szCs w:val="19"/>
              </w:rPr>
              <w:t>100</w:t>
            </w:r>
          </w:p>
        </w:tc>
        <w:tc>
          <w:tcPr>
            <w:tcW w:w="16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76FC3011" w14:textId="77777777" w:rsidR="00E02E42" w:rsidRDefault="00000000">
            <w:pPr>
              <w:jc w:val="center"/>
            </w:pPr>
            <w:r>
              <w:rPr>
                <w:rFonts w:cs="Arial"/>
                <w:color w:val="111111"/>
                <w:sz w:val="19"/>
                <w:szCs w:val="19"/>
              </w:rPr>
              <w:t>16</w:t>
            </w:r>
          </w:p>
        </w:tc>
        <w:tc>
          <w:tcPr>
            <w:tcW w:w="12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43CCEC32" w14:textId="77777777" w:rsidR="00E02E42" w:rsidRDefault="00000000">
            <w:pPr>
              <w:jc w:val="center"/>
            </w:pPr>
            <w:r>
              <w:rPr>
                <w:rFonts w:cs="Arial"/>
                <w:color w:val="111111"/>
                <w:sz w:val="19"/>
                <w:szCs w:val="19"/>
              </w:rPr>
              <w:t>16%</w:t>
            </w:r>
          </w:p>
        </w:tc>
        <w:tc>
          <w:tcPr>
            <w:tcW w:w="1226"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278E02EC" w14:textId="77777777" w:rsidR="00E02E42" w:rsidRDefault="00000000">
            <w:pPr>
              <w:jc w:val="center"/>
            </w:pPr>
            <w:r>
              <w:rPr>
                <w:rFonts w:cs="Arial"/>
                <w:color w:val="111111"/>
                <w:sz w:val="19"/>
                <w:szCs w:val="19"/>
              </w:rPr>
              <w:t>8.7%</w:t>
            </w:r>
          </w:p>
        </w:tc>
      </w:tr>
      <w:tr w:rsidR="00E02E42" w14:paraId="0FE28727"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2FAF97" w14:textId="77777777" w:rsidR="00E02E42" w:rsidRDefault="00000000">
            <w:pPr>
              <w:jc w:val="center"/>
            </w:pPr>
            <w:proofErr w:type="spellStart"/>
            <w:r>
              <w:rPr>
                <w:rFonts w:cs="Arial"/>
                <w:color w:val="111111"/>
                <w:sz w:val="19"/>
                <w:szCs w:val="19"/>
              </w:rPr>
              <w:t>NTh</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FF964" w14:textId="77777777" w:rsidR="00E02E42" w:rsidRDefault="00000000">
            <w:proofErr w:type="spellStart"/>
            <w:r>
              <w:rPr>
                <w:rFonts w:cs="Arial"/>
                <w:color w:val="111111"/>
                <w:sz w:val="19"/>
                <w:szCs w:val="19"/>
              </w:rPr>
              <w:t>Mumberes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BF3A62" w14:textId="77777777" w:rsidR="00E02E42" w:rsidRDefault="00000000">
            <w:pPr>
              <w:jc w:val="center"/>
            </w:pPr>
            <w:r>
              <w:rPr>
                <w:rFonts w:cs="Arial"/>
                <w:color w:val="111111"/>
                <w:sz w:val="19"/>
                <w:szCs w:val="19"/>
              </w:rPr>
              <w:t>13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2F9F43" w14:textId="77777777" w:rsidR="00E02E42" w:rsidRDefault="00000000">
            <w:pPr>
              <w:jc w:val="center"/>
            </w:pPr>
            <w:r>
              <w:rPr>
                <w:rFonts w:cs="Arial"/>
                <w:color w:val="111111"/>
                <w:sz w:val="19"/>
                <w:szCs w:val="19"/>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FDA921" w14:textId="77777777" w:rsidR="00E02E42" w:rsidRDefault="00000000">
            <w:pPr>
              <w:jc w:val="center"/>
            </w:pPr>
            <w:r>
              <w:rPr>
                <w:rFonts w:cs="Arial"/>
                <w:color w:val="111111"/>
                <w:sz w:val="19"/>
                <w:szCs w:val="19"/>
              </w:rPr>
              <w:t>46%</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E1E05" w14:textId="77777777" w:rsidR="00E02E42" w:rsidRDefault="00000000">
            <w:pPr>
              <w:jc w:val="center"/>
            </w:pPr>
            <w:r>
              <w:rPr>
                <w:rFonts w:cs="Arial"/>
                <w:color w:val="111111"/>
                <w:sz w:val="19"/>
                <w:szCs w:val="19"/>
              </w:rPr>
              <w:t>5.7%</w:t>
            </w:r>
          </w:p>
        </w:tc>
      </w:tr>
      <w:tr w:rsidR="00E02E42" w14:paraId="028B9B53" w14:textId="77777777">
        <w:tc>
          <w:tcPr>
            <w:tcW w:w="16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006794C6" w14:textId="77777777" w:rsidR="00E02E42" w:rsidRDefault="00000000">
            <w:pPr>
              <w:jc w:val="center"/>
            </w:pPr>
            <w:r>
              <w:rPr>
                <w:rFonts w:cs="Arial"/>
                <w:b/>
                <w:bCs/>
                <w:color w:val="111111"/>
                <w:sz w:val="19"/>
                <w:szCs w:val="19"/>
              </w:rPr>
              <w:t>Total</w:t>
            </w:r>
          </w:p>
        </w:tc>
        <w:tc>
          <w:tcPr>
            <w:tcW w:w="30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20C32CD9" w14:textId="77777777" w:rsidR="00E02E42" w:rsidRDefault="00000000">
            <w:r>
              <w:rPr>
                <w:rFonts w:cs="Arial"/>
                <w:b/>
                <w:bCs/>
                <w:color w:val="111111"/>
                <w:sz w:val="19"/>
                <w:szCs w:val="19"/>
              </w:rPr>
              <w:t>5 cooperatives</w:t>
            </w:r>
          </w:p>
        </w:tc>
        <w:tc>
          <w:tcPr>
            <w:tcW w:w="14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7A9C4E28" w14:textId="77777777" w:rsidR="00E02E42" w:rsidRDefault="00000000">
            <w:pPr>
              <w:jc w:val="center"/>
            </w:pPr>
            <w:r>
              <w:rPr>
                <w:rFonts w:cs="Arial"/>
                <w:b/>
                <w:bCs/>
                <w:color w:val="111111"/>
                <w:sz w:val="19"/>
                <w:szCs w:val="19"/>
              </w:rPr>
              <w:t>174</w:t>
            </w:r>
          </w:p>
        </w:tc>
        <w:tc>
          <w:tcPr>
            <w:tcW w:w="16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596F4E23" w14:textId="77777777" w:rsidR="00E02E42" w:rsidRDefault="00000000">
            <w:pPr>
              <w:jc w:val="center"/>
            </w:pPr>
            <w:r>
              <w:rPr>
                <w:rFonts w:cs="Arial"/>
                <w:b/>
                <w:bCs/>
                <w:color w:val="111111"/>
                <w:sz w:val="19"/>
                <w:szCs w:val="19"/>
              </w:rPr>
              <w:t>36</w:t>
            </w:r>
          </w:p>
        </w:tc>
        <w:tc>
          <w:tcPr>
            <w:tcW w:w="12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1E158D6D" w14:textId="77777777" w:rsidR="00E02E42" w:rsidRDefault="00000000">
            <w:pPr>
              <w:jc w:val="center"/>
            </w:pPr>
            <w:r>
              <w:rPr>
                <w:rFonts w:cs="Arial"/>
                <w:b/>
                <w:bCs/>
                <w:color w:val="111111"/>
                <w:sz w:val="19"/>
                <w:szCs w:val="19"/>
              </w:rPr>
              <w:t>21%</w:t>
            </w:r>
          </w:p>
        </w:tc>
        <w:tc>
          <w:tcPr>
            <w:tcW w:w="1226"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3BDF59FA" w14:textId="77777777" w:rsidR="00E02E42" w:rsidRDefault="00000000">
            <w:pPr>
              <w:jc w:val="center"/>
            </w:pPr>
            <w:r>
              <w:rPr>
                <w:rFonts w:cs="Arial"/>
                <w:b/>
                <w:bCs/>
                <w:color w:val="111111"/>
                <w:sz w:val="19"/>
                <w:szCs w:val="19"/>
              </w:rPr>
              <w:t>—</w:t>
            </w:r>
          </w:p>
        </w:tc>
      </w:tr>
    </w:tbl>
    <w:p w14:paraId="40D267EA" w14:textId="77777777" w:rsidR="00E02E42" w:rsidRDefault="00E02E42">
      <w:pPr>
        <w:spacing w:after="80"/>
      </w:pPr>
    </w:p>
    <w:p w14:paraId="62E94EA7" w14:textId="77777777" w:rsidR="00E02E42" w:rsidRDefault="00000000">
      <w:pPr>
        <w:spacing w:after="200"/>
      </w:pPr>
      <w:r>
        <w:rPr>
          <w:rFonts w:cs="Arial"/>
          <w:i/>
          <w:iCs/>
          <w:color w:val="555555"/>
          <w:sz w:val="18"/>
          <w:szCs w:val="18"/>
        </w:rPr>
        <w:t>Table 1. Bulk density sampling summary by soil stratum (non-Adu cooperatives). CV calculated from measured BD subsamples within each stratum. Total BD samples reflect the actual dataset (n=36).</w:t>
      </w:r>
    </w:p>
    <w:p w14:paraId="7F7B59CE" w14:textId="296EA853" w:rsidR="00E02E42" w:rsidRDefault="00000000" w:rsidP="006709F8">
      <w:pPr>
        <w:spacing w:after="160" w:line="276" w:lineRule="auto"/>
        <w:jc w:val="both"/>
      </w:pPr>
      <w:r>
        <w:rPr>
          <w:rFonts w:cs="Arial"/>
        </w:rPr>
        <w:t xml:space="preserve">All three strata return CVs well below the 10–15% threshold, ranging from </w:t>
      </w:r>
      <w:r>
        <w:rPr>
          <w:rFonts w:cs="Arial"/>
          <w:b/>
          <w:bCs/>
        </w:rPr>
        <w:t>5.7% (</w:t>
      </w:r>
      <w:proofErr w:type="spellStart"/>
      <w:r>
        <w:rPr>
          <w:rFonts w:cs="Arial"/>
          <w:b/>
          <w:bCs/>
        </w:rPr>
        <w:t>NTh</w:t>
      </w:r>
      <w:proofErr w:type="spellEnd"/>
      <w:r>
        <w:rPr>
          <w:rFonts w:cs="Arial"/>
          <w:b/>
          <w:bCs/>
        </w:rPr>
        <w:t>)</w:t>
      </w:r>
      <w:r>
        <w:rPr>
          <w:rFonts w:cs="Arial"/>
        </w:rPr>
        <w:t xml:space="preserve"> to </w:t>
      </w:r>
      <w:r>
        <w:rPr>
          <w:rFonts w:cs="Arial"/>
          <w:b/>
          <w:bCs/>
        </w:rPr>
        <w:t>8.7% (</w:t>
      </w:r>
      <w:proofErr w:type="spellStart"/>
      <w:r>
        <w:rPr>
          <w:rFonts w:cs="Arial"/>
          <w:b/>
          <w:bCs/>
        </w:rPr>
        <w:t>NTu</w:t>
      </w:r>
      <w:proofErr w:type="spellEnd"/>
      <w:r>
        <w:rPr>
          <w:rFonts w:cs="Arial"/>
          <w:b/>
          <w:bCs/>
        </w:rPr>
        <w:t>)</w:t>
      </w:r>
      <w:r>
        <w:rPr>
          <w:rFonts w:cs="Arial"/>
        </w:rPr>
        <w:t xml:space="preserve">. BD measurements within the multi-cooperative </w:t>
      </w:r>
      <w:proofErr w:type="spellStart"/>
      <w:r>
        <w:rPr>
          <w:rFonts w:cs="Arial"/>
        </w:rPr>
        <w:t>NTu</w:t>
      </w:r>
      <w:proofErr w:type="spellEnd"/>
      <w:r>
        <w:rPr>
          <w:rFonts w:cs="Arial"/>
        </w:rPr>
        <w:t xml:space="preserve"> and </w:t>
      </w:r>
      <w:proofErr w:type="spellStart"/>
      <w:r>
        <w:rPr>
          <w:rFonts w:cs="Arial"/>
        </w:rPr>
        <w:t>ANm</w:t>
      </w:r>
      <w:proofErr w:type="spellEnd"/>
      <w:r>
        <w:rPr>
          <w:rFonts w:cs="Arial"/>
        </w:rPr>
        <w:t xml:space="preserve"> strata are distributed across all constituent cooperatives (</w:t>
      </w:r>
      <w:proofErr w:type="spellStart"/>
      <w:r>
        <w:rPr>
          <w:rFonts w:cs="Arial"/>
        </w:rPr>
        <w:t>NTu</w:t>
      </w:r>
      <w:proofErr w:type="spellEnd"/>
      <w:r>
        <w:rPr>
          <w:rFonts w:cs="Arial"/>
        </w:rPr>
        <w:t xml:space="preserve">: </w:t>
      </w:r>
      <w:proofErr w:type="spellStart"/>
      <w:r>
        <w:rPr>
          <w:rFonts w:cs="Arial"/>
        </w:rPr>
        <w:t>Kabianga</w:t>
      </w:r>
      <w:proofErr w:type="spellEnd"/>
      <w:r>
        <w:rPr>
          <w:rFonts w:cs="Arial"/>
        </w:rPr>
        <w:t xml:space="preserve"> 6, Kipsigis 4, </w:t>
      </w:r>
      <w:proofErr w:type="spellStart"/>
      <w:r>
        <w:rPr>
          <w:rFonts w:cs="Arial"/>
        </w:rPr>
        <w:t>Mumberes</w:t>
      </w:r>
      <w:proofErr w:type="spellEnd"/>
      <w:r>
        <w:rPr>
          <w:rFonts w:cs="Arial"/>
        </w:rPr>
        <w:t xml:space="preserve"> 6; </w:t>
      </w:r>
      <w:proofErr w:type="spellStart"/>
      <w:r>
        <w:rPr>
          <w:rFonts w:cs="Arial"/>
        </w:rPr>
        <w:t>ANm</w:t>
      </w:r>
      <w:proofErr w:type="spellEnd"/>
      <w:r>
        <w:rPr>
          <w:rFonts w:cs="Arial"/>
        </w:rPr>
        <w:t xml:space="preserve">: </w:t>
      </w:r>
      <w:proofErr w:type="spellStart"/>
      <w:r>
        <w:rPr>
          <w:rFonts w:cs="Arial"/>
        </w:rPr>
        <w:t>Eor</w:t>
      </w:r>
      <w:proofErr w:type="spellEnd"/>
      <w:r>
        <w:rPr>
          <w:rFonts w:cs="Arial"/>
        </w:rPr>
        <w:t xml:space="preserve"> </w:t>
      </w:r>
      <w:proofErr w:type="spellStart"/>
      <w:r>
        <w:rPr>
          <w:rFonts w:cs="Arial"/>
        </w:rPr>
        <w:t>Emayian</w:t>
      </w:r>
      <w:proofErr w:type="spellEnd"/>
      <w:r>
        <w:rPr>
          <w:rFonts w:cs="Arial"/>
        </w:rPr>
        <w:t xml:space="preserve"> 8, </w:t>
      </w:r>
      <w:proofErr w:type="spellStart"/>
      <w:r>
        <w:rPr>
          <w:rFonts w:cs="Arial"/>
        </w:rPr>
        <w:t>Lanyuak</w:t>
      </w:r>
      <w:proofErr w:type="spellEnd"/>
      <w:r>
        <w:rPr>
          <w:rFonts w:cs="Arial"/>
        </w:rPr>
        <w:t xml:space="preserve"> 6), confirming spatial representativeness.</w:t>
      </w:r>
    </w:p>
    <w:p w14:paraId="3A311EAF" w14:textId="77777777" w:rsidR="00E02E42" w:rsidRDefault="00000000">
      <w:pPr>
        <w:pBdr>
          <w:left w:val="single" w:sz="18" w:space="8" w:color="2E7D4F"/>
        </w:pBdr>
        <w:shd w:val="clear" w:color="auto" w:fill="E8F5EE"/>
        <w:spacing w:before="80" w:after="60"/>
        <w:ind w:left="240" w:right="240"/>
      </w:pPr>
      <w:r>
        <w:rPr>
          <w:rFonts w:cs="Arial"/>
          <w:b/>
          <w:bCs/>
          <w:color w:val="2E7D4F"/>
        </w:rPr>
        <w:t>Key Finding — Part 1</w:t>
      </w:r>
    </w:p>
    <w:p w14:paraId="0972FA2B" w14:textId="77777777" w:rsidR="00E02E42" w:rsidRDefault="00000000">
      <w:pPr>
        <w:pBdr>
          <w:left w:val="single" w:sz="18" w:space="8" w:color="2E7D4F"/>
        </w:pBdr>
        <w:shd w:val="clear" w:color="auto" w:fill="E8F5EE"/>
        <w:spacing w:after="80"/>
        <w:ind w:left="240" w:right="240"/>
        <w:jc w:val="both"/>
      </w:pPr>
      <w:r>
        <w:rPr>
          <w:rFonts w:cs="Arial"/>
        </w:rPr>
        <w:t xml:space="preserve">The project does </w:t>
      </w:r>
      <w:r>
        <w:rPr>
          <w:rFonts w:cs="Arial"/>
          <w:b/>
          <w:bCs/>
        </w:rPr>
        <w:t>not</w:t>
      </w:r>
      <w:r>
        <w:rPr>
          <w:rFonts w:cs="Arial"/>
        </w:rPr>
        <w:t xml:space="preserve"> need to return to the field to collect BD measurements on every SOC sample point. The existing BD subsample, randomly distributed across strata with CVs of 5.7–8.7%, is statistically sufficient to justify stratum-average BD application and is fully consistent with VM0042 v2.2 requirements.</w:t>
      </w:r>
    </w:p>
    <w:p w14:paraId="1AF3E7E4" w14:textId="77777777" w:rsidR="00E02E42" w:rsidRDefault="00000000">
      <w:pPr>
        <w:pBdr>
          <w:left w:val="single" w:sz="18" w:space="8" w:color="2E7D4F"/>
        </w:pBdr>
        <w:shd w:val="clear" w:color="auto" w:fill="E8F5EE"/>
        <w:spacing w:after="80"/>
        <w:ind w:left="240" w:right="240"/>
        <w:jc w:val="both"/>
      </w:pPr>
      <w:r>
        <w:rPr>
          <w:rFonts w:cs="Arial"/>
        </w:rPr>
        <w:t xml:space="preserve">For </w:t>
      </w:r>
      <w:proofErr w:type="spellStart"/>
      <w:r>
        <w:rPr>
          <w:rFonts w:cs="Arial"/>
        </w:rPr>
        <w:t>NTh</w:t>
      </w:r>
      <w:proofErr w:type="spellEnd"/>
      <w:r>
        <w:rPr>
          <w:rFonts w:cs="Arial"/>
        </w:rPr>
        <w:t xml:space="preserve"> specifically, the 6 existing measurements exceed the stratum-specific minimum sample size of n=5 derived from its own CV (see Section 2.4 for the per-stratum sample size analysis).</w:t>
      </w:r>
    </w:p>
    <w:p w14:paraId="1A13C602" w14:textId="77777777" w:rsidR="00E02E42" w:rsidRDefault="00E02E42">
      <w:pPr>
        <w:pBdr>
          <w:left w:val="single" w:sz="18" w:space="8" w:color="2E7D4F"/>
        </w:pBdr>
        <w:shd w:val="clear" w:color="auto" w:fill="E8F5EE"/>
        <w:spacing w:after="200"/>
        <w:ind w:left="240" w:right="240"/>
      </w:pPr>
    </w:p>
    <w:p w14:paraId="03A00CB4" w14:textId="77777777" w:rsidR="00E02E42" w:rsidRDefault="00E02E42">
      <w:pPr>
        <w:pBdr>
          <w:bottom w:val="single" w:sz="2" w:space="1" w:color="CCCCCC"/>
        </w:pBdr>
        <w:spacing w:before="80" w:after="80"/>
      </w:pPr>
    </w:p>
    <w:p w14:paraId="2E13FDEE" w14:textId="77777777" w:rsidR="00E02E42" w:rsidRDefault="00000000">
      <w:pPr>
        <w:spacing w:after="80"/>
      </w:pPr>
      <w:r>
        <w:rPr>
          <w:rFonts w:cs="Arial"/>
          <w:sz w:val="16"/>
          <w:szCs w:val="16"/>
          <w:vertAlign w:val="superscript"/>
        </w:rPr>
        <w:t>1</w:t>
      </w:r>
      <w:r>
        <w:rPr>
          <w:rFonts w:cs="Arial"/>
          <w:color w:val="444444"/>
          <w:sz w:val="17"/>
          <w:szCs w:val="17"/>
        </w:rPr>
        <w:t xml:space="preserve"> Verra (2023). VM0042 Improved Agricultural Land Management, v2.2. Washington DC: Verra. Sections 8.2.1.3 and 8.2.1.5.</w:t>
      </w:r>
    </w:p>
    <w:p w14:paraId="50015134" w14:textId="77777777" w:rsidR="00E02E42" w:rsidRDefault="00000000">
      <w:pPr>
        <w:spacing w:after="80"/>
      </w:pPr>
      <w:r>
        <w:rPr>
          <w:rFonts w:cs="Arial"/>
          <w:sz w:val="16"/>
          <w:szCs w:val="16"/>
          <w:vertAlign w:val="superscript"/>
        </w:rPr>
        <w:t>2</w:t>
      </w:r>
      <w:r>
        <w:rPr>
          <w:rFonts w:cs="Arial"/>
          <w:color w:val="444444"/>
          <w:sz w:val="17"/>
          <w:szCs w:val="17"/>
        </w:rPr>
        <w:t xml:space="preserve"> De </w:t>
      </w:r>
      <w:proofErr w:type="spellStart"/>
      <w:r>
        <w:rPr>
          <w:rFonts w:cs="Arial"/>
          <w:color w:val="444444"/>
          <w:sz w:val="17"/>
          <w:szCs w:val="17"/>
        </w:rPr>
        <w:t>Gruijter</w:t>
      </w:r>
      <w:proofErr w:type="spellEnd"/>
      <w:r>
        <w:rPr>
          <w:rFonts w:cs="Arial"/>
          <w:color w:val="444444"/>
          <w:sz w:val="17"/>
          <w:szCs w:val="17"/>
        </w:rPr>
        <w:t xml:space="preserve">, J. et al. (2006). Sampling for Natural Resource Monitoring. Springer, Berlin. CV is the recommended metric for </w:t>
      </w:r>
      <w:proofErr w:type="spellStart"/>
      <w:r>
        <w:rPr>
          <w:rFonts w:cs="Arial"/>
          <w:color w:val="444444"/>
          <w:sz w:val="17"/>
          <w:szCs w:val="17"/>
        </w:rPr>
        <w:t>characterising</w:t>
      </w:r>
      <w:proofErr w:type="spellEnd"/>
      <w:r>
        <w:rPr>
          <w:rFonts w:cs="Arial"/>
          <w:color w:val="444444"/>
          <w:sz w:val="17"/>
          <w:szCs w:val="17"/>
        </w:rPr>
        <w:t xml:space="preserve"> within-stratum homogeneity of soil physical properties.</w:t>
      </w:r>
    </w:p>
    <w:p w14:paraId="5D950524" w14:textId="77777777" w:rsidR="00E02E42" w:rsidRDefault="00000000">
      <w:pPr>
        <w:spacing w:after="80"/>
      </w:pPr>
      <w:r>
        <w:rPr>
          <w:rFonts w:cs="Arial"/>
          <w:sz w:val="16"/>
          <w:szCs w:val="16"/>
          <w:vertAlign w:val="superscript"/>
        </w:rPr>
        <w:t>3</w:t>
      </w:r>
      <w:r>
        <w:rPr>
          <w:rFonts w:cs="Arial"/>
          <w:color w:val="444444"/>
          <w:sz w:val="17"/>
          <w:szCs w:val="17"/>
        </w:rPr>
        <w:t xml:space="preserve"> FAO (2020). Measuring and modelling soil carbon stocks and stock changes in livestock production systems. FAO, Rome. CV thresholds for bulk density stratification are discussed in Chapter 4.</w:t>
      </w:r>
    </w:p>
    <w:p w14:paraId="38F31A55" w14:textId="77777777" w:rsidR="00E02E42" w:rsidRDefault="00E02E42">
      <w:pPr>
        <w:pBdr>
          <w:bottom w:val="single" w:sz="6" w:space="1" w:color="2E7D4F"/>
        </w:pBdr>
        <w:spacing w:before="120" w:after="120"/>
      </w:pPr>
    </w:p>
    <w:p w14:paraId="61460A11" w14:textId="77777777" w:rsidR="00E02E42" w:rsidRDefault="00000000">
      <w:pPr>
        <w:pStyle w:val="Heading1"/>
      </w:pPr>
      <w:r>
        <w:rPr>
          <w:sz w:val="21"/>
          <w:szCs w:val="21"/>
        </w:rPr>
        <w:t>Part 2 — Equivalent Soil Mass (ESM): Requirements, Timing, and Additive Sampling</w:t>
      </w:r>
    </w:p>
    <w:p w14:paraId="56FD0A30" w14:textId="77777777" w:rsidR="00E02E42" w:rsidRDefault="00000000">
      <w:pPr>
        <w:pStyle w:val="Heading2"/>
      </w:pPr>
      <w:proofErr w:type="gramStart"/>
      <w:r>
        <w:rPr>
          <w:sz w:val="21"/>
          <w:szCs w:val="21"/>
        </w:rPr>
        <w:t>2.1  What</w:t>
      </w:r>
      <w:proofErr w:type="gramEnd"/>
      <w:r>
        <w:rPr>
          <w:sz w:val="21"/>
          <w:szCs w:val="21"/>
        </w:rPr>
        <w:t xml:space="preserve"> is ESM and Why Does it Matter?</w:t>
      </w:r>
    </w:p>
    <w:p w14:paraId="447CAF60" w14:textId="77777777" w:rsidR="00E02E42" w:rsidRDefault="00000000">
      <w:pPr>
        <w:spacing w:after="160" w:line="276" w:lineRule="auto"/>
        <w:jc w:val="both"/>
      </w:pPr>
      <w:r>
        <w:rPr>
          <w:rFonts w:cs="Arial"/>
        </w:rPr>
        <w:t xml:space="preserve">Soil organic carbon stocks are conventionally expressed per unit area to a fixed depth (e.g., 0–30 cm). However, a fixed depth contains a </w:t>
      </w:r>
      <w:r>
        <w:rPr>
          <w:rFonts w:cs="Arial"/>
          <w:i/>
          <w:iCs/>
        </w:rPr>
        <w:t>different mass of soil</w:t>
      </w:r>
      <w:r>
        <w:rPr>
          <w:rFonts w:cs="Arial"/>
        </w:rPr>
        <w:t xml:space="preserve"> depending on bulk density. If improved land management practices alter BD over time — for example, reduced tillage may change surface BD — </w:t>
      </w:r>
      <w:r>
        <w:rPr>
          <w:rFonts w:cs="Arial"/>
        </w:rPr>
        <w:lastRenderedPageBreak/>
        <w:t xml:space="preserve">then comparing fixed-depth SOC stocks at two time points conflates genuine carbon change with a volumetric artefact. ESM corrects for this by expressing SOC stocks relative to a fixed </w:t>
      </w:r>
      <w:r>
        <w:rPr>
          <w:rFonts w:cs="Arial"/>
          <w:i/>
          <w:iCs/>
        </w:rPr>
        <w:t>mass</w:t>
      </w:r>
      <w:r>
        <w:rPr>
          <w:rFonts w:cs="Arial"/>
        </w:rPr>
        <w:t xml:space="preserve"> of soil rather than a fixed depth.</w:t>
      </w:r>
      <w:r>
        <w:rPr>
          <w:rFonts w:cs="Arial"/>
          <w:sz w:val="16"/>
          <w:szCs w:val="16"/>
          <w:vertAlign w:val="superscript"/>
        </w:rPr>
        <w:t>4</w:t>
      </w:r>
    </w:p>
    <w:p w14:paraId="7E60CAD7" w14:textId="77777777" w:rsidR="00E02E42" w:rsidRDefault="00000000">
      <w:pPr>
        <w:spacing w:after="160" w:line="276" w:lineRule="auto"/>
        <w:jc w:val="both"/>
      </w:pPr>
      <w:r>
        <w:rPr>
          <w:rFonts w:cs="Arial"/>
        </w:rPr>
        <w:t>The ESM approach adopted under VM0042 v2.2 follows the Wendt &amp; Hauser (2013) cubic spline method.</w:t>
      </w:r>
      <w:r>
        <w:rPr>
          <w:rFonts w:cs="Arial"/>
          <w:sz w:val="16"/>
          <w:szCs w:val="16"/>
          <w:vertAlign w:val="superscript"/>
        </w:rPr>
        <w:t>5</w:t>
      </w:r>
      <w:r>
        <w:rPr>
          <w:rFonts w:cs="Arial"/>
        </w:rPr>
        <w:t xml:space="preserve"> The procedure requires a soil mass profile — measurements at two depth increments (0–30 cm and 30–50 cm) — to fit a spline through cumulative soil mass vs. cumulative SOC mass with depth. A single reference soil mass is then defined as the cumulative soil mass to 30 cm of the densest sample in the dataset, and all samples are interpolated to that reference mass for consistent comparison.</w:t>
      </w:r>
    </w:p>
    <w:p w14:paraId="6252998F" w14:textId="77777777" w:rsidR="00E02E42" w:rsidRDefault="00000000">
      <w:pPr>
        <w:pStyle w:val="Heading2"/>
      </w:pPr>
      <w:proofErr w:type="gramStart"/>
      <w:r>
        <w:rPr>
          <w:sz w:val="21"/>
          <w:szCs w:val="21"/>
        </w:rPr>
        <w:t>2.2  When</w:t>
      </w:r>
      <w:proofErr w:type="gramEnd"/>
      <w:r>
        <w:rPr>
          <w:sz w:val="21"/>
          <w:szCs w:val="21"/>
        </w:rPr>
        <w:t xml:space="preserve"> is ESM Required? — Timing Under Approach 1</w:t>
      </w:r>
    </w:p>
    <w:p w14:paraId="15D9DBBE" w14:textId="77777777" w:rsidR="00E02E42" w:rsidRDefault="00000000">
      <w:pPr>
        <w:spacing w:after="160" w:line="276" w:lineRule="auto"/>
        <w:jc w:val="both"/>
      </w:pPr>
      <w:r>
        <w:rPr>
          <w:rFonts w:cs="Arial"/>
        </w:rPr>
        <w:t xml:space="preserve">Under Quantification Approach 1, VM0042 v2.2 Section 8.2.1.3 states that SOC stock changes from direct measurements must be reported on an ESM basis. This requirement applies to the </w:t>
      </w:r>
      <w:r>
        <w:rPr>
          <w:rFonts w:cs="Arial"/>
          <w:b/>
          <w:bCs/>
        </w:rPr>
        <w:t>comparison of SOC stocks across two time periods</w:t>
      </w:r>
      <w:r>
        <w:rPr>
          <w:rFonts w:cs="Arial"/>
        </w:rPr>
        <w:t xml:space="preserve"> — i.e., at model true-up events. The methodology (Table 8) requires remeasurement </w:t>
      </w:r>
      <w:r>
        <w:rPr>
          <w:rFonts w:cs="Arial"/>
          <w:i/>
          <w:iCs/>
        </w:rPr>
        <w:t>“every five years or more frequently”</w:t>
      </w:r>
      <w:r>
        <w:rPr>
          <w:rFonts w:cs="Arial"/>
        </w:rPr>
        <w:t xml:space="preserve"> under Approach 1.</w:t>
      </w:r>
      <w:r>
        <w:rPr>
          <w:rFonts w:cs="Arial"/>
          <w:sz w:val="16"/>
          <w:szCs w:val="16"/>
          <w:vertAlign w:val="superscript"/>
        </w:rPr>
        <w:t>6</w:t>
      </w:r>
    </w:p>
    <w:p w14:paraId="61CFC4DD" w14:textId="77777777" w:rsidR="00E02E42" w:rsidRDefault="00000000">
      <w:pPr>
        <w:spacing w:after="160" w:line="276" w:lineRule="auto"/>
        <w:jc w:val="both"/>
      </w:pPr>
      <w:r>
        <w:rPr>
          <w:rFonts w:cs="Arial"/>
        </w:rPr>
        <w:t xml:space="preserve">At baseline (t=0), soil samples serve a different and more limited purpose: they are </w:t>
      </w:r>
      <w:r>
        <w:rPr>
          <w:rFonts w:cs="Arial"/>
          <w:b/>
          <w:bCs/>
        </w:rPr>
        <w:t xml:space="preserve">model </w:t>
      </w:r>
      <w:proofErr w:type="spellStart"/>
      <w:r>
        <w:rPr>
          <w:rFonts w:cs="Arial"/>
          <w:b/>
          <w:bCs/>
        </w:rPr>
        <w:t>initialisation</w:t>
      </w:r>
      <w:proofErr w:type="spellEnd"/>
      <w:r>
        <w:rPr>
          <w:rFonts w:cs="Arial"/>
          <w:b/>
          <w:bCs/>
        </w:rPr>
        <w:t xml:space="preserve"> inputs</w:t>
      </w:r>
      <w:r>
        <w:rPr>
          <w:rFonts w:cs="Arial"/>
        </w:rPr>
        <w:t xml:space="preserve"> for RothC, requiring SOC content (%) and BD to calculate initial SOC stocks via Equation (4) of VM0042 v2.2:</w:t>
      </w:r>
    </w:p>
    <w:p w14:paraId="7AC03F01" w14:textId="77777777" w:rsidR="00E02E42" w:rsidRDefault="00000000">
      <w:pPr>
        <w:spacing w:before="160" w:after="160"/>
        <w:jc w:val="center"/>
      </w:pPr>
      <w:proofErr w:type="spellStart"/>
      <w:r>
        <w:rPr>
          <w:rFonts w:cs="Arial"/>
          <w:b/>
          <w:bCs/>
        </w:rPr>
        <w:t>SOC</w:t>
      </w:r>
      <w:r>
        <w:rPr>
          <w:rFonts w:cs="Arial"/>
          <w:b/>
          <w:bCs/>
          <w:sz w:val="19"/>
          <w:szCs w:val="19"/>
          <w:vertAlign w:val="subscript"/>
        </w:rPr>
        <w:t>model</w:t>
      </w:r>
      <w:proofErr w:type="spellEnd"/>
      <w:r>
        <w:rPr>
          <w:rFonts w:cs="Arial"/>
          <w:b/>
          <w:bCs/>
        </w:rPr>
        <w:t xml:space="preserve"> = 100 × </w:t>
      </w:r>
      <w:proofErr w:type="spellStart"/>
      <w:r>
        <w:rPr>
          <w:rFonts w:cs="Arial"/>
          <w:b/>
          <w:bCs/>
        </w:rPr>
        <w:t>BD</w:t>
      </w:r>
      <w:r>
        <w:rPr>
          <w:rFonts w:cs="Arial"/>
          <w:b/>
          <w:bCs/>
          <w:sz w:val="19"/>
          <w:szCs w:val="19"/>
          <w:vertAlign w:val="subscript"/>
        </w:rPr>
        <w:t>corr</w:t>
      </w:r>
      <w:proofErr w:type="spellEnd"/>
      <w:r>
        <w:rPr>
          <w:rFonts w:cs="Arial"/>
          <w:b/>
          <w:bCs/>
        </w:rPr>
        <w:t xml:space="preserve"> × d × </w:t>
      </w:r>
      <w:proofErr w:type="spellStart"/>
      <w:proofErr w:type="gramStart"/>
      <w:r>
        <w:rPr>
          <w:rFonts w:cs="Arial"/>
          <w:b/>
          <w:bCs/>
        </w:rPr>
        <w:t>OC</w:t>
      </w:r>
      <w:r>
        <w:rPr>
          <w:rFonts w:cs="Arial"/>
          <w:b/>
          <w:bCs/>
          <w:sz w:val="19"/>
          <w:szCs w:val="19"/>
          <w:vertAlign w:val="subscript"/>
        </w:rPr>
        <w:t>n,dl</w:t>
      </w:r>
      <w:proofErr w:type="spellEnd"/>
      <w:proofErr w:type="gramEnd"/>
    </w:p>
    <w:p w14:paraId="3C3DF8B5" w14:textId="77777777" w:rsidR="00E02E42" w:rsidRDefault="00000000">
      <w:pPr>
        <w:spacing w:after="160" w:line="276" w:lineRule="auto"/>
        <w:jc w:val="both"/>
      </w:pPr>
      <w:r>
        <w:rPr>
          <w:rFonts w:cs="Arial"/>
        </w:rPr>
        <w:t xml:space="preserve">where </w:t>
      </w:r>
      <w:proofErr w:type="spellStart"/>
      <w:r>
        <w:rPr>
          <w:rFonts w:cs="Arial"/>
        </w:rPr>
        <w:t>BD</w:t>
      </w:r>
      <w:r>
        <w:rPr>
          <w:rFonts w:cs="Arial"/>
          <w:vertAlign w:val="subscript"/>
        </w:rPr>
        <w:t>corr</w:t>
      </w:r>
      <w:proofErr w:type="spellEnd"/>
      <w:r>
        <w:rPr>
          <w:rFonts w:cs="Arial"/>
        </w:rPr>
        <w:t xml:space="preserve"> is corrected bulk density of the fine soil fraction (g/cm³), d is soil depth (cm), and </w:t>
      </w:r>
      <w:proofErr w:type="spellStart"/>
      <w:proofErr w:type="gramStart"/>
      <w:r>
        <w:rPr>
          <w:rFonts w:cs="Arial"/>
        </w:rPr>
        <w:t>OC</w:t>
      </w:r>
      <w:r>
        <w:rPr>
          <w:rFonts w:cs="Arial"/>
          <w:vertAlign w:val="subscript"/>
        </w:rPr>
        <w:t>n,dl</w:t>
      </w:r>
      <w:proofErr w:type="spellEnd"/>
      <w:proofErr w:type="gramEnd"/>
      <w:r>
        <w:rPr>
          <w:rFonts w:cs="Arial"/>
        </w:rPr>
        <w:t xml:space="preserve"> is organic carbon content in sample n at depth layer dl. This calculation requires only a single depth layer and does not invoke the ESM cubic spline framework.</w:t>
      </w:r>
    </w:p>
    <w:p w14:paraId="307B0E72" w14:textId="77777777" w:rsidR="00E02E42" w:rsidRDefault="00E02E42">
      <w:pPr>
        <w:spacing w:after="80"/>
      </w:pPr>
    </w:p>
    <w:p w14:paraId="7BE60B52" w14:textId="77777777" w:rsidR="00E02E42" w:rsidRDefault="00000000">
      <w:pPr>
        <w:pBdr>
          <w:left w:val="single" w:sz="18" w:space="8" w:color="2E7D4F"/>
        </w:pBdr>
        <w:shd w:val="clear" w:color="auto" w:fill="E8F5EE"/>
        <w:spacing w:before="80" w:after="60"/>
        <w:ind w:left="240" w:right="240"/>
      </w:pPr>
      <w:r>
        <w:rPr>
          <w:rFonts w:cs="Arial"/>
          <w:b/>
          <w:bCs/>
          <w:color w:val="2E7D4F"/>
        </w:rPr>
        <w:t>Key Finding — Part 2a</w:t>
      </w:r>
    </w:p>
    <w:p w14:paraId="434D35CF" w14:textId="77777777" w:rsidR="00E02E42" w:rsidRDefault="00000000">
      <w:pPr>
        <w:pBdr>
          <w:left w:val="single" w:sz="18" w:space="8" w:color="2E7D4F"/>
        </w:pBdr>
        <w:shd w:val="clear" w:color="auto" w:fill="E8F5EE"/>
        <w:spacing w:after="80"/>
        <w:ind w:left="240" w:right="240"/>
        <w:jc w:val="both"/>
      </w:pPr>
      <w:r>
        <w:rPr>
          <w:rFonts w:cs="Arial"/>
          <w:b/>
          <w:bCs/>
        </w:rPr>
        <w:t xml:space="preserve">The project is not required to have collected two depth increments at t=0 for baseline model </w:t>
      </w:r>
      <w:proofErr w:type="spellStart"/>
      <w:r>
        <w:rPr>
          <w:rFonts w:cs="Arial"/>
          <w:b/>
          <w:bCs/>
        </w:rPr>
        <w:t>initialisation</w:t>
      </w:r>
      <w:proofErr w:type="spellEnd"/>
      <w:r>
        <w:rPr>
          <w:rFonts w:cs="Arial"/>
          <w:b/>
          <w:bCs/>
        </w:rPr>
        <w:t>.</w:t>
      </w:r>
      <w:r>
        <w:rPr>
          <w:rFonts w:cs="Arial"/>
        </w:rPr>
        <w:t xml:space="preserve"> The 0–30 cm composite samples collected in September 2025 are fully adequate as RothC inputs. The two-increment ESM requirement does not apply until the first model true-up, currently anticipated around 2030 (t≈5).</w:t>
      </w:r>
    </w:p>
    <w:p w14:paraId="04162B22" w14:textId="77777777" w:rsidR="00E02E42" w:rsidRDefault="00000000">
      <w:pPr>
        <w:pBdr>
          <w:left w:val="single" w:sz="18" w:space="8" w:color="2E7D4F"/>
        </w:pBdr>
        <w:shd w:val="clear" w:color="auto" w:fill="E8F5EE"/>
        <w:spacing w:after="80"/>
        <w:ind w:left="240" w:right="240"/>
        <w:jc w:val="both"/>
      </w:pPr>
      <w:r>
        <w:rPr>
          <w:rFonts w:cs="Arial"/>
        </w:rPr>
        <w:t>To avoid ambiguity at validation, the monitoring plan should explicitly state that: (</w:t>
      </w:r>
      <w:proofErr w:type="spellStart"/>
      <w:r>
        <w:rPr>
          <w:rFonts w:cs="Arial"/>
        </w:rPr>
        <w:t>i</w:t>
      </w:r>
      <w:proofErr w:type="spellEnd"/>
      <w:r>
        <w:rPr>
          <w:rFonts w:cs="Arial"/>
        </w:rPr>
        <w:t xml:space="preserve">) 0–30 cm composite samples at t=0 </w:t>
      </w:r>
      <w:proofErr w:type="gramStart"/>
      <w:r>
        <w:rPr>
          <w:rFonts w:cs="Arial"/>
        </w:rPr>
        <w:t>are</w:t>
      </w:r>
      <w:proofErr w:type="gramEnd"/>
      <w:r>
        <w:rPr>
          <w:rFonts w:cs="Arial"/>
        </w:rPr>
        <w:t xml:space="preserve"> used solely for model </w:t>
      </w:r>
      <w:proofErr w:type="spellStart"/>
      <w:r>
        <w:rPr>
          <w:rFonts w:cs="Arial"/>
        </w:rPr>
        <w:t>initialisation</w:t>
      </w:r>
      <w:proofErr w:type="spellEnd"/>
      <w:r>
        <w:rPr>
          <w:rFonts w:cs="Arial"/>
        </w:rPr>
        <w:t xml:space="preserve"> per VM0042 v2.2 Table 6; and (ii) two-increment sampling for ESM will be conducted at the first true-up event per Section 8.2.1.3 and Wendt &amp; Hauser (2013).</w:t>
      </w:r>
    </w:p>
    <w:p w14:paraId="61815E2A" w14:textId="77777777" w:rsidR="00E02E42" w:rsidRDefault="00E02E42">
      <w:pPr>
        <w:pBdr>
          <w:left w:val="single" w:sz="18" w:space="8" w:color="2E7D4F"/>
        </w:pBdr>
        <w:shd w:val="clear" w:color="auto" w:fill="E8F5EE"/>
        <w:spacing w:after="200"/>
        <w:ind w:left="240" w:right="240"/>
      </w:pPr>
    </w:p>
    <w:p w14:paraId="3B064E8B" w14:textId="77777777" w:rsidR="00E02E42" w:rsidRDefault="00000000">
      <w:pPr>
        <w:pStyle w:val="Heading2"/>
      </w:pPr>
      <w:proofErr w:type="gramStart"/>
      <w:r>
        <w:rPr>
          <w:sz w:val="21"/>
          <w:szCs w:val="21"/>
        </w:rPr>
        <w:t>2.3  Can</w:t>
      </w:r>
      <w:proofErr w:type="gramEnd"/>
      <w:r>
        <w:rPr>
          <w:sz w:val="21"/>
          <w:szCs w:val="21"/>
        </w:rPr>
        <w:t xml:space="preserve"> the 30–50 cm BD Collection Occur Separately from the t=0 SOC Sampling?</w:t>
      </w:r>
    </w:p>
    <w:p w14:paraId="7C0009CD" w14:textId="77777777" w:rsidR="00E02E42" w:rsidRDefault="00000000">
      <w:pPr>
        <w:spacing w:after="160" w:line="276" w:lineRule="auto"/>
        <w:jc w:val="both"/>
      </w:pPr>
      <w:r>
        <w:rPr>
          <w:rFonts w:cs="Arial"/>
        </w:rPr>
        <w:t xml:space="preserve">A key practical question is whether the supplemental 30–50 cm BD cores required for ESM baseline </w:t>
      </w:r>
      <w:proofErr w:type="spellStart"/>
      <w:r>
        <w:rPr>
          <w:rFonts w:cs="Arial"/>
        </w:rPr>
        <w:t>characterisation</w:t>
      </w:r>
      <w:proofErr w:type="spellEnd"/>
      <w:r>
        <w:rPr>
          <w:rFonts w:cs="Arial"/>
        </w:rPr>
        <w:t xml:space="preserve"> (see Section 2.5) may be collected at a different time than the original September 2025 SOC sampling campaign. The answer is </w:t>
      </w:r>
      <w:r>
        <w:rPr>
          <w:rFonts w:cs="Arial"/>
          <w:b/>
          <w:bCs/>
        </w:rPr>
        <w:t>yes</w:t>
      </w:r>
      <w:r>
        <w:rPr>
          <w:rFonts w:cs="Arial"/>
        </w:rPr>
        <w:t>, subject to the conditions set out below.</w:t>
      </w:r>
    </w:p>
    <w:p w14:paraId="2884FF7A" w14:textId="77777777" w:rsidR="00E02E42" w:rsidRDefault="00000000">
      <w:pPr>
        <w:spacing w:after="160" w:line="276" w:lineRule="auto"/>
        <w:jc w:val="both"/>
      </w:pPr>
      <w:r>
        <w:rPr>
          <w:rFonts w:cs="Arial"/>
        </w:rPr>
        <w:t xml:space="preserve">VM0042 v2.2 Section 8.2.1.3 uses the qualifier </w:t>
      </w:r>
      <w:r>
        <w:rPr>
          <w:rFonts w:cs="Arial"/>
          <w:i/>
          <w:iCs/>
        </w:rPr>
        <w:t>“where possible”</w:t>
      </w:r>
      <w:r>
        <w:rPr>
          <w:rFonts w:cs="Arial"/>
        </w:rPr>
        <w:t xml:space="preserve"> when specifying that SOC content and soil mass should be obtained from the same sample.</w:t>
      </w:r>
      <w:r>
        <w:rPr>
          <w:rFonts w:cs="Arial"/>
          <w:sz w:val="16"/>
          <w:szCs w:val="16"/>
          <w:vertAlign w:val="superscript"/>
        </w:rPr>
        <w:t>1</w:t>
      </w:r>
      <w:r>
        <w:rPr>
          <w:rFonts w:cs="Arial"/>
        </w:rPr>
        <w:t xml:space="preserve"> This language explicitly acknowledges operational and logistical constraints and does not impose a strict co-sampling requirement. The 30–50 cm BD cores are not collected for SOC analysis — they are needed only to </w:t>
      </w:r>
      <w:proofErr w:type="spellStart"/>
      <w:r>
        <w:rPr>
          <w:rFonts w:cs="Arial"/>
        </w:rPr>
        <w:t>characterise</w:t>
      </w:r>
      <w:proofErr w:type="spellEnd"/>
      <w:r>
        <w:rPr>
          <w:rFonts w:cs="Arial"/>
        </w:rPr>
        <w:t xml:space="preserve"> the subsoil BD profile for the ESM soil mass computation. Because subsoil BD (below the tillage zone, &gt;25 cm) is a relatively stable physical property that does not respond rapidly to management changes,</w:t>
      </w:r>
      <w:r>
        <w:rPr>
          <w:rFonts w:cs="Arial"/>
          <w:sz w:val="16"/>
          <w:szCs w:val="16"/>
          <w:vertAlign w:val="superscript"/>
        </w:rPr>
        <w:t>7</w:t>
      </w:r>
      <w:r>
        <w:rPr>
          <w:rFonts w:cs="Arial"/>
        </w:rPr>
        <w:t xml:space="preserve"> a short time lag between the SOC sampling event and the supplemental BD collection does not materially compromise the baseline soil mass profile.</w:t>
      </w:r>
    </w:p>
    <w:p w14:paraId="1149A47E" w14:textId="77777777" w:rsidR="00E02E42" w:rsidRDefault="00000000">
      <w:pPr>
        <w:spacing w:after="160" w:line="276" w:lineRule="auto"/>
        <w:jc w:val="both"/>
      </w:pPr>
      <w:r>
        <w:rPr>
          <w:rFonts w:cs="Arial"/>
        </w:rPr>
        <w:lastRenderedPageBreak/>
        <w:t>The following conditions must be met to ensure the separate-timing approach is defensible at validation:</w:t>
      </w:r>
    </w:p>
    <w:p w14:paraId="51383FF4" w14:textId="77777777" w:rsidR="00E02E42" w:rsidRDefault="00000000">
      <w:pPr>
        <w:pStyle w:val="ListParagraph"/>
        <w:numPr>
          <w:ilvl w:val="0"/>
          <w:numId w:val="2"/>
        </w:numPr>
        <w:spacing w:line="276" w:lineRule="auto"/>
        <w:jc w:val="both"/>
      </w:pPr>
      <w:r>
        <w:rPr>
          <w:b/>
          <w:bCs/>
        </w:rPr>
        <w:t xml:space="preserve">Spatial co-location: </w:t>
      </w:r>
      <w:r>
        <w:t>The 30–50 cm BD cores must be taken within 1–2 m of the GPS-georeferenced t=0 SOC sample points, so that the two depth increments are spatially paired for the ESM profile.</w:t>
      </w:r>
    </w:p>
    <w:p w14:paraId="75FA46BC" w14:textId="77777777" w:rsidR="00E02E42" w:rsidRDefault="00000000">
      <w:pPr>
        <w:pStyle w:val="ListParagraph"/>
        <w:numPr>
          <w:ilvl w:val="0"/>
          <w:numId w:val="2"/>
        </w:numPr>
        <w:spacing w:line="276" w:lineRule="auto"/>
        <w:jc w:val="both"/>
      </w:pPr>
      <w:r>
        <w:rPr>
          <w:b/>
          <w:bCs/>
        </w:rPr>
        <w:t xml:space="preserve">Minimal time lag: </w:t>
      </w:r>
      <w:r>
        <w:t>The supplemental cores should be collected as soon as practicable and no later than the project validation event (planned March 2026). A gap of a few months is unlikely to alter subsoil BD materially; any gap exceeding one growing season should be documented and justified.</w:t>
      </w:r>
    </w:p>
    <w:p w14:paraId="1D7884FF" w14:textId="77777777" w:rsidR="00E02E42" w:rsidRDefault="00000000">
      <w:pPr>
        <w:pStyle w:val="ListParagraph"/>
        <w:numPr>
          <w:ilvl w:val="0"/>
          <w:numId w:val="2"/>
        </w:numPr>
        <w:spacing w:line="276" w:lineRule="auto"/>
        <w:jc w:val="both"/>
      </w:pPr>
      <w:r>
        <w:rPr>
          <w:b/>
          <w:bCs/>
        </w:rPr>
        <w:t xml:space="preserve">Documentation: </w:t>
      </w:r>
      <w:r>
        <w:t>The monitoring plan and project description should explicitly state the timing and rationale for the separate BD collection, the GPS locations used, and the basis for concluding that subsoil BD has not changed materially between the two collection events.</w:t>
      </w:r>
    </w:p>
    <w:p w14:paraId="3392F74A" w14:textId="77777777" w:rsidR="00E02E42" w:rsidRDefault="00000000">
      <w:pPr>
        <w:pStyle w:val="ListParagraph"/>
        <w:numPr>
          <w:ilvl w:val="0"/>
          <w:numId w:val="2"/>
        </w:numPr>
        <w:spacing w:line="276" w:lineRule="auto"/>
        <w:jc w:val="both"/>
      </w:pPr>
      <w:r>
        <w:rPr>
          <w:b/>
          <w:bCs/>
        </w:rPr>
        <w:t xml:space="preserve">No SOC re-analysis required: </w:t>
      </w:r>
      <w:r>
        <w:t>The 30–50 cm cores are for BD measurement only. No laboratory SOC analysis is required, keeping the supplemental campaign low-cost.</w:t>
      </w:r>
    </w:p>
    <w:p w14:paraId="2825A4C1" w14:textId="77777777" w:rsidR="00E02E42" w:rsidRDefault="00E02E42">
      <w:pPr>
        <w:spacing w:after="80"/>
      </w:pPr>
    </w:p>
    <w:p w14:paraId="4FF08C9C" w14:textId="7C1C0DD3" w:rsidR="00953511" w:rsidRPr="00953511" w:rsidRDefault="00953511">
      <w:pPr>
        <w:spacing w:after="80"/>
      </w:pPr>
      <w:r w:rsidRPr="00953511">
        <w:rPr>
          <w:b/>
          <w:bCs/>
          <w:i/>
          <w:iCs/>
        </w:rPr>
        <w:t>Why seasonality doesn’t affect bulk density</w:t>
      </w:r>
      <w:r w:rsidRPr="00953511">
        <w:t>:</w:t>
      </w:r>
    </w:p>
    <w:p w14:paraId="720C3A08" w14:textId="48C5DDE1" w:rsidR="00953511" w:rsidRPr="00953511" w:rsidRDefault="00953511" w:rsidP="00953511">
      <w:pPr>
        <w:spacing w:after="80"/>
        <w:jc w:val="both"/>
      </w:pPr>
      <w:r w:rsidRPr="00953511">
        <w:t>Critically, bulk density is defined using the oven-dry mass of soil, meaning that all moisture is removed prior to measurement. As such, it represents only the mass of soil solids relative to the total volume, excluding any contribution from water. This standardization ensures that bulk density is an intrinsic physical property of the soil’s structure and packing, rather than a function of its transient moisture content.</w:t>
      </w:r>
      <w:r w:rsidRPr="00953511">
        <w:t xml:space="preserve"> </w:t>
      </w:r>
      <w:r w:rsidRPr="00953511">
        <w:t>Although soil water content may influence field sampling conditions or cause minor volume changes in shrink–swell soils, these effects are methodological rather than conceptual. When properly measured (i.e., using undisturbed cores and oven-drying), bulk density remains independent of soil moisture.</w:t>
      </w:r>
      <w:r w:rsidRPr="00953511">
        <w:t xml:space="preserve"> </w:t>
      </w:r>
      <w:r w:rsidRPr="00953511">
        <w:t>Therefore, comparing bulk density measurements across seasons</w:t>
      </w:r>
      <w:r w:rsidRPr="00953511">
        <w:t xml:space="preserve"> </w:t>
      </w:r>
      <w:r w:rsidRPr="00953511">
        <w:t>—</w:t>
      </w:r>
      <w:r w:rsidRPr="00953511">
        <w:t xml:space="preserve"> </w:t>
      </w:r>
      <w:r w:rsidRPr="00953511">
        <w:t>such as between wet and dry periods in the western highlands of Kenya</w:t>
      </w:r>
      <w:r w:rsidRPr="00953511">
        <w:t xml:space="preserve"> </w:t>
      </w:r>
      <w:r w:rsidRPr="00953511">
        <w:t>—</w:t>
      </w:r>
      <w:r w:rsidRPr="00953511">
        <w:t xml:space="preserve"> </w:t>
      </w:r>
      <w:r w:rsidRPr="00953511">
        <w:t>is scientifically valid, provided that consistent sampling and drying protocols are followed. Seasonal differences in moisture do not directly affect bulk density values, allowing for meaningful comparison of soil structural conditions over time.</w:t>
      </w:r>
    </w:p>
    <w:p w14:paraId="25B5418F" w14:textId="77777777" w:rsidR="00953511" w:rsidRDefault="00953511">
      <w:pPr>
        <w:spacing w:after="80"/>
      </w:pPr>
    </w:p>
    <w:p w14:paraId="472E55E8" w14:textId="77777777" w:rsidR="00E02E42" w:rsidRDefault="00000000">
      <w:pPr>
        <w:pBdr>
          <w:left w:val="single" w:sz="18" w:space="8" w:color="2E7D4F"/>
        </w:pBdr>
        <w:shd w:val="clear" w:color="auto" w:fill="E8F5EE"/>
        <w:spacing w:before="80" w:after="60"/>
        <w:ind w:left="240" w:right="240"/>
      </w:pPr>
      <w:r>
        <w:rPr>
          <w:rFonts w:cs="Arial"/>
          <w:b/>
          <w:bCs/>
          <w:color w:val="2E7D4F"/>
        </w:rPr>
        <w:t>Key Finding — Part 2b (Timing)</w:t>
      </w:r>
    </w:p>
    <w:p w14:paraId="57A27E4C" w14:textId="77777777" w:rsidR="00E02E42" w:rsidRDefault="00000000">
      <w:pPr>
        <w:pBdr>
          <w:left w:val="single" w:sz="18" w:space="8" w:color="2E7D4F"/>
        </w:pBdr>
        <w:shd w:val="clear" w:color="auto" w:fill="E8F5EE"/>
        <w:spacing w:after="80"/>
        <w:ind w:left="240" w:right="240"/>
        <w:jc w:val="both"/>
      </w:pPr>
      <w:r>
        <w:rPr>
          <w:rFonts w:cs="Arial"/>
        </w:rPr>
        <w:t xml:space="preserve">VM0042 v2.2 does not prohibit separate-timing BD collection for ESM baseline </w:t>
      </w:r>
      <w:proofErr w:type="spellStart"/>
      <w:r>
        <w:rPr>
          <w:rFonts w:cs="Arial"/>
        </w:rPr>
        <w:t>characterisation</w:t>
      </w:r>
      <w:proofErr w:type="spellEnd"/>
      <w:r>
        <w:rPr>
          <w:rFonts w:cs="Arial"/>
        </w:rPr>
        <w:t>. The 30–50 cm BD cores required for ESM at t=5 may be collected in a dedicated low-cost field campaign prior to validation, provided they are spatially co-located with the t=0 SOC sample points (within 1–2 m GPS), the time lag is documented and justified, and the monitoring plan explicitly describes this approach.</w:t>
      </w:r>
    </w:p>
    <w:p w14:paraId="0FD3FB5C" w14:textId="77777777" w:rsidR="00E02E42" w:rsidRDefault="00000000">
      <w:pPr>
        <w:pBdr>
          <w:left w:val="single" w:sz="18" w:space="8" w:color="2E7D4F"/>
        </w:pBdr>
        <w:shd w:val="clear" w:color="auto" w:fill="E8F5EE"/>
        <w:spacing w:after="80"/>
        <w:ind w:left="240" w:right="240"/>
        <w:jc w:val="both"/>
      </w:pPr>
      <w:r>
        <w:rPr>
          <w:rFonts w:cs="Arial"/>
        </w:rPr>
        <w:t>No SOC laboratory analysis is required on the additional cores.</w:t>
      </w:r>
    </w:p>
    <w:p w14:paraId="525EB26A" w14:textId="77777777" w:rsidR="00E02E42" w:rsidRDefault="00E02E42">
      <w:pPr>
        <w:pBdr>
          <w:left w:val="single" w:sz="18" w:space="8" w:color="2E7D4F"/>
        </w:pBdr>
        <w:shd w:val="clear" w:color="auto" w:fill="E8F5EE"/>
        <w:spacing w:after="200"/>
        <w:ind w:left="240" w:right="240"/>
      </w:pPr>
    </w:p>
    <w:p w14:paraId="15EF7CFA" w14:textId="77777777" w:rsidR="00E02E42" w:rsidRDefault="00000000">
      <w:pPr>
        <w:pStyle w:val="Heading2"/>
      </w:pPr>
      <w:r>
        <w:rPr>
          <w:sz w:val="21"/>
          <w:szCs w:val="21"/>
        </w:rPr>
        <w:t>2.4  Stratum-Specific Minimum Sample Sizes for 30–50 cm BD Sampling</w:t>
      </w:r>
    </w:p>
    <w:p w14:paraId="1F9A4EF3" w14:textId="77777777" w:rsidR="00E02E42" w:rsidRDefault="00000000">
      <w:pPr>
        <w:spacing w:after="160" w:line="276" w:lineRule="auto"/>
        <w:jc w:val="both"/>
      </w:pPr>
      <w:r>
        <w:rPr>
          <w:rFonts w:cs="Arial"/>
        </w:rPr>
        <w:t xml:space="preserve">VM0042 v2.2 does not prescribe a specific sample count for supplemental BD </w:t>
      </w:r>
      <w:proofErr w:type="spellStart"/>
      <w:r>
        <w:rPr>
          <w:rFonts w:cs="Arial"/>
        </w:rPr>
        <w:t>characterisation</w:t>
      </w:r>
      <w:proofErr w:type="spellEnd"/>
      <w:r>
        <w:rPr>
          <w:rFonts w:cs="Arial"/>
        </w:rPr>
        <w:t>. The appropriate number is determined by the precision required to estimate stratum-mean BD at 30–50 cm. Since subsoil BD is a relatively stable physical property below the tillage zone, variability is typically lower than at the surface.</w:t>
      </w:r>
      <w:r>
        <w:rPr>
          <w:rFonts w:cs="Arial"/>
          <w:sz w:val="16"/>
          <w:szCs w:val="16"/>
          <w:vertAlign w:val="superscript"/>
        </w:rPr>
        <w:t>7</w:t>
      </w:r>
      <w:r>
        <w:rPr>
          <w:rFonts w:cs="Arial"/>
        </w:rPr>
        <w:t xml:space="preserve"> We apply the standard precision-target sample size formula recommended in FAO (2019):</w:t>
      </w:r>
      <w:r>
        <w:rPr>
          <w:rFonts w:cs="Arial"/>
          <w:sz w:val="16"/>
          <w:szCs w:val="16"/>
          <w:vertAlign w:val="superscript"/>
        </w:rPr>
        <w:t>8</w:t>
      </w:r>
    </w:p>
    <w:p w14:paraId="7DD388BB" w14:textId="77777777" w:rsidR="00E02E42" w:rsidRDefault="00000000">
      <w:pPr>
        <w:spacing w:before="160" w:after="160"/>
        <w:jc w:val="center"/>
      </w:pPr>
      <w:r>
        <w:rPr>
          <w:rFonts w:cs="Arial"/>
          <w:b/>
          <w:bCs/>
        </w:rPr>
        <w:t>n ≥ (t</w:t>
      </w:r>
      <w:r>
        <w:rPr>
          <w:rFonts w:cs="Arial"/>
          <w:b/>
          <w:bCs/>
          <w:sz w:val="22"/>
          <w:szCs w:val="22"/>
          <w:vertAlign w:val="subscript"/>
        </w:rPr>
        <w:t>α</w:t>
      </w:r>
      <w:r>
        <w:rPr>
          <w:rFonts w:cs="Arial"/>
          <w:b/>
          <w:bCs/>
        </w:rPr>
        <w:t xml:space="preserve"> × CV / </w:t>
      </w:r>
      <w:proofErr w:type="gramStart"/>
      <w:r>
        <w:rPr>
          <w:rFonts w:cs="Arial"/>
          <w:b/>
          <w:bCs/>
        </w:rPr>
        <w:t>p)²</w:t>
      </w:r>
      <w:proofErr w:type="gramEnd"/>
      <w:r>
        <w:rPr>
          <w:rFonts w:cs="Arial"/>
          <w:b/>
          <w:bCs/>
        </w:rPr>
        <w:t xml:space="preserve">     … (Equation 1)</w:t>
      </w:r>
    </w:p>
    <w:p w14:paraId="37316093" w14:textId="77777777" w:rsidR="00E02E42" w:rsidRDefault="00000000">
      <w:pPr>
        <w:spacing w:after="160" w:line="276" w:lineRule="auto"/>
        <w:jc w:val="both"/>
      </w:pPr>
      <w:r>
        <w:rPr>
          <w:rFonts w:cs="Arial"/>
        </w:rPr>
        <w:t xml:space="preserve">Critically, rather than applying a single conservative CV across all strata (as would be the case if the worst-case </w:t>
      </w:r>
      <w:proofErr w:type="spellStart"/>
      <w:r>
        <w:rPr>
          <w:rFonts w:cs="Arial"/>
        </w:rPr>
        <w:t>NTu</w:t>
      </w:r>
      <w:proofErr w:type="spellEnd"/>
      <w:r>
        <w:rPr>
          <w:rFonts w:cs="Arial"/>
        </w:rPr>
        <w:t xml:space="preserve"> value of 8.7% were used uniformly), this note applies a </w:t>
      </w:r>
      <w:r>
        <w:rPr>
          <w:rFonts w:cs="Arial"/>
          <w:b/>
          <w:bCs/>
        </w:rPr>
        <w:t>stratum-specific CV</w:t>
      </w:r>
      <w:r>
        <w:rPr>
          <w:rFonts w:cs="Arial"/>
        </w:rPr>
        <w:t xml:space="preserve"> from the actual project dataset for each stratum. This is the more appropriate approach since each stratum </w:t>
      </w:r>
      <w:r>
        <w:rPr>
          <w:rFonts w:cs="Arial"/>
        </w:rPr>
        <w:lastRenderedPageBreak/>
        <w:t xml:space="preserve">has its own measured BD variability, and applying an inflated CV to the </w:t>
      </w:r>
      <w:proofErr w:type="spellStart"/>
      <w:r>
        <w:rPr>
          <w:rFonts w:cs="Arial"/>
        </w:rPr>
        <w:t>NTh</w:t>
      </w:r>
      <w:proofErr w:type="spellEnd"/>
      <w:r>
        <w:rPr>
          <w:rFonts w:cs="Arial"/>
        </w:rPr>
        <w:t xml:space="preserve"> stratum — which is both the lowest-variance and smallest-area stratum — would be unnecessarily conservative.</w:t>
      </w:r>
    </w:p>
    <w:p w14:paraId="7C52BDCB" w14:textId="77777777" w:rsidR="00E02E42" w:rsidRDefault="00E02E4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300"/>
        <w:gridCol w:w="900"/>
        <w:gridCol w:w="1400"/>
        <w:gridCol w:w="1463"/>
        <w:gridCol w:w="1463"/>
      </w:tblGrid>
      <w:tr w:rsidR="00E02E42" w14:paraId="29149AFD" w14:textId="77777777">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D47FF26" w14:textId="77777777" w:rsidR="00E02E42" w:rsidRDefault="00000000">
            <w:pPr>
              <w:jc w:val="center"/>
            </w:pPr>
            <w:r>
              <w:rPr>
                <w:rFonts w:cs="Arial"/>
                <w:b/>
                <w:bCs/>
                <w:color w:val="FFFFFF"/>
                <w:sz w:val="19"/>
                <w:szCs w:val="19"/>
              </w:rPr>
              <w:t>Soil Stratum</w:t>
            </w:r>
            <w:r>
              <w:rPr>
                <w:rFonts w:cs="Arial"/>
                <w:b/>
                <w:bCs/>
                <w:color w:val="FFFFFF"/>
                <w:sz w:val="19"/>
                <w:szCs w:val="19"/>
              </w:rPr>
              <w:br/>
              <w:t>(FAO Code)</w:t>
            </w:r>
          </w:p>
        </w:tc>
        <w:tc>
          <w:tcPr>
            <w:tcW w:w="12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1E140596" w14:textId="77777777" w:rsidR="00E02E42" w:rsidRDefault="00000000">
            <w:pPr>
              <w:jc w:val="center"/>
            </w:pPr>
            <w:r>
              <w:rPr>
                <w:rFonts w:cs="Arial"/>
                <w:b/>
                <w:bCs/>
                <w:color w:val="FFFFFF"/>
                <w:sz w:val="19"/>
                <w:szCs w:val="19"/>
              </w:rPr>
              <w:t>CV (%)</w:t>
            </w:r>
            <w:r>
              <w:rPr>
                <w:rFonts w:cs="Arial"/>
                <w:b/>
                <w:bCs/>
                <w:color w:val="FFFFFF"/>
                <w:sz w:val="19"/>
                <w:szCs w:val="19"/>
              </w:rPr>
              <w:br/>
              <w:t>(0–30 cm)</w:t>
            </w:r>
          </w:p>
        </w:tc>
        <w:tc>
          <w:tcPr>
            <w:tcW w:w="13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127087D" w14:textId="77777777" w:rsidR="00E02E42" w:rsidRDefault="00000000">
            <w:pPr>
              <w:jc w:val="center"/>
            </w:pPr>
            <w:r>
              <w:rPr>
                <w:rFonts w:cs="Arial"/>
                <w:b/>
                <w:bCs/>
                <w:color w:val="FFFFFF"/>
                <w:sz w:val="19"/>
                <w:szCs w:val="19"/>
              </w:rPr>
              <w:t>Precision</w:t>
            </w:r>
            <w:r>
              <w:rPr>
                <w:rFonts w:cs="Arial"/>
                <w:b/>
                <w:bCs/>
                <w:color w:val="FFFFFF"/>
                <w:sz w:val="19"/>
                <w:szCs w:val="19"/>
              </w:rPr>
              <w:br/>
              <w:t>Target (p)</w:t>
            </w:r>
          </w:p>
        </w:tc>
        <w:tc>
          <w:tcPr>
            <w:tcW w:w="9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517D5157" w14:textId="77777777" w:rsidR="00E02E42" w:rsidRDefault="00000000">
            <w:pPr>
              <w:jc w:val="center"/>
            </w:pPr>
            <w:r>
              <w:rPr>
                <w:rFonts w:cs="Arial"/>
                <w:b/>
                <w:bCs/>
                <w:color w:val="FFFFFF"/>
                <w:sz w:val="19"/>
                <w:szCs w:val="19"/>
              </w:rPr>
              <w:t>t</w:t>
            </w:r>
            <w:r w:rsidRPr="006709F8">
              <w:rPr>
                <w:rFonts w:cs="Arial"/>
                <w:b/>
                <w:bCs/>
                <w:color w:val="FFFFFF"/>
                <w:sz w:val="19"/>
                <w:szCs w:val="19"/>
                <w:vertAlign w:val="subscript"/>
              </w:rPr>
              <w:t>α</w:t>
            </w:r>
          </w:p>
        </w:tc>
        <w:tc>
          <w:tcPr>
            <w:tcW w:w="14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4FA65DB5" w14:textId="77777777" w:rsidR="00E02E42" w:rsidRDefault="00000000">
            <w:pPr>
              <w:jc w:val="center"/>
            </w:pPr>
            <w:r>
              <w:rPr>
                <w:rFonts w:cs="Arial"/>
                <w:b/>
                <w:bCs/>
                <w:color w:val="FFFFFF"/>
                <w:sz w:val="19"/>
                <w:szCs w:val="19"/>
              </w:rPr>
              <w:t>n (calculated)</w:t>
            </w:r>
          </w:p>
        </w:tc>
        <w:tc>
          <w:tcPr>
            <w:tcW w:w="1463"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3C65CBA9" w14:textId="77777777" w:rsidR="00E02E42" w:rsidRDefault="00000000">
            <w:pPr>
              <w:jc w:val="center"/>
            </w:pPr>
            <w:r>
              <w:rPr>
                <w:rFonts w:cs="Arial"/>
                <w:b/>
                <w:bCs/>
                <w:color w:val="FFFFFF"/>
                <w:sz w:val="19"/>
                <w:szCs w:val="19"/>
              </w:rPr>
              <w:t>n (adopted)</w:t>
            </w:r>
            <w:r>
              <w:rPr>
                <w:rFonts w:cs="Arial"/>
                <w:b/>
                <w:bCs/>
                <w:color w:val="FFFFFF"/>
                <w:sz w:val="19"/>
                <w:szCs w:val="19"/>
              </w:rPr>
              <w:br/>
              <w:t>0–30 cm BD</w:t>
            </w:r>
          </w:p>
        </w:tc>
        <w:tc>
          <w:tcPr>
            <w:tcW w:w="1463"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2842E33E" w14:textId="77777777" w:rsidR="00E02E42" w:rsidRDefault="00000000">
            <w:pPr>
              <w:jc w:val="center"/>
            </w:pPr>
            <w:r>
              <w:rPr>
                <w:rFonts w:cs="Arial"/>
                <w:b/>
                <w:bCs/>
                <w:color w:val="FFFFFF"/>
                <w:sz w:val="19"/>
                <w:szCs w:val="19"/>
              </w:rPr>
              <w:t>n (adopted)</w:t>
            </w:r>
            <w:r>
              <w:rPr>
                <w:rFonts w:cs="Arial"/>
                <w:b/>
                <w:bCs/>
                <w:color w:val="FFFFFF"/>
                <w:sz w:val="19"/>
                <w:szCs w:val="19"/>
              </w:rPr>
              <w:br/>
              <w:t>30–50 cm BD</w:t>
            </w:r>
          </w:p>
        </w:tc>
      </w:tr>
      <w:tr w:rsidR="00E02E42" w14:paraId="739B74EC"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8AB11B" w14:textId="77777777" w:rsidR="00E02E42" w:rsidRDefault="00000000">
            <w:pPr>
              <w:jc w:val="center"/>
            </w:pPr>
            <w:proofErr w:type="spellStart"/>
            <w:r>
              <w:rPr>
                <w:rFonts w:cs="Arial"/>
                <w:color w:val="111111"/>
                <w:sz w:val="19"/>
                <w:szCs w:val="19"/>
              </w:rPr>
              <w:t>ANm</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B92070" w14:textId="77777777" w:rsidR="00E02E42" w:rsidRDefault="00000000">
            <w:pPr>
              <w:jc w:val="center"/>
            </w:pPr>
            <w:r>
              <w:rPr>
                <w:rFonts w:cs="Arial"/>
                <w:color w:val="111111"/>
                <w:sz w:val="19"/>
                <w:szCs w:val="19"/>
              </w:rPr>
              <w:t>6.8%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1E5B68" w14:textId="77777777" w:rsidR="00E02E42" w:rsidRDefault="00000000">
            <w:pPr>
              <w:jc w:val="center"/>
            </w:pPr>
            <w:r>
              <w:rPr>
                <w:rFonts w:cs="Arial"/>
                <w:color w:val="111111"/>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A55BC8" w14:textId="77777777" w:rsidR="00E02E42" w:rsidRDefault="00000000">
            <w:pPr>
              <w:jc w:val="center"/>
            </w:pPr>
            <w:r>
              <w:rPr>
                <w:rFonts w:cs="Arial"/>
                <w:color w:val="111111"/>
                <w:sz w:val="19"/>
                <w:szCs w:val="19"/>
              </w:rPr>
              <w:t>1.96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EC792" w14:textId="77777777" w:rsidR="00E02E42" w:rsidRDefault="00000000">
            <w:pPr>
              <w:jc w:val="center"/>
            </w:pPr>
            <w:r>
              <w:rPr>
                <w:rFonts w:cs="Arial"/>
                <w:color w:val="111111"/>
                <w:sz w:val="19"/>
                <w:szCs w:val="19"/>
              </w:rPr>
              <w:t>8</w:t>
            </w:r>
          </w:p>
        </w:tc>
        <w:tc>
          <w:tcPr>
            <w:tcW w:w="14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FB038E" w14:textId="77777777" w:rsidR="00E02E42" w:rsidRDefault="00000000">
            <w:pPr>
              <w:jc w:val="center"/>
            </w:pPr>
            <w:r>
              <w:rPr>
                <w:rFonts w:cs="Arial"/>
                <w:color w:val="111111"/>
                <w:sz w:val="19"/>
                <w:szCs w:val="19"/>
              </w:rPr>
              <w:t>14</w:t>
            </w:r>
          </w:p>
        </w:tc>
        <w:tc>
          <w:tcPr>
            <w:tcW w:w="14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C43E6C" w14:textId="77777777" w:rsidR="00E02E42" w:rsidRDefault="00000000">
            <w:pPr>
              <w:jc w:val="center"/>
            </w:pPr>
            <w:r>
              <w:rPr>
                <w:rFonts w:cs="Arial"/>
                <w:color w:val="111111"/>
                <w:sz w:val="19"/>
                <w:szCs w:val="19"/>
              </w:rPr>
              <w:t>8</w:t>
            </w:r>
          </w:p>
        </w:tc>
      </w:tr>
      <w:tr w:rsidR="00E02E42" w14:paraId="35EEA74B"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2DE16AB6" w14:textId="77777777" w:rsidR="00E02E42" w:rsidRDefault="00000000">
            <w:pPr>
              <w:jc w:val="center"/>
            </w:pPr>
            <w:proofErr w:type="spellStart"/>
            <w:r>
              <w:rPr>
                <w:rFonts w:cs="Arial"/>
                <w:color w:val="111111"/>
                <w:sz w:val="19"/>
                <w:szCs w:val="19"/>
              </w:rPr>
              <w:t>NTu</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3BC78E07" w14:textId="77777777" w:rsidR="00E02E42" w:rsidRDefault="00000000">
            <w:pPr>
              <w:jc w:val="center"/>
            </w:pPr>
            <w:r>
              <w:rPr>
                <w:rFonts w:cs="Arial"/>
                <w:color w:val="111111"/>
                <w:sz w:val="19"/>
                <w:szCs w:val="19"/>
              </w:rPr>
              <w:t>8.7%</w:t>
            </w:r>
          </w:p>
        </w:tc>
        <w:tc>
          <w:tcPr>
            <w:tcW w:w="13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71A06813" w14:textId="77777777" w:rsidR="00E02E42" w:rsidRDefault="00000000">
            <w:pPr>
              <w:jc w:val="center"/>
            </w:pPr>
            <w:r>
              <w:rPr>
                <w:rFonts w:cs="Arial"/>
                <w:color w:val="111111"/>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31C59052" w14:textId="77777777" w:rsidR="00E02E42" w:rsidRDefault="00000000">
            <w:pPr>
              <w:jc w:val="center"/>
            </w:pPr>
            <w:r>
              <w:rPr>
                <w:rFonts w:cs="Arial"/>
                <w:color w:val="111111"/>
                <w:sz w:val="19"/>
                <w:szCs w:val="19"/>
              </w:rPr>
              <w:t>1.96</w:t>
            </w:r>
          </w:p>
        </w:tc>
        <w:tc>
          <w:tcPr>
            <w:tcW w:w="14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033E7787" w14:textId="77777777" w:rsidR="00E02E42" w:rsidRDefault="00000000">
            <w:pPr>
              <w:jc w:val="center"/>
            </w:pPr>
            <w:r>
              <w:rPr>
                <w:rFonts w:cs="Arial"/>
                <w:color w:val="111111"/>
                <w:sz w:val="19"/>
                <w:szCs w:val="19"/>
              </w:rPr>
              <w:t>12</w:t>
            </w:r>
          </w:p>
        </w:tc>
        <w:tc>
          <w:tcPr>
            <w:tcW w:w="1463"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0E7C3270" w14:textId="77777777" w:rsidR="00E02E42" w:rsidRDefault="00000000">
            <w:pPr>
              <w:jc w:val="center"/>
            </w:pPr>
            <w:r>
              <w:rPr>
                <w:rFonts w:cs="Arial"/>
                <w:color w:val="111111"/>
                <w:sz w:val="19"/>
                <w:szCs w:val="19"/>
              </w:rPr>
              <w:t>16</w:t>
            </w:r>
          </w:p>
        </w:tc>
        <w:tc>
          <w:tcPr>
            <w:tcW w:w="1463"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4DA7B59A" w14:textId="77777777" w:rsidR="00E02E42" w:rsidRDefault="00000000">
            <w:pPr>
              <w:jc w:val="center"/>
            </w:pPr>
            <w:r>
              <w:rPr>
                <w:rFonts w:cs="Arial"/>
                <w:color w:val="111111"/>
                <w:sz w:val="19"/>
                <w:szCs w:val="19"/>
              </w:rPr>
              <w:t>12</w:t>
            </w:r>
          </w:p>
        </w:tc>
      </w:tr>
      <w:tr w:rsidR="00E02E42" w14:paraId="5337850D"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94B3A0" w14:textId="77777777" w:rsidR="00E02E42" w:rsidRDefault="00000000">
            <w:pPr>
              <w:jc w:val="center"/>
            </w:pPr>
            <w:proofErr w:type="spellStart"/>
            <w:r>
              <w:rPr>
                <w:rFonts w:cs="Arial"/>
                <w:color w:val="111111"/>
                <w:sz w:val="19"/>
                <w:szCs w:val="19"/>
              </w:rPr>
              <w:t>NTh</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BBD0A0" w14:textId="77777777" w:rsidR="00E02E42" w:rsidRDefault="00000000">
            <w:pPr>
              <w:jc w:val="center"/>
            </w:pPr>
            <w:r>
              <w:rPr>
                <w:rFonts w:cs="Arial"/>
                <w:color w:val="111111"/>
                <w:sz w:val="19"/>
                <w:szCs w:val="19"/>
              </w:rPr>
              <w:t>5.7%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3F5941" w14:textId="77777777" w:rsidR="00E02E42" w:rsidRDefault="00000000">
            <w:pPr>
              <w:jc w:val="center"/>
            </w:pPr>
            <w:r>
              <w:rPr>
                <w:rFonts w:cs="Arial"/>
                <w:color w:val="111111"/>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4FBEE6" w14:textId="77777777" w:rsidR="00E02E42" w:rsidRDefault="00000000">
            <w:pPr>
              <w:jc w:val="center"/>
            </w:pPr>
            <w:r>
              <w:rPr>
                <w:rFonts w:cs="Arial"/>
                <w:color w:val="111111"/>
                <w:sz w:val="19"/>
                <w:szCs w:val="19"/>
              </w:rPr>
              <w:t>1.96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5B3E72" w14:textId="77777777" w:rsidR="00E02E42" w:rsidRDefault="00000000">
            <w:pPr>
              <w:jc w:val="center"/>
            </w:pPr>
            <w:r>
              <w:rPr>
                <w:rFonts w:cs="Arial"/>
                <w:color w:val="111111"/>
                <w:sz w:val="19"/>
                <w:szCs w:val="19"/>
              </w:rPr>
              <w:t>5</w:t>
            </w:r>
          </w:p>
        </w:tc>
        <w:tc>
          <w:tcPr>
            <w:tcW w:w="14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775A6E" w14:textId="77777777" w:rsidR="00E02E42" w:rsidRDefault="00000000">
            <w:pPr>
              <w:jc w:val="center"/>
            </w:pPr>
            <w:r>
              <w:rPr>
                <w:rFonts w:cs="Arial"/>
                <w:color w:val="111111"/>
                <w:sz w:val="19"/>
                <w:szCs w:val="19"/>
              </w:rPr>
              <w:t>6</w:t>
            </w:r>
          </w:p>
        </w:tc>
        <w:tc>
          <w:tcPr>
            <w:tcW w:w="14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4FE96" w14:textId="77777777" w:rsidR="00E02E42" w:rsidRDefault="00000000">
            <w:pPr>
              <w:jc w:val="center"/>
            </w:pPr>
            <w:r>
              <w:rPr>
                <w:rFonts w:cs="Arial"/>
                <w:color w:val="111111"/>
                <w:sz w:val="19"/>
                <w:szCs w:val="19"/>
              </w:rPr>
              <w:t>6</w:t>
            </w:r>
          </w:p>
        </w:tc>
      </w:tr>
    </w:tbl>
    <w:p w14:paraId="13F82548" w14:textId="77777777" w:rsidR="00E02E42" w:rsidRDefault="00E02E42">
      <w:pPr>
        <w:spacing w:after="80"/>
      </w:pPr>
    </w:p>
    <w:p w14:paraId="31BB01AA" w14:textId="77777777" w:rsidR="00E02E42" w:rsidRDefault="00000000">
      <w:pPr>
        <w:spacing w:after="200"/>
      </w:pPr>
      <w:r>
        <w:rPr>
          <w:rFonts w:cs="Arial"/>
          <w:i/>
          <w:iCs/>
          <w:color w:val="555555"/>
          <w:sz w:val="18"/>
          <w:szCs w:val="18"/>
        </w:rPr>
        <w:t>Table 2. Stratum-specific sample size calculations for 30–50 cm BD sampling, using each stratum’s measured CV from the September 2025 campaign. All strata already meet or exceed the calculated minimum with their existing 0–30 cm BD subsamples.</w:t>
      </w:r>
    </w:p>
    <w:p w14:paraId="6E3BADAC" w14:textId="77777777" w:rsidR="00E02E42" w:rsidRDefault="00000000">
      <w:pPr>
        <w:spacing w:after="160" w:line="276" w:lineRule="auto"/>
        <w:jc w:val="both"/>
      </w:pPr>
      <w:r>
        <w:rPr>
          <w:rFonts w:cs="Arial"/>
        </w:rPr>
        <w:t xml:space="preserve">All three strata meet the precision target with their existing 0–30 cm BD subsamples. For </w:t>
      </w:r>
      <w:proofErr w:type="spellStart"/>
      <w:r>
        <w:rPr>
          <w:rFonts w:cs="Arial"/>
        </w:rPr>
        <w:t>NTh</w:t>
      </w:r>
      <w:proofErr w:type="spellEnd"/>
      <w:r>
        <w:rPr>
          <w:rFonts w:cs="Arial"/>
        </w:rPr>
        <w:t xml:space="preserve"> specifically, the minimum required sample size is </w:t>
      </w:r>
      <w:r>
        <w:rPr>
          <w:rFonts w:cs="Arial"/>
          <w:b/>
          <w:bCs/>
        </w:rPr>
        <w:t>n=5</w:t>
      </w:r>
      <w:r>
        <w:rPr>
          <w:rFonts w:cs="Arial"/>
        </w:rPr>
        <w:t xml:space="preserve"> (derived from its own CV of 5.7%), and the existing 6 measurements already satisfy this threshold. The same stratum-specific approach determines the number of new 30–50 cm BD cores needed per stratum (Section 2.5).</w:t>
      </w:r>
    </w:p>
    <w:p w14:paraId="0282944D" w14:textId="77777777" w:rsidR="00E02E42" w:rsidRDefault="00000000">
      <w:pPr>
        <w:spacing w:after="160" w:line="276" w:lineRule="auto"/>
        <w:jc w:val="both"/>
      </w:pPr>
      <w:r>
        <w:rPr>
          <w:rFonts w:cs="Arial"/>
        </w:rPr>
        <w:t>The per-stratum calculations are as follows:</w:t>
      </w:r>
    </w:p>
    <w:p w14:paraId="66800857" w14:textId="77777777" w:rsidR="00E02E42" w:rsidRDefault="00000000">
      <w:pPr>
        <w:pStyle w:val="ListParagraph"/>
        <w:numPr>
          <w:ilvl w:val="0"/>
          <w:numId w:val="2"/>
        </w:numPr>
        <w:spacing w:line="276" w:lineRule="auto"/>
        <w:jc w:val="both"/>
      </w:pPr>
      <w:proofErr w:type="spellStart"/>
      <w:r>
        <w:rPr>
          <w:b/>
          <w:bCs/>
        </w:rPr>
        <w:t>ANm</w:t>
      </w:r>
      <w:proofErr w:type="spellEnd"/>
      <w:r>
        <w:t xml:space="preserve">: n ≥ (1.96 × 6.8 / </w:t>
      </w:r>
      <w:proofErr w:type="gramStart"/>
      <w:r>
        <w:t>5)²</w:t>
      </w:r>
      <w:proofErr w:type="gramEnd"/>
      <w:r>
        <w:t xml:space="preserve"> = (</w:t>
      </w:r>
      <w:proofErr w:type="gramStart"/>
      <w:r>
        <w:t>2.66)²</w:t>
      </w:r>
      <w:proofErr w:type="gramEnd"/>
      <w:r>
        <w:t xml:space="preserve"> ≈ 7.1 → n = 8</w:t>
      </w:r>
    </w:p>
    <w:p w14:paraId="58CCDE8D" w14:textId="77777777" w:rsidR="00E02E42" w:rsidRDefault="00000000">
      <w:pPr>
        <w:pStyle w:val="ListParagraph"/>
        <w:numPr>
          <w:ilvl w:val="0"/>
          <w:numId w:val="2"/>
        </w:numPr>
        <w:spacing w:line="276" w:lineRule="auto"/>
        <w:jc w:val="both"/>
      </w:pPr>
      <w:proofErr w:type="spellStart"/>
      <w:r>
        <w:rPr>
          <w:b/>
          <w:bCs/>
        </w:rPr>
        <w:t>NTu</w:t>
      </w:r>
      <w:proofErr w:type="spellEnd"/>
      <w:r>
        <w:t xml:space="preserve">: n ≥ (1.96 × 8.7 / </w:t>
      </w:r>
      <w:proofErr w:type="gramStart"/>
      <w:r>
        <w:t>5)²</w:t>
      </w:r>
      <w:proofErr w:type="gramEnd"/>
      <w:r>
        <w:t xml:space="preserve"> = (</w:t>
      </w:r>
      <w:proofErr w:type="gramStart"/>
      <w:r>
        <w:t>3.41)²</w:t>
      </w:r>
      <w:proofErr w:type="gramEnd"/>
      <w:r>
        <w:t xml:space="preserve"> ≈ 11.6 → n = 12</w:t>
      </w:r>
    </w:p>
    <w:p w14:paraId="4682BC1C" w14:textId="77777777" w:rsidR="00E02E42" w:rsidRDefault="00000000">
      <w:pPr>
        <w:pStyle w:val="ListParagraph"/>
        <w:numPr>
          <w:ilvl w:val="0"/>
          <w:numId w:val="2"/>
        </w:numPr>
        <w:spacing w:line="276" w:lineRule="auto"/>
        <w:jc w:val="both"/>
      </w:pPr>
      <w:proofErr w:type="spellStart"/>
      <w:r>
        <w:rPr>
          <w:b/>
          <w:bCs/>
        </w:rPr>
        <w:t>NTh</w:t>
      </w:r>
      <w:proofErr w:type="spellEnd"/>
      <w:r>
        <w:t xml:space="preserve">: n ≥ (1.96 × 5.7 / </w:t>
      </w:r>
      <w:proofErr w:type="gramStart"/>
      <w:r>
        <w:t>5)²</w:t>
      </w:r>
      <w:proofErr w:type="gramEnd"/>
      <w:r>
        <w:t xml:space="preserve"> = (</w:t>
      </w:r>
      <w:proofErr w:type="gramStart"/>
      <w:r>
        <w:t>2.23)²</w:t>
      </w:r>
      <w:proofErr w:type="gramEnd"/>
      <w:r>
        <w:t xml:space="preserve"> ≈ 5.0 → n = 5 (6 existing samples satisfy this)</w:t>
      </w:r>
    </w:p>
    <w:p w14:paraId="207765CD" w14:textId="77777777" w:rsidR="00E02E42" w:rsidRDefault="00000000">
      <w:pPr>
        <w:pStyle w:val="Heading2"/>
      </w:pPr>
      <w:proofErr w:type="gramStart"/>
      <w:r>
        <w:rPr>
          <w:sz w:val="21"/>
          <w:szCs w:val="21"/>
        </w:rPr>
        <w:t>2.5  The</w:t>
      </w:r>
      <w:proofErr w:type="gramEnd"/>
      <w:r>
        <w:rPr>
          <w:sz w:val="21"/>
          <w:szCs w:val="21"/>
        </w:rPr>
        <w:t xml:space="preserve"> ESM Gap at t=5 — and How to Close It</w:t>
      </w:r>
    </w:p>
    <w:p w14:paraId="1F8924F8" w14:textId="77777777" w:rsidR="00E02E42" w:rsidRDefault="00000000">
      <w:pPr>
        <w:spacing w:after="160" w:line="276" w:lineRule="auto"/>
        <w:jc w:val="both"/>
      </w:pPr>
      <w:r>
        <w:rPr>
          <w:rFonts w:cs="Arial"/>
        </w:rPr>
        <w:t xml:space="preserve">While single-depth sampling at t=0 is acceptable for model </w:t>
      </w:r>
      <w:proofErr w:type="spellStart"/>
      <w:r>
        <w:rPr>
          <w:rFonts w:cs="Arial"/>
        </w:rPr>
        <w:t>initialisation</w:t>
      </w:r>
      <w:proofErr w:type="spellEnd"/>
      <w:r>
        <w:rPr>
          <w:rFonts w:cs="Arial"/>
        </w:rPr>
        <w:t xml:space="preserve">, a legitimate planning question arises for t=5: without a </w:t>
      </w:r>
      <w:proofErr w:type="spellStart"/>
      <w:r>
        <w:rPr>
          <w:rFonts w:cs="Arial"/>
        </w:rPr>
        <w:t>characterised</w:t>
      </w:r>
      <w:proofErr w:type="spellEnd"/>
      <w:r>
        <w:rPr>
          <w:rFonts w:cs="Arial"/>
        </w:rPr>
        <w:t xml:space="preserve"> 30–50 cm baseline, can the ESM comparison be performed robustly? The answer is yes, provided the 30–50 cm BD profile is </w:t>
      </w:r>
      <w:proofErr w:type="spellStart"/>
      <w:r>
        <w:rPr>
          <w:rFonts w:cs="Arial"/>
        </w:rPr>
        <w:t>characterised</w:t>
      </w:r>
      <w:proofErr w:type="spellEnd"/>
      <w:r>
        <w:rPr>
          <w:rFonts w:cs="Arial"/>
        </w:rPr>
        <w:t xml:space="preserve"> as a supplemental baseline measurement before validation. The deeper layer informs the soil mass profile shape only — no additional SOC analysis is required on the deeper cores.</w:t>
      </w:r>
    </w:p>
    <w:p w14:paraId="6B5BFA1C" w14:textId="77777777" w:rsidR="00E02E42" w:rsidRDefault="00000000">
      <w:pPr>
        <w:spacing w:after="160" w:line="276" w:lineRule="auto"/>
        <w:jc w:val="both"/>
      </w:pPr>
      <w:r>
        <w:rPr>
          <w:rFonts w:cs="Arial"/>
        </w:rPr>
        <w:t>The project will collect new 30–50 cm BD cores at a representative subset of georeferenced sample points per stratum. The number of cores per stratum is set equal to the stratum-specific minimum n from Equation 1. These cores, combined with the existing 0–30 cm BD values at the same locations, yield complete two-increment soil mass profiles at baseline for the ESM computation at t=5.</w:t>
      </w:r>
    </w:p>
    <w:p w14:paraId="4296F0F8" w14:textId="77777777" w:rsidR="00E02E42" w:rsidRDefault="00E02E4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
        <w:gridCol w:w="1733"/>
        <w:gridCol w:w="1090"/>
        <w:gridCol w:w="1224"/>
        <w:gridCol w:w="1507"/>
        <w:gridCol w:w="889"/>
        <w:gridCol w:w="1571"/>
      </w:tblGrid>
      <w:tr w:rsidR="00E02E42" w14:paraId="3A19072A" w14:textId="77777777">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33A72A0B" w14:textId="77777777" w:rsidR="00E02E42" w:rsidRDefault="00000000">
            <w:pPr>
              <w:jc w:val="center"/>
            </w:pPr>
            <w:r>
              <w:rPr>
                <w:rFonts w:cs="Arial"/>
                <w:b/>
                <w:bCs/>
                <w:color w:val="FFFFFF"/>
                <w:sz w:val="19"/>
                <w:szCs w:val="19"/>
              </w:rPr>
              <w:t>Stratum</w:t>
            </w:r>
          </w:p>
        </w:tc>
        <w:tc>
          <w:tcPr>
            <w:tcW w:w="22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2F04BA92" w14:textId="77777777" w:rsidR="00E02E42" w:rsidRDefault="00000000">
            <w:pPr>
              <w:jc w:val="center"/>
            </w:pPr>
            <w:r>
              <w:rPr>
                <w:rFonts w:cs="Arial"/>
                <w:b/>
                <w:bCs/>
                <w:color w:val="FFFFFF"/>
                <w:sz w:val="19"/>
                <w:szCs w:val="19"/>
              </w:rPr>
              <w:t>Cooperatives</w:t>
            </w:r>
          </w:p>
        </w:tc>
        <w:tc>
          <w:tcPr>
            <w:tcW w:w="12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63762CF5" w14:textId="77777777" w:rsidR="00E02E42" w:rsidRDefault="00000000">
            <w:pPr>
              <w:jc w:val="center"/>
            </w:pPr>
            <w:r>
              <w:rPr>
                <w:rFonts w:cs="Arial"/>
                <w:b/>
                <w:bCs/>
                <w:color w:val="FFFFFF"/>
                <w:sz w:val="19"/>
                <w:szCs w:val="19"/>
              </w:rPr>
              <w:t>Total</w:t>
            </w:r>
            <w:r>
              <w:rPr>
                <w:rFonts w:cs="Arial"/>
                <w:b/>
                <w:bCs/>
                <w:color w:val="FFFFFF"/>
                <w:sz w:val="19"/>
                <w:szCs w:val="19"/>
              </w:rPr>
              <w:br/>
              <w:t>Samples</w:t>
            </w:r>
          </w:p>
        </w:tc>
        <w:tc>
          <w:tcPr>
            <w:tcW w:w="145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47A79C81" w14:textId="77777777" w:rsidR="00E02E42" w:rsidRDefault="00000000">
            <w:pPr>
              <w:jc w:val="center"/>
            </w:pPr>
            <w:r>
              <w:rPr>
                <w:rFonts w:cs="Arial"/>
                <w:b/>
                <w:bCs/>
                <w:color w:val="FFFFFF"/>
                <w:sz w:val="19"/>
                <w:szCs w:val="19"/>
              </w:rPr>
              <w:t>0–30 cm BD</w:t>
            </w:r>
            <w:r>
              <w:rPr>
                <w:rFonts w:cs="Arial"/>
                <w:b/>
                <w:bCs/>
                <w:color w:val="FFFFFF"/>
                <w:sz w:val="19"/>
                <w:szCs w:val="19"/>
              </w:rPr>
              <w:br/>
              <w:t>(existing)</w:t>
            </w:r>
          </w:p>
        </w:tc>
        <w:tc>
          <w:tcPr>
            <w:tcW w:w="145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42BD11E" w14:textId="77777777" w:rsidR="00E02E42" w:rsidRDefault="00000000">
            <w:pPr>
              <w:jc w:val="center"/>
            </w:pPr>
            <w:r>
              <w:rPr>
                <w:rFonts w:cs="Arial"/>
                <w:b/>
                <w:bCs/>
                <w:color w:val="FFFFFF"/>
                <w:sz w:val="19"/>
                <w:szCs w:val="19"/>
              </w:rPr>
              <w:t>30–50 cm BD</w:t>
            </w:r>
            <w:r>
              <w:rPr>
                <w:rFonts w:cs="Arial"/>
                <w:b/>
                <w:bCs/>
                <w:color w:val="FFFFFF"/>
                <w:sz w:val="19"/>
                <w:szCs w:val="19"/>
              </w:rPr>
              <w:br/>
              <w:t>(new/additive)</w:t>
            </w:r>
          </w:p>
        </w:tc>
        <w:tc>
          <w:tcPr>
            <w:tcW w:w="1100"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20020D9E" w14:textId="77777777" w:rsidR="00E02E42" w:rsidRDefault="00000000">
            <w:pPr>
              <w:jc w:val="center"/>
            </w:pPr>
            <w:r>
              <w:rPr>
                <w:rFonts w:cs="Arial"/>
                <w:b/>
                <w:bCs/>
                <w:color w:val="FFFFFF"/>
                <w:sz w:val="19"/>
                <w:szCs w:val="19"/>
              </w:rPr>
              <w:t>BD per</w:t>
            </w:r>
            <w:r>
              <w:rPr>
                <w:rFonts w:cs="Arial"/>
                <w:b/>
                <w:bCs/>
                <w:color w:val="FFFFFF"/>
                <w:sz w:val="19"/>
                <w:szCs w:val="19"/>
              </w:rPr>
              <w:br/>
              <w:t>depth</w:t>
            </w:r>
          </w:p>
        </w:tc>
        <w:tc>
          <w:tcPr>
            <w:tcW w:w="1526" w:type="dxa"/>
            <w:tcBorders>
              <w:top w:val="single" w:sz="4" w:space="0" w:color="AAAAAA"/>
              <w:left w:val="single" w:sz="4" w:space="0" w:color="AAAAAA"/>
              <w:bottom w:val="single" w:sz="4" w:space="0" w:color="AAAAAA"/>
              <w:right w:val="single" w:sz="4" w:space="0" w:color="AAAAAA"/>
            </w:tcBorders>
            <w:shd w:val="clear" w:color="auto" w:fill="2E7D4F"/>
            <w:tcMar>
              <w:top w:w="80" w:type="dxa"/>
              <w:left w:w="120" w:type="dxa"/>
              <w:bottom w:w="80" w:type="dxa"/>
              <w:right w:w="120" w:type="dxa"/>
            </w:tcMar>
            <w:vAlign w:val="center"/>
          </w:tcPr>
          <w:p w14:paraId="09D13633" w14:textId="77777777" w:rsidR="00E02E42" w:rsidRDefault="00000000">
            <w:pPr>
              <w:jc w:val="center"/>
            </w:pPr>
            <w:r>
              <w:rPr>
                <w:rFonts w:cs="Arial"/>
                <w:b/>
                <w:bCs/>
                <w:color w:val="FFFFFF"/>
                <w:sz w:val="19"/>
                <w:szCs w:val="19"/>
              </w:rPr>
              <w:t>Total BD</w:t>
            </w:r>
            <w:r>
              <w:rPr>
                <w:rFonts w:cs="Arial"/>
                <w:b/>
                <w:bCs/>
                <w:color w:val="FFFFFF"/>
                <w:sz w:val="19"/>
                <w:szCs w:val="19"/>
              </w:rPr>
              <w:br/>
              <w:t>Measurements</w:t>
            </w:r>
          </w:p>
        </w:tc>
      </w:tr>
      <w:tr w:rsidR="00E02E42" w14:paraId="77C0E2C1"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34986B" w14:textId="77777777" w:rsidR="00E02E42" w:rsidRDefault="00000000">
            <w:pPr>
              <w:jc w:val="center"/>
            </w:pPr>
            <w:proofErr w:type="spellStart"/>
            <w:r>
              <w:rPr>
                <w:rFonts w:cs="Arial"/>
                <w:color w:val="111111"/>
                <w:sz w:val="19"/>
                <w:szCs w:val="19"/>
              </w:rPr>
              <w:t>ANm</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C829A0" w14:textId="77777777" w:rsidR="00E02E42" w:rsidRDefault="00000000">
            <w:proofErr w:type="spellStart"/>
            <w:r>
              <w:rPr>
                <w:rFonts w:cs="Arial"/>
                <w:color w:val="111111"/>
                <w:sz w:val="19"/>
                <w:szCs w:val="19"/>
              </w:rPr>
              <w:t>Eor</w:t>
            </w:r>
            <w:proofErr w:type="spellEnd"/>
            <w:r>
              <w:rPr>
                <w:rFonts w:cs="Arial"/>
                <w:color w:val="111111"/>
                <w:sz w:val="19"/>
                <w:szCs w:val="19"/>
              </w:rPr>
              <w:t xml:space="preserve"> Emayian, </w:t>
            </w:r>
            <w:proofErr w:type="spellStart"/>
            <w:r>
              <w:rPr>
                <w:rFonts w:cs="Arial"/>
                <w:color w:val="111111"/>
                <w:sz w:val="19"/>
                <w:szCs w:val="19"/>
              </w:rPr>
              <w:t>Lanyuak</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F1900E" w14:textId="77777777" w:rsidR="00E02E42" w:rsidRDefault="00000000">
            <w:pPr>
              <w:jc w:val="center"/>
            </w:pPr>
            <w:r>
              <w:rPr>
                <w:rFonts w:cs="Arial"/>
                <w:color w:val="111111"/>
                <w:sz w:val="19"/>
                <w:szCs w:val="19"/>
              </w:rPr>
              <w:t>61</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303403" w14:textId="77777777" w:rsidR="00E02E42" w:rsidRDefault="00000000">
            <w:pPr>
              <w:jc w:val="center"/>
            </w:pPr>
            <w:r>
              <w:rPr>
                <w:rFonts w:cs="Arial"/>
                <w:color w:val="111111"/>
                <w:sz w:val="19"/>
                <w:szCs w:val="19"/>
              </w:rPr>
              <w:t>14</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484982" w14:textId="77777777" w:rsidR="00E02E42" w:rsidRDefault="00000000">
            <w:pPr>
              <w:jc w:val="center"/>
            </w:pPr>
            <w:r>
              <w:rPr>
                <w:rFonts w:cs="Arial"/>
                <w:color w:val="111111"/>
                <w:sz w:val="19"/>
                <w:szCs w:val="19"/>
              </w:rPr>
              <w:t>8 (new)</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38C1B7" w14:textId="77777777" w:rsidR="00E02E42" w:rsidRDefault="00000000">
            <w:pPr>
              <w:jc w:val="center"/>
            </w:pPr>
            <w:r>
              <w:rPr>
                <w:rFonts w:cs="Arial"/>
                <w:color w:val="111111"/>
                <w:sz w:val="19"/>
                <w:szCs w:val="19"/>
              </w:rPr>
              <w:t>8</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6C59E1" w14:textId="77777777" w:rsidR="00E02E42" w:rsidRDefault="00000000">
            <w:pPr>
              <w:jc w:val="center"/>
            </w:pPr>
            <w:r>
              <w:rPr>
                <w:rFonts w:cs="Arial"/>
                <w:color w:val="111111"/>
                <w:sz w:val="19"/>
                <w:szCs w:val="19"/>
              </w:rPr>
              <w:t>22</w:t>
            </w:r>
          </w:p>
        </w:tc>
      </w:tr>
      <w:tr w:rsidR="00E02E42" w14:paraId="36EF9FF8"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3DC7F409" w14:textId="77777777" w:rsidR="00E02E42" w:rsidRDefault="00000000">
            <w:pPr>
              <w:jc w:val="center"/>
            </w:pPr>
            <w:proofErr w:type="spellStart"/>
            <w:r>
              <w:rPr>
                <w:rFonts w:cs="Arial"/>
                <w:color w:val="111111"/>
                <w:sz w:val="19"/>
                <w:szCs w:val="19"/>
              </w:rPr>
              <w:t>NTu</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3AE9C2BB" w14:textId="77777777" w:rsidR="00E02E42" w:rsidRDefault="00000000">
            <w:proofErr w:type="spellStart"/>
            <w:r>
              <w:rPr>
                <w:rFonts w:cs="Arial"/>
                <w:color w:val="111111"/>
                <w:sz w:val="19"/>
                <w:szCs w:val="19"/>
              </w:rPr>
              <w:t>Kabianga</w:t>
            </w:r>
            <w:proofErr w:type="spellEnd"/>
            <w:r>
              <w:rPr>
                <w:rFonts w:cs="Arial"/>
                <w:color w:val="111111"/>
                <w:sz w:val="19"/>
                <w:szCs w:val="19"/>
              </w:rPr>
              <w:t xml:space="preserve">, Kipsigis, </w:t>
            </w:r>
            <w:proofErr w:type="spellStart"/>
            <w:r>
              <w:rPr>
                <w:rFonts w:cs="Arial"/>
                <w:color w:val="111111"/>
                <w:sz w:val="19"/>
                <w:szCs w:val="19"/>
              </w:rPr>
              <w:t>Mumberes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34E04205" w14:textId="77777777" w:rsidR="00E02E42" w:rsidRDefault="00000000">
            <w:pPr>
              <w:jc w:val="center"/>
            </w:pPr>
            <w:r>
              <w:rPr>
                <w:rFonts w:cs="Arial"/>
                <w:color w:val="111111"/>
                <w:sz w:val="19"/>
                <w:szCs w:val="19"/>
              </w:rPr>
              <w:t>100</w:t>
            </w:r>
          </w:p>
        </w:tc>
        <w:tc>
          <w:tcPr>
            <w:tcW w:w="145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1A519B9A" w14:textId="77777777" w:rsidR="00E02E42" w:rsidRDefault="00000000">
            <w:pPr>
              <w:jc w:val="center"/>
            </w:pPr>
            <w:r>
              <w:rPr>
                <w:rFonts w:cs="Arial"/>
                <w:color w:val="111111"/>
                <w:sz w:val="19"/>
                <w:szCs w:val="19"/>
              </w:rPr>
              <w:t>16</w:t>
            </w:r>
          </w:p>
        </w:tc>
        <w:tc>
          <w:tcPr>
            <w:tcW w:w="145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47CB17FF" w14:textId="77777777" w:rsidR="00E02E42" w:rsidRDefault="00000000">
            <w:pPr>
              <w:jc w:val="center"/>
            </w:pPr>
            <w:r>
              <w:rPr>
                <w:rFonts w:cs="Arial"/>
                <w:color w:val="111111"/>
                <w:sz w:val="19"/>
                <w:szCs w:val="19"/>
              </w:rPr>
              <w:t>12 (new)</w:t>
            </w:r>
          </w:p>
        </w:tc>
        <w:tc>
          <w:tcPr>
            <w:tcW w:w="1100"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55645C30" w14:textId="77777777" w:rsidR="00E02E42" w:rsidRDefault="00000000">
            <w:pPr>
              <w:jc w:val="center"/>
            </w:pPr>
            <w:r>
              <w:rPr>
                <w:rFonts w:cs="Arial"/>
                <w:color w:val="111111"/>
                <w:sz w:val="19"/>
                <w:szCs w:val="19"/>
              </w:rPr>
              <w:t>12</w:t>
            </w:r>
          </w:p>
        </w:tc>
        <w:tc>
          <w:tcPr>
            <w:tcW w:w="1526" w:type="dxa"/>
            <w:tcBorders>
              <w:top w:val="single" w:sz="4" w:space="0" w:color="AAAAAA"/>
              <w:left w:val="single" w:sz="4" w:space="0" w:color="AAAAAA"/>
              <w:bottom w:val="single" w:sz="4" w:space="0" w:color="AAAAAA"/>
              <w:right w:val="single" w:sz="4" w:space="0" w:color="AAAAAA"/>
            </w:tcBorders>
            <w:shd w:val="clear" w:color="auto" w:fill="F2F9F5"/>
            <w:tcMar>
              <w:top w:w="80" w:type="dxa"/>
              <w:left w:w="120" w:type="dxa"/>
              <w:bottom w:w="80" w:type="dxa"/>
              <w:right w:w="120" w:type="dxa"/>
            </w:tcMar>
            <w:vAlign w:val="center"/>
          </w:tcPr>
          <w:p w14:paraId="06319361" w14:textId="77777777" w:rsidR="00E02E42" w:rsidRDefault="00000000">
            <w:pPr>
              <w:jc w:val="center"/>
            </w:pPr>
            <w:r>
              <w:rPr>
                <w:rFonts w:cs="Arial"/>
                <w:color w:val="111111"/>
                <w:sz w:val="19"/>
                <w:szCs w:val="19"/>
              </w:rPr>
              <w:t>28</w:t>
            </w:r>
          </w:p>
        </w:tc>
      </w:tr>
      <w:tr w:rsidR="00E02E42" w14:paraId="01A990D4"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D8BB9F" w14:textId="77777777" w:rsidR="00E02E42" w:rsidRDefault="00000000">
            <w:pPr>
              <w:jc w:val="center"/>
            </w:pPr>
            <w:proofErr w:type="spellStart"/>
            <w:r>
              <w:rPr>
                <w:rFonts w:cs="Arial"/>
                <w:color w:val="111111"/>
                <w:sz w:val="19"/>
                <w:szCs w:val="19"/>
              </w:rPr>
              <w:t>NTh</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A28407" w14:textId="77777777" w:rsidR="00E02E42" w:rsidRDefault="00000000">
            <w:proofErr w:type="spellStart"/>
            <w:r>
              <w:rPr>
                <w:rFonts w:cs="Arial"/>
                <w:color w:val="111111"/>
                <w:sz w:val="19"/>
                <w:szCs w:val="19"/>
              </w:rPr>
              <w:t>Mumberes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AFBC08" w14:textId="77777777" w:rsidR="00E02E42" w:rsidRDefault="00000000">
            <w:pPr>
              <w:jc w:val="center"/>
            </w:pPr>
            <w:r>
              <w:rPr>
                <w:rFonts w:cs="Arial"/>
                <w:color w:val="111111"/>
                <w:sz w:val="19"/>
                <w:szCs w:val="19"/>
              </w:rPr>
              <w:t>13</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CD87A7" w14:textId="77777777" w:rsidR="00E02E42" w:rsidRDefault="00000000">
            <w:pPr>
              <w:jc w:val="center"/>
            </w:pPr>
            <w:r>
              <w:rPr>
                <w:rFonts w:cs="Arial"/>
                <w:color w:val="111111"/>
                <w:sz w:val="19"/>
                <w:szCs w:val="19"/>
              </w:rPr>
              <w:t>6</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D9D82D" w14:textId="77777777" w:rsidR="00E02E42" w:rsidRDefault="00000000">
            <w:pPr>
              <w:jc w:val="center"/>
            </w:pPr>
            <w:r>
              <w:rPr>
                <w:rFonts w:cs="Arial"/>
                <w:color w:val="111111"/>
                <w:sz w:val="19"/>
                <w:szCs w:val="19"/>
              </w:rPr>
              <w:t>6 (new)</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470D44" w14:textId="77777777" w:rsidR="00E02E42" w:rsidRDefault="00000000">
            <w:pPr>
              <w:jc w:val="center"/>
            </w:pPr>
            <w:r>
              <w:rPr>
                <w:rFonts w:cs="Arial"/>
                <w:color w:val="111111"/>
                <w:sz w:val="19"/>
                <w:szCs w:val="19"/>
              </w:rPr>
              <w:t>6</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D4B827" w14:textId="77777777" w:rsidR="00E02E42" w:rsidRDefault="00000000">
            <w:pPr>
              <w:jc w:val="center"/>
            </w:pPr>
            <w:r>
              <w:rPr>
                <w:rFonts w:cs="Arial"/>
                <w:color w:val="111111"/>
                <w:sz w:val="19"/>
                <w:szCs w:val="19"/>
              </w:rPr>
              <w:t>12</w:t>
            </w:r>
          </w:p>
        </w:tc>
      </w:tr>
      <w:tr w:rsidR="00E02E42" w14:paraId="2F19D324" w14:textId="77777777">
        <w:tc>
          <w:tcPr>
            <w:tcW w:w="11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6125D4A1" w14:textId="77777777" w:rsidR="00E02E42" w:rsidRDefault="00000000">
            <w:pPr>
              <w:jc w:val="center"/>
            </w:pPr>
            <w:r>
              <w:rPr>
                <w:rFonts w:cs="Arial"/>
                <w:b/>
                <w:bCs/>
                <w:color w:val="111111"/>
                <w:sz w:val="19"/>
                <w:szCs w:val="19"/>
              </w:rPr>
              <w:t>Total</w:t>
            </w:r>
          </w:p>
        </w:tc>
        <w:tc>
          <w:tcPr>
            <w:tcW w:w="22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035B0680" w14:textId="77777777" w:rsidR="00E02E42" w:rsidRDefault="00000000">
            <w:r>
              <w:rPr>
                <w:rFonts w:cs="Arial"/>
                <w:b/>
                <w:bCs/>
                <w:color w:val="111111"/>
                <w:sz w:val="19"/>
                <w:szCs w:val="19"/>
              </w:rPr>
              <w:t>5 cooperatives</w:t>
            </w:r>
          </w:p>
        </w:tc>
        <w:tc>
          <w:tcPr>
            <w:tcW w:w="12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56150B8E" w14:textId="77777777" w:rsidR="00E02E42" w:rsidRDefault="00000000">
            <w:pPr>
              <w:jc w:val="center"/>
            </w:pPr>
            <w:r>
              <w:rPr>
                <w:rFonts w:cs="Arial"/>
                <w:b/>
                <w:bCs/>
                <w:color w:val="111111"/>
                <w:sz w:val="19"/>
                <w:szCs w:val="19"/>
              </w:rPr>
              <w:t>174</w:t>
            </w:r>
          </w:p>
        </w:tc>
        <w:tc>
          <w:tcPr>
            <w:tcW w:w="145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00692320" w14:textId="77777777" w:rsidR="00E02E42" w:rsidRDefault="00000000">
            <w:pPr>
              <w:jc w:val="center"/>
            </w:pPr>
            <w:r>
              <w:rPr>
                <w:rFonts w:cs="Arial"/>
                <w:b/>
                <w:bCs/>
                <w:color w:val="111111"/>
                <w:sz w:val="19"/>
                <w:szCs w:val="19"/>
              </w:rPr>
              <w:t>36</w:t>
            </w:r>
          </w:p>
        </w:tc>
        <w:tc>
          <w:tcPr>
            <w:tcW w:w="145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5C75429D" w14:textId="77777777" w:rsidR="00E02E42" w:rsidRDefault="00000000">
            <w:pPr>
              <w:jc w:val="center"/>
            </w:pPr>
            <w:r>
              <w:rPr>
                <w:rFonts w:cs="Arial"/>
                <w:b/>
                <w:bCs/>
                <w:color w:val="111111"/>
                <w:sz w:val="19"/>
                <w:szCs w:val="19"/>
              </w:rPr>
              <w:t>26</w:t>
            </w:r>
          </w:p>
        </w:tc>
        <w:tc>
          <w:tcPr>
            <w:tcW w:w="1100"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19895F86" w14:textId="77777777" w:rsidR="00E02E42" w:rsidRDefault="00000000">
            <w:pPr>
              <w:jc w:val="center"/>
            </w:pPr>
            <w:r>
              <w:rPr>
                <w:rFonts w:cs="Arial"/>
                <w:b/>
                <w:bCs/>
                <w:color w:val="111111"/>
                <w:sz w:val="19"/>
                <w:szCs w:val="19"/>
              </w:rPr>
              <w:t>—</w:t>
            </w:r>
          </w:p>
        </w:tc>
        <w:tc>
          <w:tcPr>
            <w:tcW w:w="1526" w:type="dxa"/>
            <w:tcBorders>
              <w:top w:val="single" w:sz="4" w:space="0" w:color="AAAAAA"/>
              <w:left w:val="single" w:sz="4" w:space="0" w:color="AAAAAA"/>
              <w:bottom w:val="single" w:sz="4" w:space="0" w:color="AAAAAA"/>
              <w:right w:val="single" w:sz="4" w:space="0" w:color="AAAAAA"/>
            </w:tcBorders>
            <w:shd w:val="clear" w:color="auto" w:fill="D5EAE0"/>
            <w:tcMar>
              <w:top w:w="80" w:type="dxa"/>
              <w:left w:w="120" w:type="dxa"/>
              <w:bottom w:w="80" w:type="dxa"/>
              <w:right w:w="120" w:type="dxa"/>
            </w:tcMar>
            <w:vAlign w:val="center"/>
          </w:tcPr>
          <w:p w14:paraId="46225B6A" w14:textId="77777777" w:rsidR="00E02E42" w:rsidRDefault="00000000">
            <w:pPr>
              <w:jc w:val="center"/>
            </w:pPr>
            <w:r>
              <w:rPr>
                <w:rFonts w:cs="Arial"/>
                <w:b/>
                <w:bCs/>
                <w:color w:val="111111"/>
                <w:sz w:val="19"/>
                <w:szCs w:val="19"/>
              </w:rPr>
              <w:t>58</w:t>
            </w:r>
          </w:p>
        </w:tc>
      </w:tr>
    </w:tbl>
    <w:p w14:paraId="0CC5D98F" w14:textId="77777777" w:rsidR="00E02E42" w:rsidRDefault="00E02E42">
      <w:pPr>
        <w:spacing w:after="80"/>
      </w:pPr>
    </w:p>
    <w:p w14:paraId="1D37EF62" w14:textId="77777777" w:rsidR="00E02E42" w:rsidRDefault="00000000">
      <w:pPr>
        <w:spacing w:after="200"/>
      </w:pPr>
      <w:r>
        <w:rPr>
          <w:rFonts w:cs="Arial"/>
          <w:i/>
          <w:iCs/>
          <w:color w:val="555555"/>
          <w:sz w:val="18"/>
          <w:szCs w:val="18"/>
        </w:rPr>
        <w:t>Table 3. Complete BD sampling plan — existing 0–30 cm measurements plus planned 30–50 cm additive samples. New 30–50 cm core counts are based on stratum-specific minimum sample sizes from Equation 1. All new cores to be collected at or adjacent to existing georeferenced t=0 locations. No SOC analysis required on new cores.</w:t>
      </w:r>
    </w:p>
    <w:p w14:paraId="162B9FBD" w14:textId="77777777" w:rsidR="00E02E42" w:rsidRDefault="00E02E42">
      <w:pPr>
        <w:pBdr>
          <w:bottom w:val="single" w:sz="6" w:space="1" w:color="2E7D4F"/>
        </w:pBdr>
        <w:spacing w:before="120" w:after="120"/>
      </w:pPr>
    </w:p>
    <w:p w14:paraId="229BC0AC" w14:textId="77777777" w:rsidR="00E02E42" w:rsidRDefault="00000000">
      <w:pPr>
        <w:pStyle w:val="Heading2"/>
      </w:pPr>
      <w:r>
        <w:rPr>
          <w:sz w:val="21"/>
          <w:szCs w:val="21"/>
        </w:rPr>
        <w:t>Summary: What the Project Does and Does Not Need to Do</w:t>
      </w:r>
    </w:p>
    <w:p w14:paraId="4C3B4400" w14:textId="77777777" w:rsidR="00E02E42" w:rsidRDefault="00000000">
      <w:pPr>
        <w:pStyle w:val="ListParagraph"/>
        <w:numPr>
          <w:ilvl w:val="0"/>
          <w:numId w:val="2"/>
        </w:numPr>
        <w:spacing w:line="276" w:lineRule="auto"/>
        <w:jc w:val="both"/>
      </w:pPr>
      <w:r>
        <w:rPr>
          <w:b/>
          <w:bCs/>
        </w:rPr>
        <w:t xml:space="preserve">Does NOT need to do: </w:t>
      </w:r>
      <w:r>
        <w:t>Remeasure BD at all 174 sample points. Existing BD subsamples with CVs of 5.7–8.7% are statistically sufficient for stratum-average application across all three strata.</w:t>
      </w:r>
    </w:p>
    <w:p w14:paraId="18AC92B6" w14:textId="77777777" w:rsidR="00E02E42" w:rsidRDefault="00000000">
      <w:pPr>
        <w:pStyle w:val="ListParagraph"/>
        <w:numPr>
          <w:ilvl w:val="0"/>
          <w:numId w:val="2"/>
        </w:numPr>
        <w:spacing w:line="276" w:lineRule="auto"/>
        <w:jc w:val="both"/>
      </w:pPr>
      <w:r>
        <w:rPr>
          <w:b/>
          <w:bCs/>
        </w:rPr>
        <w:t xml:space="preserve">Does NOT need to do: </w:t>
      </w:r>
      <w:r>
        <w:t xml:space="preserve">Re-collect 0–30 cm samples at two depths. Single-depth composites are fully acceptable for RothC model </w:t>
      </w:r>
      <w:proofErr w:type="spellStart"/>
      <w:r>
        <w:t>initialisation</w:t>
      </w:r>
      <w:proofErr w:type="spellEnd"/>
      <w:r>
        <w:t xml:space="preserve"> at t=0.</w:t>
      </w:r>
    </w:p>
    <w:p w14:paraId="2F851A5F" w14:textId="77777777" w:rsidR="00E02E42" w:rsidRDefault="00000000">
      <w:pPr>
        <w:pStyle w:val="ListParagraph"/>
        <w:numPr>
          <w:ilvl w:val="0"/>
          <w:numId w:val="2"/>
        </w:numPr>
        <w:spacing w:line="276" w:lineRule="auto"/>
        <w:jc w:val="both"/>
      </w:pPr>
      <w:r>
        <w:rPr>
          <w:b/>
          <w:bCs/>
        </w:rPr>
        <w:t xml:space="preserve">Does NOT need to do: </w:t>
      </w:r>
      <w:r>
        <w:t>Conduct ESM analysis now. ESM is required only at the first model true-up (~2030), not at baseline.</w:t>
      </w:r>
    </w:p>
    <w:p w14:paraId="20518894" w14:textId="77777777" w:rsidR="00E02E42" w:rsidRDefault="00000000">
      <w:pPr>
        <w:pStyle w:val="ListParagraph"/>
        <w:numPr>
          <w:ilvl w:val="0"/>
          <w:numId w:val="2"/>
        </w:numPr>
        <w:spacing w:line="276" w:lineRule="auto"/>
        <w:jc w:val="both"/>
      </w:pPr>
      <w:r>
        <w:rPr>
          <w:b/>
          <w:bCs/>
        </w:rPr>
        <w:t xml:space="preserve">Does NOT need to do: </w:t>
      </w:r>
      <w:r>
        <w:t>Collect 30–50 cm BD cores simultaneously with the original SOC sampling. VM0042 v2.2’s “where possible” language permits separate-timing collection, subject to spatial co-location and documentation requirements (Section 2.3).</w:t>
      </w:r>
    </w:p>
    <w:p w14:paraId="72F155FA" w14:textId="77777777" w:rsidR="00E02E42" w:rsidRDefault="00000000">
      <w:pPr>
        <w:pStyle w:val="ListParagraph"/>
        <w:numPr>
          <w:ilvl w:val="0"/>
          <w:numId w:val="2"/>
        </w:numPr>
        <w:spacing w:line="276" w:lineRule="auto"/>
        <w:jc w:val="both"/>
      </w:pPr>
      <w:r>
        <w:rPr>
          <w:b/>
          <w:bCs/>
        </w:rPr>
        <w:t xml:space="preserve">SHOULD do (before validation): </w:t>
      </w:r>
      <w:r>
        <w:t>Collect 30–50 cm BD cores using stratum-specific sample sizes (</w:t>
      </w:r>
      <w:proofErr w:type="spellStart"/>
      <w:r>
        <w:t>ANm</w:t>
      </w:r>
      <w:proofErr w:type="spellEnd"/>
      <w:r>
        <w:t xml:space="preserve">: 8, </w:t>
      </w:r>
      <w:proofErr w:type="spellStart"/>
      <w:r>
        <w:t>NTu</w:t>
      </w:r>
      <w:proofErr w:type="spellEnd"/>
      <w:r>
        <w:t xml:space="preserve">: 12, </w:t>
      </w:r>
      <w:proofErr w:type="spellStart"/>
      <w:r>
        <w:t>NTh</w:t>
      </w:r>
      <w:proofErr w:type="spellEnd"/>
      <w:r>
        <w:t>: 6 — 26 new cores total) at existing georeferenced points to establish the baseline soil mass profile for ESM at t=5. No SOC analysis required on these cores.</w:t>
      </w:r>
    </w:p>
    <w:p w14:paraId="2F7C4B36" w14:textId="77777777" w:rsidR="00E02E42" w:rsidRDefault="00E02E42">
      <w:pPr>
        <w:spacing w:after="80"/>
      </w:pPr>
    </w:p>
    <w:p w14:paraId="4E5E25F7" w14:textId="77777777" w:rsidR="00E02E42" w:rsidRDefault="00E02E42">
      <w:pPr>
        <w:pBdr>
          <w:bottom w:val="single" w:sz="2" w:space="1" w:color="CCCCCC"/>
        </w:pBdr>
        <w:spacing w:before="80" w:after="80"/>
      </w:pPr>
    </w:p>
    <w:p w14:paraId="0CE35C49" w14:textId="77777777" w:rsidR="00E02E42" w:rsidRDefault="00000000">
      <w:pPr>
        <w:spacing w:after="80"/>
      </w:pPr>
      <w:r>
        <w:rPr>
          <w:rFonts w:cs="Arial"/>
          <w:sz w:val="16"/>
          <w:szCs w:val="16"/>
          <w:vertAlign w:val="superscript"/>
        </w:rPr>
        <w:t>4</w:t>
      </w:r>
      <w:r>
        <w:rPr>
          <w:rFonts w:cs="Arial"/>
          <w:color w:val="444444"/>
          <w:sz w:val="17"/>
          <w:szCs w:val="17"/>
        </w:rPr>
        <w:t xml:space="preserve"> Ellert, B.H. &amp; Bettany, J.R. (1995). Calculation of organic matter and nutrients stored in soils under contrasting management regimes. Canadian Journal of Soil Science, 75(4), 529–538. Foundational ESM paper.</w:t>
      </w:r>
    </w:p>
    <w:p w14:paraId="0958110C" w14:textId="77777777" w:rsidR="00E02E42" w:rsidRDefault="00000000">
      <w:pPr>
        <w:spacing w:after="80"/>
      </w:pPr>
      <w:r>
        <w:rPr>
          <w:rFonts w:cs="Arial"/>
          <w:sz w:val="16"/>
          <w:szCs w:val="16"/>
          <w:vertAlign w:val="superscript"/>
        </w:rPr>
        <w:t>5</w:t>
      </w:r>
      <w:r>
        <w:rPr>
          <w:rFonts w:cs="Arial"/>
          <w:color w:val="444444"/>
          <w:sz w:val="17"/>
          <w:szCs w:val="17"/>
        </w:rPr>
        <w:t xml:space="preserve"> Wendt, J.W. &amp; Hauser, S. (2013). An equivalent soil mass procedure for monitoring soil organic carbon in multiple soil layers. European Journal of Soil Science, 64(1), 58–65. The cubic spline ESM spreadsheet referenced in VM0042 v2.2 is available on the VM0042 Verra webpage.</w:t>
      </w:r>
    </w:p>
    <w:p w14:paraId="1292B980" w14:textId="77777777" w:rsidR="00E02E42" w:rsidRDefault="00000000">
      <w:pPr>
        <w:spacing w:after="80"/>
      </w:pPr>
      <w:r>
        <w:rPr>
          <w:rFonts w:cs="Arial"/>
          <w:sz w:val="16"/>
          <w:szCs w:val="16"/>
          <w:vertAlign w:val="superscript"/>
        </w:rPr>
        <w:t>6</w:t>
      </w:r>
      <w:r>
        <w:rPr>
          <w:rFonts w:cs="Arial"/>
          <w:color w:val="444444"/>
          <w:sz w:val="17"/>
          <w:szCs w:val="17"/>
        </w:rPr>
        <w:t xml:space="preserve"> VM0042 v2.2, Table 6 and Table 8 govern model input requirements for Quantification Approach 1 at t=0 and at subsequent remeasurement events respectively.</w:t>
      </w:r>
    </w:p>
    <w:p w14:paraId="21E3298F" w14:textId="77777777" w:rsidR="00E02E42" w:rsidRDefault="00000000">
      <w:pPr>
        <w:spacing w:after="80"/>
      </w:pPr>
      <w:r>
        <w:rPr>
          <w:rFonts w:cs="Arial"/>
          <w:sz w:val="16"/>
          <w:szCs w:val="16"/>
          <w:vertAlign w:val="superscript"/>
        </w:rPr>
        <w:t>7</w:t>
      </w:r>
      <w:r>
        <w:rPr>
          <w:rFonts w:cs="Arial"/>
          <w:color w:val="444444"/>
          <w:sz w:val="17"/>
          <w:szCs w:val="17"/>
        </w:rPr>
        <w:t xml:space="preserve"> Grossman, R.B. &amp; Reinsch, T.G. (2002). Bulk density and linear extensibility. In: Methods of Soil Analysis, Part 4. Soil Science Society of America, Madison, WI. Subsoil BD (&gt;25 cm) typically exhibits lower spatial variability than surface layers subject to tillage.</w:t>
      </w:r>
    </w:p>
    <w:p w14:paraId="22BE266C" w14:textId="77777777" w:rsidR="00E02E42" w:rsidRDefault="00000000">
      <w:pPr>
        <w:spacing w:after="80"/>
      </w:pPr>
      <w:r>
        <w:rPr>
          <w:rFonts w:cs="Arial"/>
          <w:sz w:val="16"/>
          <w:szCs w:val="16"/>
          <w:vertAlign w:val="superscript"/>
        </w:rPr>
        <w:t>8</w:t>
      </w:r>
      <w:r>
        <w:rPr>
          <w:rFonts w:cs="Arial"/>
          <w:color w:val="444444"/>
          <w:sz w:val="17"/>
          <w:szCs w:val="17"/>
        </w:rPr>
        <w:t xml:space="preserve"> FAO (2019). Soil Organic Carbon: the hidden potential. FAO, Rome. Precision-target sampling framework adapted from Chapter 5; the same FAO (2019) reference is cited directly in VM0042 v2.2 Section 8.2.1.3.</w:t>
      </w:r>
    </w:p>
    <w:sectPr w:rsidR="00E02E42">
      <w:footerReference w:type="default" r:id="rId7"/>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4CA9" w14:textId="77777777" w:rsidR="00ED6C40" w:rsidRDefault="00ED6C40">
      <w:r>
        <w:separator/>
      </w:r>
    </w:p>
  </w:endnote>
  <w:endnote w:type="continuationSeparator" w:id="0">
    <w:p w14:paraId="52BF3C36" w14:textId="77777777" w:rsidR="00ED6C40" w:rsidRDefault="00ED6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440F" w14:textId="77777777" w:rsidR="00E02E42" w:rsidRDefault="00000000">
    <w:pPr>
      <w:jc w:val="center"/>
    </w:pPr>
    <w:r>
      <w:rPr>
        <w:rFonts w:cs="Arial"/>
        <w:color w:val="888888"/>
        <w:sz w:val="17"/>
        <w:szCs w:val="17"/>
      </w:rPr>
      <w:t xml:space="preserve">Page </w:t>
    </w:r>
    <w:r>
      <w:rPr>
        <w:rFonts w:cs="Arial"/>
        <w:color w:val="888888"/>
        <w:sz w:val="17"/>
        <w:szCs w:val="17"/>
      </w:rPr>
      <w:fldChar w:fldCharType="begin"/>
    </w:r>
    <w:r>
      <w:rPr>
        <w:rFonts w:cs="Arial"/>
        <w:color w:val="888888"/>
        <w:sz w:val="17"/>
        <w:szCs w:val="17"/>
      </w:rPr>
      <w:instrText>PAGE</w:instrText>
    </w:r>
    <w:r>
      <w:rPr>
        <w:rFonts w:cs="Arial"/>
        <w:color w:val="888888"/>
        <w:sz w:val="17"/>
        <w:szCs w:val="17"/>
      </w:rPr>
      <w:fldChar w:fldCharType="separate"/>
    </w:r>
    <w:r w:rsidR="006709F8">
      <w:rPr>
        <w:rFonts w:cs="Arial"/>
        <w:noProof/>
        <w:color w:val="888888"/>
        <w:sz w:val="17"/>
        <w:szCs w:val="17"/>
      </w:rPr>
      <w:t>1</w:t>
    </w:r>
    <w:r>
      <w:rPr>
        <w:rFonts w:cs="Arial"/>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5585" w14:textId="77777777" w:rsidR="00ED6C40" w:rsidRDefault="00ED6C40">
      <w:r>
        <w:separator/>
      </w:r>
    </w:p>
  </w:footnote>
  <w:footnote w:type="continuationSeparator" w:id="0">
    <w:p w14:paraId="6B9E0791" w14:textId="77777777" w:rsidR="00ED6C40" w:rsidRDefault="00ED6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6608"/>
    <w:multiLevelType w:val="hybridMultilevel"/>
    <w:tmpl w:val="2C284BE4"/>
    <w:lvl w:ilvl="0" w:tplc="E624A894">
      <w:start w:val="1"/>
      <w:numFmt w:val="bullet"/>
      <w:lvlText w:val="•"/>
      <w:lvlJc w:val="left"/>
      <w:pPr>
        <w:spacing w:after="100"/>
        <w:ind w:left="600" w:hanging="300"/>
      </w:pPr>
    </w:lvl>
    <w:lvl w:ilvl="1" w:tplc="B6D0F272">
      <w:numFmt w:val="decimal"/>
      <w:lvlText w:val=""/>
      <w:lvlJc w:val="left"/>
    </w:lvl>
    <w:lvl w:ilvl="2" w:tplc="86A83E58">
      <w:numFmt w:val="decimal"/>
      <w:lvlText w:val=""/>
      <w:lvlJc w:val="left"/>
    </w:lvl>
    <w:lvl w:ilvl="3" w:tplc="1E9A746A">
      <w:numFmt w:val="decimal"/>
      <w:lvlText w:val=""/>
      <w:lvlJc w:val="left"/>
    </w:lvl>
    <w:lvl w:ilvl="4" w:tplc="733E7D3C">
      <w:numFmt w:val="decimal"/>
      <w:lvlText w:val=""/>
      <w:lvlJc w:val="left"/>
    </w:lvl>
    <w:lvl w:ilvl="5" w:tplc="CE8084CA">
      <w:numFmt w:val="decimal"/>
      <w:lvlText w:val=""/>
      <w:lvlJc w:val="left"/>
    </w:lvl>
    <w:lvl w:ilvl="6" w:tplc="E09C44C0">
      <w:numFmt w:val="decimal"/>
      <w:lvlText w:val=""/>
      <w:lvlJc w:val="left"/>
    </w:lvl>
    <w:lvl w:ilvl="7" w:tplc="020E2466">
      <w:numFmt w:val="decimal"/>
      <w:lvlText w:val=""/>
      <w:lvlJc w:val="left"/>
    </w:lvl>
    <w:lvl w:ilvl="8" w:tplc="AC501160">
      <w:numFmt w:val="decimal"/>
      <w:lvlText w:val=""/>
      <w:lvlJc w:val="left"/>
    </w:lvl>
  </w:abstractNum>
  <w:abstractNum w:abstractNumId="1" w15:restartNumberingAfterBreak="0">
    <w:nsid w:val="7EE02EB1"/>
    <w:multiLevelType w:val="hybridMultilevel"/>
    <w:tmpl w:val="DED41426"/>
    <w:lvl w:ilvl="0" w:tplc="5D4E14D2">
      <w:start w:val="1"/>
      <w:numFmt w:val="bullet"/>
      <w:lvlText w:val="●"/>
      <w:lvlJc w:val="left"/>
      <w:pPr>
        <w:ind w:left="720" w:hanging="360"/>
      </w:pPr>
    </w:lvl>
    <w:lvl w:ilvl="1" w:tplc="0E4CF25C">
      <w:start w:val="1"/>
      <w:numFmt w:val="bullet"/>
      <w:lvlText w:val="○"/>
      <w:lvlJc w:val="left"/>
      <w:pPr>
        <w:ind w:left="1440" w:hanging="360"/>
      </w:pPr>
    </w:lvl>
    <w:lvl w:ilvl="2" w:tplc="3E8ABF54">
      <w:start w:val="1"/>
      <w:numFmt w:val="bullet"/>
      <w:lvlText w:val="■"/>
      <w:lvlJc w:val="left"/>
      <w:pPr>
        <w:ind w:left="2160" w:hanging="360"/>
      </w:pPr>
    </w:lvl>
    <w:lvl w:ilvl="3" w:tplc="9C62E802">
      <w:start w:val="1"/>
      <w:numFmt w:val="bullet"/>
      <w:lvlText w:val="●"/>
      <w:lvlJc w:val="left"/>
      <w:pPr>
        <w:ind w:left="2880" w:hanging="360"/>
      </w:pPr>
    </w:lvl>
    <w:lvl w:ilvl="4" w:tplc="3D185592">
      <w:start w:val="1"/>
      <w:numFmt w:val="bullet"/>
      <w:lvlText w:val="○"/>
      <w:lvlJc w:val="left"/>
      <w:pPr>
        <w:ind w:left="3600" w:hanging="360"/>
      </w:pPr>
    </w:lvl>
    <w:lvl w:ilvl="5" w:tplc="42A8A94A">
      <w:start w:val="1"/>
      <w:numFmt w:val="bullet"/>
      <w:lvlText w:val="■"/>
      <w:lvlJc w:val="left"/>
      <w:pPr>
        <w:ind w:left="4320" w:hanging="360"/>
      </w:pPr>
    </w:lvl>
    <w:lvl w:ilvl="6" w:tplc="FD4282F8">
      <w:start w:val="1"/>
      <w:numFmt w:val="bullet"/>
      <w:lvlText w:val="●"/>
      <w:lvlJc w:val="left"/>
      <w:pPr>
        <w:ind w:left="5040" w:hanging="360"/>
      </w:pPr>
    </w:lvl>
    <w:lvl w:ilvl="7" w:tplc="F21A7FB2">
      <w:start w:val="1"/>
      <w:numFmt w:val="bullet"/>
      <w:lvlText w:val="●"/>
      <w:lvlJc w:val="left"/>
      <w:pPr>
        <w:ind w:left="5760" w:hanging="360"/>
      </w:pPr>
    </w:lvl>
    <w:lvl w:ilvl="8" w:tplc="4FDAC4F6">
      <w:start w:val="1"/>
      <w:numFmt w:val="bullet"/>
      <w:lvlText w:val="●"/>
      <w:lvlJc w:val="left"/>
      <w:pPr>
        <w:ind w:left="6480" w:hanging="360"/>
      </w:pPr>
    </w:lvl>
  </w:abstractNum>
  <w:num w:numId="1" w16cid:durableId="675155693">
    <w:abstractNumId w:val="1"/>
    <w:lvlOverride w:ilvl="0">
      <w:startOverride w:val="1"/>
    </w:lvlOverride>
  </w:num>
  <w:num w:numId="2" w16cid:durableId="112461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E42"/>
    <w:rsid w:val="006709F8"/>
    <w:rsid w:val="00953511"/>
    <w:rsid w:val="00A22F8B"/>
    <w:rsid w:val="00E02E42"/>
    <w:rsid w:val="00ED6C40"/>
    <w:rsid w:val="00FD4E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84BABF7"/>
  <w15:docId w15:val="{0A4BE398-0FFD-1842-A335-E80A9595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pBdr>
        <w:bottom w:val="single" w:sz="6" w:space="4" w:color="2E7D4F"/>
      </w:pBdr>
      <w:spacing w:before="360" w:after="160"/>
      <w:outlineLvl w:val="0"/>
    </w:pPr>
    <w:rPr>
      <w:b/>
      <w:bCs/>
      <w:color w:val="111111"/>
      <w:sz w:val="30"/>
      <w:szCs w:val="30"/>
    </w:rPr>
  </w:style>
  <w:style w:type="paragraph" w:styleId="Heading2">
    <w:name w:val="heading 2"/>
    <w:uiPriority w:val="9"/>
    <w:unhideWhenUsed/>
    <w:qFormat/>
    <w:pPr>
      <w:spacing w:before="280" w:after="120"/>
      <w:outlineLvl w:val="1"/>
    </w:pPr>
    <w:rPr>
      <w:b/>
      <w:bCs/>
      <w:color w:val="2E7D4F"/>
      <w:sz w:val="24"/>
      <w:szCs w:val="24"/>
    </w:rPr>
  </w:style>
  <w:style w:type="paragraph" w:styleId="Heading3">
    <w:name w:val="heading 3"/>
    <w:uiPriority w:val="9"/>
    <w:semiHidden/>
    <w:unhideWhenUsed/>
    <w:qFormat/>
    <w:pPr>
      <w:spacing w:before="200" w:after="80"/>
      <w:outlineLvl w:val="2"/>
    </w:pPr>
    <w:rPr>
      <w:b/>
      <w:bCs/>
      <w:color w:val="2E7D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2522</Words>
  <Characters>14380</Characters>
  <Application>Microsoft Office Word</Application>
  <DocSecurity>0</DocSecurity>
  <Lines>119</Lines>
  <Paragraphs>33</Paragraphs>
  <ScaleCrop>false</ScaleCrop>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Bendre, Mihir Y</cp:lastModifiedBy>
  <cp:revision>3</cp:revision>
  <dcterms:created xsi:type="dcterms:W3CDTF">2026-04-01T20:11:00Z</dcterms:created>
  <dcterms:modified xsi:type="dcterms:W3CDTF">2026-04-01T20:56:00Z</dcterms:modified>
</cp:coreProperties>
</file>