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Datasheet Storage — Final Plan</w:t>
      </w:r>
    </w:p>
    <w:p>
      <w:r>
        <w:rPr>
          <w:b w:val="0"/>
          <w:i/>
          <w:sz w:val="22"/>
        </w:rPr>
        <w:t>Normalising the 11 EMC datasheets for querying, without making the form slower on a remote database.</w:t>
      </w:r>
    </w:p>
    <w:p>
      <w:r>
        <w:rPr>
          <w:b w:val="0"/>
          <w:i/>
          <w:sz w:val="18"/>
        </w:rPr>
        <w:t>Branch merged-workflow  ·  DDL: docs/datasheet_schema.sql  ·  supersedes the earlier draft plan</w:t>
      </w:r>
    </w:p>
    <w:p>
      <w:pPr>
        <w:pStyle w:val="Heading1"/>
      </w:pPr>
      <w:r>
        <w:t>1. The constraint that drives this design</w:t>
      </w:r>
    </w:p>
    <w:p>
      <w:r>
        <w:rPr>
          <w:b w:val="0"/>
          <w:i w:val="0"/>
        </w:rPr>
        <w:t>The database is deployed, not local. On a remote database the cost of a request is the number of ROUND TRIPS, not the number of rows. Everything below is designed against a round-trip budget.</w:t>
      </w:r>
    </w:p>
    <w:p>
      <w:r>
        <w:rPr>
          <w:b/>
          <w:i w:val="0"/>
        </w:rPr>
        <w:t>Measured on the real routes (instrumented at the SQLAlchemy cursor):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419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1701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Round trips today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@30 ms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@60 ms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@120 ms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GET datasheet form (page load)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720 ms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1.44 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2.88 s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POST autosave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120 ms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240 ms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480 ms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The headline finding is not about the new tables at all: the datasheet form already costs 24 round trips to open. On a 60 ms link that is roughly one and a half seconds of pure network wait before anything renders — and it is happening today, before a single new table exists.</w:t>
      </w:r>
    </w:p>
    <w:p>
      <w:pPr>
        <w:pStyle w:val="Heading1"/>
      </w:pPr>
      <w:r>
        <w:t>2. Issues found, and the fix chosen for each</w:t>
      </w:r>
    </w:p>
    <w:p>
      <w:pPr>
        <w:pStyle w:val="Heading2"/>
      </w:pPr>
      <w:r>
        <w:t>Issue 1 — the form page load is chatty (24 round trips)</w:t>
      </w:r>
    </w:p>
    <w:p>
      <w:r>
        <w:rPr>
          <w:b w:val="0"/>
          <w:i w:val="0"/>
        </w:rPr>
        <w:t>Breakdown of the 24, from the instrumented run: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7"/>
        </w:rPr>
        <w:t>4x  basic_standard_map        (same lookup, repeated)</w:t>
      </w:r>
      <w:r>
        <w:br/>
      </w:r>
      <w:r>
        <w:rPr>
          <w:rFonts w:ascii="Consolas" w:hAnsi="Consolas"/>
          <w:sz w:val="17"/>
        </w:rPr>
        <w:t>3x  datasheet_fixed_values    (same lookup, repeated)</w:t>
      </w:r>
      <w:r>
        <w:br/>
      </w:r>
      <w:r>
        <w:rPr>
          <w:rFonts w:ascii="Consolas" w:hAnsi="Consolas"/>
          <w:sz w:val="17"/>
        </w:rPr>
        <w:t>3x  datasheet_records         (draft_form + get_record + draft_images all</w:t>
      </w:r>
      <w:r>
        <w:br/>
      </w:r>
      <w:r>
        <w:rPr>
          <w:rFonts w:ascii="Consolas" w:hAnsi="Consolas"/>
          <w:sz w:val="17"/>
        </w:rPr>
        <w:t xml:space="preserve">                               fetch THE SAME ROW independently - and that</w:t>
      </w:r>
      <w:r>
        <w:br/>
      </w:r>
      <w:r>
        <w:rPr>
          <w:rFonts w:ascii="Consolas" w:hAnsi="Consolas"/>
          <w:sz w:val="17"/>
        </w:rPr>
        <w:t xml:space="preserve">                               row carries a 3-6.5 KB form_json blob)</w:t>
      </w:r>
      <w:r>
        <w:br/>
      </w:r>
      <w:r>
        <w:rPr>
          <w:rFonts w:ascii="Consolas" w:hAnsi="Consolas"/>
          <w:sz w:val="17"/>
        </w:rPr>
        <w:t>2x  iec_emc_requests</w:t>
      </w:r>
      <w:r>
        <w:br/>
      </w:r>
      <w:r>
        <w:rPr>
          <w:rFonts w:ascii="Consolas" w:hAnsi="Consolas"/>
          <w:sz w:val="17"/>
        </w:rPr>
        <w:t>2x  iec_emc_request_product_standards</w:t>
      </w:r>
      <w:r>
        <w:br/>
      </w:r>
      <w:r>
        <w:rPr>
          <w:rFonts w:ascii="Consolas" w:hAnsi="Consolas"/>
          <w:sz w:val="17"/>
        </w:rPr>
        <w:t>2x  equipment</w:t>
      </w:r>
      <w:r>
        <w:br/>
      </w:r>
      <w:r>
        <w:rPr>
          <w:rFonts w:ascii="Consolas" w:hAnsi="Consolas"/>
          <w:sz w:val="17"/>
        </w:rPr>
        <w:t>1x  planner_entries   ... plus session/user lookups</w:t>
      </w:r>
    </w:p>
    <w:p>
      <w:r>
        <w:rPr>
          <w:b w:val="0"/>
          <w:i w:val="0"/>
        </w:rPr>
        <w:t>Options considered: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328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Effect</w:t>
            </w:r>
          </w:p>
        </w:tc>
        <w:tc>
          <w:tcPr>
            <w:tcW w:type="dxa" w:w="317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Leave it; only optimise the new code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form stays at 24 RT; adding projection makes it worse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Rejected — the biggest UX cost is left untouched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Add a caching layer (Redis/memcached)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fast, but a new service to deploy and operate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Rejected — disproportionate for 19 reference rows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Dedupe the repeated queries + cache the two tiny reference tables in-process, eager-load the request's children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24 RT -&gt; about 8 RT, no new infrastructure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CHOSEN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Concretely: fetch the datasheet_records row ONCE per request and pass it to the three consumers; memoise datasheet_fixed_values (4 rows) and basic_standard_map (15 rows) per process with a short TTL — they are admin-edited perhaps monthly; joinedload the request's product_standards; combine the equipment and software lookups into one query.</w:t>
      </w:r>
    </w:p>
    <w:p>
      <w:r>
        <w:rPr>
          <w:b/>
          <w:i w:val="0"/>
        </w:rPr>
        <w:t>Expected: 24 -&gt; ~8 round trips. At 60 ms that is 1.44 s -&gt; 0.48 s on every form open. This is the single largest user-visible win available, and it is independent of the normalisation work.</w:t>
      </w:r>
    </w:p>
    <w:p>
      <w:pPr>
        <w:pStyle w:val="Heading2"/>
      </w:pPr>
      <w:r>
        <w:t>Issue 2 — projecting on every autosave would double its cost</w:t>
      </w:r>
    </w:p>
    <w:p>
      <w:r>
        <w:rPr>
          <w:b w:val="0"/>
          <w:i w:val="0"/>
        </w:rPr>
        <w:t>A full projection is 1 header UPSERT + 1 spec UPSERT + 1 DELETE + 1 batched INSERT = about 4 extra round trips, on top of the 4 the autosave already costs. At 60 ms that takes the autosave from 240 ms to roughly 480 ms, every 1.5 s while an engineer is typing.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192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Autosave cost</w:t>
            </w:r>
          </w:p>
        </w:tc>
        <w:tc>
          <w:tcPr>
            <w:tcW w:type="dxa" w:w="453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Full projection on every autosave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 RT (480 ms @60)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Rejected — doubles the cost to keep a half-finished draft queryable, which nothing asks for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Project in a background thread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 RT perceived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Rejected — no task queue in this app; two autosaves from a fast typist can race and interleave a delete-then-reinsert into a half-written grid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Stored procedure taking the whole form as JSON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 RT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Rejected — fastest, but puts mapping logic in the database and needs separate deployment and versioning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Two-tier: header row on autosave, everything else at lifecycle events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 RT (unchanged)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CHOSEN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two-tier split works because the header carries what anyone actually asks about — who, which test, which job, status, result, dates. The expensive part is the child rows, and those only become interesting once the datasheet is submitted.</w:t>
      </w:r>
    </w:p>
    <w:p>
      <w:r>
        <w:rPr>
          <w:b w:val="0"/>
          <w:i w:val="0"/>
        </w:rPr>
        <w:t>And it costs nothing net, because the existing autosave has a round trip to spare: upsert_record currently SELECTs the whole record (including the form_json blob) purely to merge image paths. When no new image was posted — the normal case while typing — that SELECT is unnecessary.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969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26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Today</w:t>
            </w:r>
          </w:p>
        </w:tc>
        <w:tc>
          <w:tcPr>
            <w:tcW w:type="dxa" w:w="3402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With the plan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autosave round trips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 xml:space="preserve">  1. load user/session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 xml:space="preserve">  2. load planner entry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 xml:space="preserve">  3. SELECT datasheet_records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dropped when no new image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 xml:space="preserve">  4. UPSERT form_json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 xml:space="preserve">  5. UPSERT datasheet header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added</w:t>
            </w:r>
          </w:p>
        </w:tc>
      </w:tr>
    </w:tbl>
    <w:p>
      <w:pPr>
        <w:spacing w:after="40"/>
      </w:pPr>
    </w:p>
    <w:p>
      <w:pPr>
        <w:pStyle w:val="Heading2"/>
      </w:pPr>
      <w:r>
        <w:t>Issue 3 — the form must NOT read from the normalised tables</w:t>
      </w:r>
    </w:p>
    <w:p>
      <w:r>
        <w:rPr>
          <w:b w:val="0"/>
          <w:i w:val="0"/>
        </w:rPr>
        <w:t>The earlier plan proposed eventually switching the form's read path onto the new tables and retiring form_json. On a remote database that is the wrong direction: rebuilding a form from 19 tables is many round trips, where reading one JSON document is one.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19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Read path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Round trips</w:t>
            </w:r>
          </w:p>
        </w:tc>
        <w:tc>
          <w:tcPr>
            <w:tcW w:type="dxa" w:w="3969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form_json (one row, one blob)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CHOSEN — stays the form's read path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reassemble from header + spec + 4 child tables + images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 or more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Rejected on a high-latency link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So the duplication is not a migration artefact to be removed later — it is a deliberate split, and the latency constraint is what justifies it: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7"/>
        </w:rPr>
        <w:t>form_json          = the WORKING DOCUMENT   -&gt; 1 RT to load, 1 RT to save</w:t>
      </w:r>
      <w:r>
        <w:br/>
      </w:r>
      <w:r>
        <w:rPr>
          <w:rFonts w:ascii="Consolas" w:hAnsi="Consolas"/>
          <w:sz w:val="17"/>
        </w:rPr>
        <w:t>normalised tables  = the QUERY SURFACE      -&gt; never on the form's hot path</w:t>
      </w:r>
    </w:p>
    <w:p>
      <w:r>
        <w:rPr>
          <w:b w:val="0"/>
          <w:i w:val="0"/>
        </w:rPr>
        <w:t>This also settles the earlier objection about two copies. They are not two copies of the same thing serving the same purpose; they are a write model and a read model. form_json remains the source of truth: if they ever disagree, the tables are rebuilt from it.</w:t>
      </w:r>
    </w:p>
    <w:p>
      <w:pPr>
        <w:pStyle w:val="Heading2"/>
      </w:pPr>
      <w:r>
        <w:t>Issue 4 — the NL search opens a new DB connection per question</w:t>
      </w:r>
    </w:p>
    <w:p>
      <w:r>
        <w:rPr>
          <w:b w:val="0"/>
          <w:i w:val="0"/>
        </w:rPr>
        <w:t>nlp_search/sql_tool.py calls pymysql.connect() for every query, deliberately, so the read-only session settings can never leak into the app's pool. On a remote database a fresh connection costs a TCP handshake plus authentication — roughly 3 round trips — before the query even starts, and the agent may issue several queries per question.</w:t>
      </w:r>
    </w:p>
    <w:p>
      <w:r>
        <w:rPr>
          <w:b w:val="0"/>
          <w:i w:val="0"/>
        </w:rPr>
        <w:t>Chosen fix: keep the dedicated connection (the isolation is worth it) but hold a small, separate pool of them rather than reconnecting each time. Same isolation, the handshake paid once.</w:t>
      </w:r>
    </w:p>
    <w:p>
      <w:pPr>
        <w:pStyle w:val="Heading2"/>
      </w:pPr>
      <w:r>
        <w:t>Issue 5 — pool_pre_ping adds a hidden round trip per request</w:t>
      </w:r>
    </w:p>
    <w:p>
      <w:r>
        <w:rPr>
          <w:b w:val="0"/>
          <w:i w:val="0"/>
        </w:rPr>
        <w:t>SQLALCHEMY_ENGINE_OPTIONS sets pool_pre_ping=True, which issues a SELECT 1 on every connection checkout. That is invisible next to 24 round trips; once the form is down to 8 it is over 10 per cent of the page load.</w:t>
      </w:r>
    </w:p>
    <w:p>
      <w:r>
        <w:rPr>
          <w:b w:val="0"/>
          <w:i w:val="0"/>
        </w:rPr>
        <w:t>Chosen fix: keep it. It prevents the stale-connection errors that a remote database will otherwise produce after idle periods, and correctness beats 30 ms. Revisit only if pool_recycle can be tuned below the server's wait_timeout with confidence.</w:t>
      </w:r>
    </w:p>
    <w:p>
      <w:r>
        <w:br w:type="page"/>
      </w:r>
    </w:p>
    <w:p>
      <w:pPr>
        <w:pStyle w:val="Heading1"/>
      </w:pPr>
      <w:r>
        <w:t>3. Final architecture</w:t>
      </w:r>
    </w:p>
    <w:p>
      <w:pPr>
        <w:spacing w:before="80" w:after="160"/>
        <w:ind w:left="170"/>
        <w:shd w:val="clear" w:fill="F4F5F7"/>
      </w:pPr>
      <w:r>
        <w:rPr>
          <w:rFonts w:ascii="Consolas" w:hAnsi="Consolas"/>
          <w:sz w:val="17"/>
        </w:rPr>
        <w:t>WRITE (hot path, latency-critical)</w:t>
      </w:r>
      <w:r>
        <w:br/>
      </w:r>
      <w:r>
        <w:rPr>
          <w:rFonts w:ascii="Consolas" w:hAnsi="Consolas"/>
          <w:sz w:val="17"/>
        </w:rPr>
        <w:t xml:space="preserve">  autosave   -&gt; form_json  +  datasheet header row          4 RT</w:t>
      </w:r>
      <w:r>
        <w:br/>
      </w:r>
      <w:r>
        <w:rPr>
          <w:rFonts w:ascii="Consolas" w:hAnsi="Consolas"/>
          <w:sz w:val="17"/>
        </w:rPr>
        <w:t xml:space="preserve">  save/submit-&gt; form_json  +  FULL projection + revision     ~8 RT (user waits</w:t>
      </w:r>
      <w:r>
        <w:br/>
      </w:r>
      <w:r>
        <w:rPr>
          <w:rFonts w:ascii="Consolas" w:hAnsi="Consolas"/>
          <w:sz w:val="17"/>
        </w:rPr>
        <w:t xml:space="preserve">                                                              anyway: the .docx</w:t>
      </w:r>
      <w:r>
        <w:br/>
      </w:r>
      <w:r>
        <w:rPr>
          <w:rFonts w:ascii="Consolas" w:hAnsi="Consolas"/>
          <w:sz w:val="17"/>
        </w:rPr>
        <w:t xml:space="preserve">                                                              render dominates)</w:t>
      </w:r>
      <w:r>
        <w:br/>
      </w:r>
      <w:r>
        <w:rPr>
          <w:rFonts w:ascii="Consolas" w:hAnsi="Consolas"/>
          <w:sz w:val="17"/>
        </w:rPr>
        <w:t xml:space="preserve">  approve/   -&gt; status + revision decided_at + history row   ~3 RT</w:t>
      </w:r>
      <w:r>
        <w:br/>
      </w:r>
      <w:r>
        <w:rPr>
          <w:rFonts w:ascii="Consolas" w:hAnsi="Consolas"/>
          <w:sz w:val="17"/>
        </w:rPr>
        <w:t xml:space="preserve">  reject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READ</w:t>
      </w:r>
      <w:r>
        <w:br/>
      </w:r>
      <w:r>
        <w:rPr>
          <w:rFonts w:ascii="Consolas" w:hAnsi="Consolas"/>
          <w:sz w:val="17"/>
        </w:rPr>
        <w:t xml:space="preserve">  the form   -&gt; form_json only                               1 RT</w:t>
      </w:r>
      <w:r>
        <w:br/>
      </w:r>
      <w:r>
        <w:rPr>
          <w:rFonts w:ascii="Consolas" w:hAnsi="Consolas"/>
          <w:sz w:val="17"/>
        </w:rPr>
        <w:t xml:space="preserve">  NL search  -&gt; normalised tables only                       never touches JSON</w:t>
      </w:r>
      <w:r>
        <w:br/>
      </w:r>
      <w:r>
        <w:rPr>
          <w:rFonts w:ascii="Consolas" w:hAnsi="Consolas"/>
          <w:sz w:val="17"/>
        </w:rPr>
        <w:t xml:space="preserve">  reports    -&gt; form_json (unchanged)</w:t>
      </w:r>
    </w:p>
    <w:p>
      <w:r>
        <w:rPr>
          <w:b w:val="0"/>
          <w:i w:val="0"/>
        </w:rPr>
        <w:t>Nineteen tables, 278 columns, 18 foreign keys — unchanged from the reviewed schema and already verified by execution. What changed is WHEN each part is written, not what is stored.</w:t>
      </w:r>
    </w:p>
    <w:p>
      <w:pPr>
        <w:pStyle w:val="Heading1"/>
      </w:pPr>
      <w:r>
        <w:t>4. Delivery order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680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19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Work</w:t>
            </w:r>
          </w:p>
        </w:tc>
        <w:tc>
          <w:tcPr>
            <w:tcW w:type="dxa" w:w="3061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User-visible effect</w:t>
            </w:r>
          </w:p>
        </w:tc>
        <w:tc>
          <w:tcPr>
            <w:tcW w:type="dxa" w:w="1701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Read-path optimisation: dedupe the 3 record fetches, memoise the two reference tables, eager-load children, merge equipment/software.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Form opens roughly 3x faster. No schema change.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very low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Create the 19 tables (idempotent ensure_*). Nothing writes to them yet.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None.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projection.py + backfill CLI. Run the backfill; verify against form_json.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 — nothing reads the tables yet.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Header-tier projection on autosave; full projection on save/submit; status history on approve/reject.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None. Autosave cost unchanged (see Issue 2).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Point the NL search at the new tables; give it a connection pool.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NL answers questions it previously could not.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low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Phase 1 is worth doing whether or not the rest proceeds. It is the only item here that makes the application measurably faster for the people using it every day.</w:t>
      </w:r>
    </w:p>
    <w:p>
      <w:pPr>
        <w:pStyle w:val="Heading1"/>
      </w:pPr>
      <w:r>
        <w:t>5. Carried forward from the review</w:t>
      </w:r>
    </w:p>
    <w:p>
      <w:r>
        <w:rPr>
          <w:b w:val="0"/>
          <w:i/>
          <w:sz w:val="18"/>
        </w:rPr>
        <w:t>These corrections from the earlier audit still stand: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628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6009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Resolution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Circular dependency (datasheet_gen -&gt; report_gen)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Grid extractors move into datasheet_gen; report_gen imports from there.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form_json write and projection must not share a transaction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form_json commits first; the projection runs separately, best-effort. A projection failure can never roll back an engineer's edit.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Two sources of truth for status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planner_entries.status stays the workflow truth; datasheet.status is derived.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'Rejected' cannot be reconstructed for existing data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0 of 17 planner entries hold any comments to parse. The audit trail starts empty; only rejections after the hook is added are captured.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CE names four shared fields differently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The projection carries a per-test alias map (report_gen.mapping.KEY_ALIASES is the reference).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Discarding a draft would orphan projected rows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delete_record_for_assignment also deletes the datasheet row; FK cascade clears the children.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revision_no increment rule undefined</w:t>
            </w:r>
          </w:p>
        </w:tc>
        <w:tc>
          <w:tcPr>
            <w:tcW w:type="dxa" w:w="6009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Increments once on the first save after a Rejected state, never on autosave.</w:t>
            </w:r>
          </w:p>
        </w:tc>
      </w:tr>
    </w:tbl>
    <w:p>
      <w:pPr>
        <w:spacing w:after="40"/>
      </w:pPr>
    </w:p>
    <w:p>
      <w:pPr>
        <w:pStyle w:val="Heading1"/>
      </w:pPr>
      <w:r>
        <w:t>6. What this costs and what it buys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402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3402"/>
            <w:shd w:val="clear" w:fill="1F386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After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Form page load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24 RT  (1.44 s @60 ms)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~8 RT  (0.48 s @60 ms)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Autosave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 RT  (240 ms @60 ms)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 RT  (240 ms @60 ms)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Submit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unchanged + .docx render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+~4 RT, hidden by the render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Queryable datasheet content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none — locked in JSON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19 tables, 278 columns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Rejection audit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free text, unparseable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structured, with actor + reason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Version history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overwritten on resubmit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immutable per-revision snapshots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The form gets faster, the autosave does not get slower, and the data becomes queryable. The only path that pays anything is submit, where a few hundred milliseconds disappear behind the Word render that already happens there.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