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  <w:jc w:val="center"/>
      </w:pPr>
      <w:r>
        <w:rPr>
          <w:rFonts w:ascii="Calibri" w:cs="Calibri" w:eastAsia="Calibri" w:hAnsi="Calibri"/>
          <w:b/>
          <w:bCs/>
          <w:color w:val="5b6878"/>
          <w:sz w:val="22"/>
          <w:szCs w:val="22"/>
        </w:rPr>
        <w:t xml:space="preserve">STEP-BY-STEP GUIDE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193458"/>
          <w:sz w:val="52"/>
          <w:szCs w:val="52"/>
        </w:rPr>
        <w:t xml:space="preserve">Group Remote Control</w:t>
      </w:r>
    </w:p>
    <w:p>
      <w:pPr>
        <w:spacing w:after="60" w:before="80"/>
        <w:jc w:val="center"/>
      </w:pPr>
      <w:r>
        <w:rPr>
          <w:rFonts w:ascii="Calibri" w:cs="Calibri" w:eastAsia="Calibri" w:hAnsi="Calibri"/>
          <w:color w:val="1a2333"/>
          <w:sz w:val="28"/>
          <w:szCs w:val="28"/>
        </w:rPr>
        <w:t xml:space="preserve">Configuration &amp; Operation</w:t>
      </w:r>
    </w:p>
    <w:p>
      <w:pPr>
        <w:spacing w:after="60" w:before="400"/>
        <w:jc w:val="center"/>
      </w:pPr>
      <w:r>
        <w:rPr>
          <w:rFonts w:ascii="Calibri" w:cs="Calibri" w:eastAsia="Calibri" w:hAnsi="Calibri"/>
          <w:color w:val="5b6878"/>
          <w:sz w:val="22"/>
          <w:szCs w:val="22"/>
        </w:rPr>
        <w:t xml:space="preserve">Adani Mumbai · Sewage Treatment Plant</w:t>
      </w:r>
    </w:p>
    <w:p>
      <w:pPr>
        <w:spacing w:after="40" w:before="60"/>
        <w:jc w:val="center"/>
      </w:pPr>
      <w:r>
        <w:rPr>
          <w:rFonts w:ascii="Calibri" w:cs="Calibri" w:eastAsia="Calibri" w:hAnsi="Calibri"/>
          <w:color w:val="5b6878"/>
          <w:sz w:val="22"/>
          <w:szCs w:val="22"/>
        </w:rPr>
        <w:t xml:space="preserve">Version 1.0 · 18 June 2026</w:t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93458"/>
          <w:sz w:val="36"/>
          <w:szCs w:val="36"/>
        </w:rPr>
        <w:t xml:space="preserve">About this guide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a2333"/>
          <w:sz w:val="22"/>
          <w:szCs w:val="22"/>
        </w:rPr>
        <w:t xml:space="preserve">This guide is split into two independent walkthroughs: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alibri" w:cs="Calibri" w:eastAsia="Calibri" w:hAnsi="Calibri"/>
          <w:color w:val="1a2333"/>
          <w:sz w:val="22"/>
          <w:szCs w:val="22"/>
        </w:rPr>
        <w:t xml:space="preserve">Part A — Configuring a group (software side). For the implementer / commissioning engineer who is bringing a new group online.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alibri" w:cs="Calibri" w:eastAsia="Calibri" w:hAnsi="Calibri"/>
          <w:color w:val="1a2333"/>
          <w:sz w:val="22"/>
          <w:szCs w:val="22"/>
        </w:rPr>
        <w:t xml:space="preserve">Part B — Using Group Remote Control (operator side). For the operator who needs to start, stop, or hand control of a group back to the PLC.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a2333"/>
          <w:sz w:val="22"/>
          <w:szCs w:val="22"/>
        </w:rPr>
        <w:t xml:space="preserve">Each part is self-contained — read only the one that applies to your task.</w:t>
      </w:r>
    </w:p>
    <w:p>
      <w:pPr>
        <w:pBdr>
          <w:bottom w:val="single" w:color="d6dde7" w:sz="6" w:space="6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93458"/>
          <w:sz w:val="36"/>
          <w:szCs w:val="36"/>
        </w:rPr>
        <w:t xml:space="preserve">Part A · Configuring a group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a2333"/>
          <w:sz w:val="22"/>
          <w:szCs w:val="22"/>
        </w:rPr>
        <w:t xml:space="preserve">A group is the named collection of equipment that the operator will later start, stop, or place into standby together. Configuring a group is a three-step workflow: name it, associate the equipment that belongs to it, and confirm.</w:t>
      </w:r>
    </w:p>
    <w:p>
      <w:pPr>
        <w:pBdr>
          <w:left w:val="single" w:color="193458" w:sz="18" w:space="10"/>
        </w:pBdr>
        <w:shd w:fill="f4f6fa" w:color="auto" w:val="clear"/>
        <w:spacing w:after="160" w:before="1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Before you start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You need an implementer account and the list of equipment IDs that will participate in the new group. Equipment must already exist in the platform's catalog.</w:t>
      </w:r>
    </w:p>
    <w:p>
      <w:pPr>
        <w:pBdr>
          <w:left w:val="single" w:color="193458" w:sz="24" w:space="8"/>
        </w:pBdr>
        <w:shd w:fill="f4f6fa" w:color="auto" w:val="clear"/>
        <w:spacing w:after="120" w:before="2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STEP 1 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93458"/>
          <w:sz w:val="28"/>
          <w:szCs w:val="28"/>
        </w:rPr>
        <w:t xml:space="preserve">Create the group</w:t>
      </w:r>
    </w:p>
    <w:p>
      <w:pPr>
        <w:spacing w:after="60" w:before="60" w:line="300"/>
        <w:ind w:left="360" w:hanging="3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Open the configuration screen from the page selector.</w:t>
      </w:r>
    </w:p>
    <w:p>
      <w:pPr>
        <w:spacing w:after="60" w:before="60" w:line="300"/>
        <w:ind w:left="360" w:hanging="3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Click + Create group in the top-right of the screen.</w:t>
      </w:r>
    </w:p>
    <w:p>
      <w:pPr>
        <w:spacing w:after="60" w:before="60" w:line="300"/>
        <w:ind w:left="360" w:hanging="3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A centered modal opens. Enter the following:</w:t>
      </w:r>
    </w:p>
    <w:p>
      <w:pPr>
        <w:pStyle w:val="ListParagraph"/>
        <w:numPr>
          <w:ilvl w:val="1"/>
          <w:numId w:val="1"/>
        </w:numPr>
        <w:spacing w:after="40" w:before="40" w:line="280"/>
      </w:pPr>
      <w:r>
        <w:rPr>
          <w:rFonts w:ascii="Calibri" w:cs="Calibri" w:eastAsia="Calibri" w:hAnsi="Calibri"/>
          <w:color w:val="1a2333"/>
          <w:sz w:val="22"/>
          <w:szCs w:val="22"/>
        </w:rPr>
        <w:t xml:space="preserve">Group Name — required. A short, operator-facing label (for example, “Adani SBR Group”, “PSF Train 1”, “RO Skid B”).</w:t>
      </w:r>
    </w:p>
    <w:p>
      <w:pPr>
        <w:pStyle w:val="ListParagraph"/>
        <w:numPr>
          <w:ilvl w:val="1"/>
          <w:numId w:val="1"/>
        </w:numPr>
        <w:spacing w:after="40" w:before="40" w:line="280"/>
      </w:pPr>
      <w:r>
        <w:rPr>
          <w:rFonts w:ascii="Calibri" w:cs="Calibri" w:eastAsia="Calibri" w:hAnsi="Calibri"/>
          <w:color w:val="1a2333"/>
          <w:sz w:val="22"/>
          <w:szCs w:val="22"/>
        </w:rPr>
        <w:t xml:space="preserve">Description — optional. One line that explains what the group does or when it runs.</w:t>
      </w:r>
    </w:p>
    <w:p>
      <w:pPr>
        <w:spacing w:after="60" w:before="60" w:line="300"/>
        <w:ind w:left="360" w:hanging="3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Click Save group. The modal closes and the new group appears as a card at the top of the configuration stack, auto-expanded so you can move to Step 2 immediately.</w:t>
      </w:r>
    </w:p>
    <w:p>
      <w:pPr>
        <w:pBdr>
          <w:left w:val="single" w:color="193458" w:sz="18" w:space="10"/>
        </w:pBdr>
        <w:shd w:fill="f4f6fa" w:color="auto" w:val="clear"/>
        <w:spacing w:after="160" w:before="1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Naming guidance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Use a name the operator will recognise in a stressful situation. Avoid internal codes — pick a name that matches what is written on the panel or the SOP.</w:t>
      </w:r>
    </w:p>
    <w:p>
      <w:pPr>
        <w:pBdr>
          <w:left w:val="single" w:color="193458" w:sz="24" w:space="8"/>
        </w:pBdr>
        <w:shd w:fill="f4f6fa" w:color="auto" w:val="clear"/>
        <w:spacing w:after="120" w:before="2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STEP 2 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93458"/>
          <w:sz w:val="28"/>
          <w:szCs w:val="28"/>
        </w:rPr>
        <w:t xml:space="preserve">Associate equipment with the group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a2333"/>
          <w:sz w:val="22"/>
          <w:szCs w:val="22"/>
        </w:rPr>
        <w:t xml:space="preserve">With the group card expanded, find the Equipment section.</w:t>
      </w:r>
    </w:p>
    <w:p>
      <w:pPr>
        <w:spacing w:after="60" w:before="60" w:line="300"/>
        <w:ind w:left="360" w:hanging="3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Click into the search box labelled “Type to search and add equipment…”.</w:t>
      </w:r>
    </w:p>
    <w:p>
      <w:pPr>
        <w:spacing w:after="60" w:before="60" w:line="300"/>
        <w:ind w:left="360" w:hanging="3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Start typing. The list filters live — by name and by equipment ID.</w:t>
      </w:r>
    </w:p>
    <w:p>
      <w:pPr>
        <w:spacing w:after="60" w:before="60" w:line="300"/>
        <w:ind w:left="360" w:hanging="3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Click any suggestion. The equipment instantly appears as a chip below the search box. The search box clears and is ready for the next entry.</w:t>
      </w:r>
    </w:p>
    <w:p>
      <w:pPr>
        <w:spacing w:after="60" w:before="60" w:line="300"/>
        <w:ind w:left="360" w:hanging="3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Repeat until every piece of equipment that should respond to this group's commands is listed.</w:t>
      </w:r>
    </w:p>
    <w:p>
      <w:pPr>
        <w:spacing w:after="60" w:before="60" w:line="300"/>
        <w:ind w:left="360" w:hanging="3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Removing equipment — click the × on any chip to detach that equipment from the group. There is no confirmation prompt; the change is immediate and reversible.</w:t>
      </w:r>
    </w:p>
    <w:p>
      <w:pPr>
        <w:pBdr>
          <w:left w:val="single" w:color="193458" w:sz="18" w:space="10"/>
        </w:pBdr>
        <w:shd w:fill="f4f6fa" w:color="auto" w:val="clear"/>
        <w:spacing w:after="160" w:before="1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Equipment can belong to more than one group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Re-using the same pump or blower across multiple groups is allowed. The platform reconciles overlapping commands using the interlock rules already configured in the PLC.</w:t>
      </w:r>
    </w:p>
    <w:p>
      <w:pPr>
        <w:pBdr>
          <w:left w:val="single" w:color="193458" w:sz="24" w:space="8"/>
        </w:pBdr>
        <w:shd w:fill="f4f6fa" w:color="auto" w:val="clear"/>
        <w:spacing w:after="120" w:before="2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STEP 3 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93458"/>
          <w:sz w:val="28"/>
          <w:szCs w:val="28"/>
        </w:rPr>
        <w:t xml:space="preserve">Review and finish</w:t>
      </w:r>
    </w:p>
    <w:p>
      <w:pPr>
        <w:spacing w:after="60" w:before="60" w:line="300"/>
        <w:ind w:left="360" w:hanging="3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Scan the card header — it should show the correct equipment count and group name.</w:t>
      </w:r>
    </w:p>
    <w:p>
      <w:pPr>
        <w:spacing w:after="60" w:before="60" w:line="300"/>
        <w:ind w:left="360" w:hanging="3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Click the chevron on the card header to collapse it. The card now lives in the configuration stack alongside any others you have created.</w:t>
      </w:r>
    </w:p>
    <w:p>
      <w:pPr>
        <w:spacing w:after="60" w:before="60" w:line="300"/>
        <w:ind w:left="360" w:hanging="3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The group is now visible to the operator. They will see it in the Group Control panel on the plant layout the next time they refresh that view.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93458"/>
          <w:sz w:val="28"/>
          <w:szCs w:val="28"/>
        </w:rPr>
        <w:t xml:space="preserve">Managing groups after creation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3900"/>
      </w:tblGrid>
      <w:tr>
        <w:trPr>
          <w:tblHeader/>
        </w:trPr>
        <w:tc>
          <w:tcPr>
            <w:tcW w:type="dxa" w:w="24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193458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193458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39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193458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4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Rename or update description</w:t>
            </w:r>
          </w:p>
        </w:tc>
        <w:tc>
          <w:tcPr>
            <w:tcW w:type="dxa" w:w="27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Pencil icon on the group card header</w:t>
            </w:r>
          </w:p>
        </w:tc>
        <w:tc>
          <w:tcPr>
            <w:tcW w:type="dxa" w:w="39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Opens the same modal with current values pre-filled.</w:t>
            </w:r>
          </w:p>
        </w:tc>
      </w:tr>
      <w:tr>
        <w:tc>
          <w:tcPr>
            <w:tcW w:type="dxa" w:w="24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bfc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Add equipment</w:t>
            </w:r>
          </w:p>
        </w:tc>
        <w:tc>
          <w:tcPr>
            <w:tcW w:type="dxa" w:w="27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bfc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Search box inside the expanded card</w:t>
            </w:r>
          </w:p>
        </w:tc>
        <w:tc>
          <w:tcPr>
            <w:tcW w:type="dxa" w:w="39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bfc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Same live autocomplete as during creation.</w:t>
            </w:r>
          </w:p>
        </w:tc>
      </w:tr>
      <w:tr>
        <w:tc>
          <w:tcPr>
            <w:tcW w:type="dxa" w:w="24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Remove equipment</w:t>
            </w:r>
          </w:p>
        </w:tc>
        <w:tc>
          <w:tcPr>
            <w:tcW w:type="dxa" w:w="27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× on the equipment chip</w:t>
            </w:r>
          </w:p>
        </w:tc>
        <w:tc>
          <w:tcPr>
            <w:tcW w:type="dxa" w:w="39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Equipment detaches immediately; no confirm.</w:t>
            </w:r>
          </w:p>
        </w:tc>
      </w:tr>
      <w:tr>
        <w:tc>
          <w:tcPr>
            <w:tcW w:type="dxa" w:w="24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bfc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Delete the group</w:t>
            </w:r>
          </w:p>
        </w:tc>
        <w:tc>
          <w:tcPr>
            <w:tcW w:type="dxa" w:w="27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bfc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Bin icon on the group card header</w:t>
            </w:r>
          </w:p>
        </w:tc>
        <w:tc>
          <w:tcPr>
            <w:tcW w:type="dxa" w:w="39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bfc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Asks to confirm. Equipment is unaffected — only the group definition is removed.</w:t>
            </w:r>
          </w:p>
        </w:tc>
      </w:tr>
      <w:tr>
        <w:tc>
          <w:tcPr>
            <w:tcW w:type="dxa" w:w="24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Search across groups</w:t>
            </w:r>
          </w:p>
        </w:tc>
        <w:tc>
          <w:tcPr>
            <w:tcW w:type="dxa" w:w="27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Search bar at the top of the page</w:t>
            </w:r>
          </w:p>
        </w:tc>
        <w:tc>
          <w:tcPr>
            <w:tcW w:type="dxa" w:w="39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Filters by group name, description, and equipment names.</w:t>
            </w:r>
          </w:p>
        </w:tc>
      </w:tr>
    </w:tbl>
    <w:p>
      <w:pPr>
        <w:pBdr>
          <w:left w:val="single" w:color="193458" w:sz="18" w:space="10"/>
        </w:pBdr>
        <w:shd w:fill="f4f6fa" w:color="auto" w:val="clear"/>
        <w:spacing w:after="160" w:before="1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Validation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Group name is required and cannot be empty. Two groups can share a name, but a warning will appear if you try to save a duplicate. There is no enforced minimum equipment count — an empty group is allowed (operators just see “0 equipment” on it).</w:t>
      </w:r>
    </w:p>
    <w:p>
      <w:pPr>
        <w:pBdr>
          <w:bottom w:val="single" w:color="d6dde7" w:sz="6" w:space="6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93458"/>
          <w:sz w:val="36"/>
          <w:szCs w:val="36"/>
        </w:rPr>
        <w:t xml:space="preserve">Part B · Using Group Remote Control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a2333"/>
          <w:sz w:val="22"/>
          <w:szCs w:val="22"/>
        </w:rPr>
        <w:t xml:space="preserve">Group Remote Control lets you start, stop, or place an entire group of equipment into standby with one action — without overriding the PLC's safety logic. Use it when you need to bring a train, skid, or section up or down as one.</w:t>
      </w:r>
    </w:p>
    <w:p>
      <w:pPr>
        <w:pBdr>
          <w:left w:val="single" w:color="193458" w:sz="18" w:space="10"/>
        </w:pBdr>
        <w:shd w:fill="f4f6fa" w:color="auto" w:val="clear"/>
        <w:spacing w:after="160" w:before="1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When to use this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Group control is for coordinated operations — e.g. bringing the SBR train online for the morning shift. For routine threshold tuning of a single set point, use the Unit Processes drawer instead.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93458"/>
          <w:sz w:val="28"/>
          <w:szCs w:val="28"/>
        </w:rPr>
        <w:t xml:space="preserve">B.1  Opening the Group Control panel</w:t>
      </w:r>
    </w:p>
    <w:p>
      <w:pPr>
        <w:spacing w:after="60" w:before="60" w:line="300"/>
        <w:ind w:left="360" w:hanging="3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On the Plant Layout, click the Group Control button in the top navigation.</w:t>
      </w:r>
    </w:p>
    <w:p>
      <w:pPr>
        <w:spacing w:after="60" w:before="60" w:line="300"/>
        <w:ind w:left="360" w:hanging="3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The Group Control side panel slides in from the right. It is labelled with the group's name (e.g. “Adani SBR Group”) and the live equipment count.</w:t>
      </w:r>
    </w:p>
    <w:p>
      <w:pPr>
        <w:spacing w:after="60" w:before="60" w:line="300"/>
        <w:ind w:left="360" w:hanging="3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If you have more than one group configured, use the group selector at the top of the panel to switch between them.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93458"/>
          <w:sz w:val="28"/>
          <w:szCs w:val="28"/>
        </w:rPr>
        <w:t xml:space="preserve">B.2  Reading the Group Mode card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a2333"/>
          <w:sz w:val="22"/>
          <w:szCs w:val="22"/>
        </w:rPr>
        <w:t xml:space="preserve">The top card of the panel — Group Mode — shows whether the group is currently under remote control or running locally on the PLC.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193458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193458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0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193458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18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Local</w:t>
            </w:r>
          </w:p>
        </w:tc>
        <w:tc>
          <w:tcPr>
            <w:tcW w:type="dxa" w:w="42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PLC is running the group autonomously based on its automation logic.</w:t>
            </w:r>
          </w:p>
        </w:tc>
        <w:tc>
          <w:tcPr>
            <w:tcW w:type="dxa" w:w="30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Read-only. Switch to Remote to take control.</w:t>
            </w:r>
          </w:p>
        </w:tc>
      </w:tr>
      <w:tr>
        <w:tc>
          <w:tcPr>
            <w:tcW w:type="dxa" w:w="18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bfc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Remote</w:t>
            </w:r>
          </w:p>
        </w:tc>
        <w:tc>
          <w:tcPr>
            <w:tcW w:type="dxa" w:w="42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bfc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Group is accepting commands from this software.</w:t>
            </w:r>
          </w:p>
        </w:tc>
        <w:tc>
          <w:tcPr>
            <w:tcW w:type="dxa" w:w="30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bfc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Start / Stop / Standby the group; control individual equipment below.</w:t>
            </w:r>
          </w:p>
        </w:tc>
      </w:tr>
      <w:tr>
        <w:tc>
          <w:tcPr>
            <w:tcW w:type="dxa" w:w="18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Unavailable</w:t>
            </w:r>
          </w:p>
        </w:tc>
        <w:tc>
          <w:tcPr>
            <w:tcW w:type="dxa" w:w="42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Remote link is not negotiated, or the group has no equipment configured.</w:t>
            </w:r>
          </w:p>
        </w:tc>
        <w:tc>
          <w:tcPr>
            <w:tcW w:type="dxa" w:w="30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Click Refresh status. If the message persists, escalate to the controls engineer.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2333"/>
          <w:sz w:val="24"/>
          <w:szCs w:val="24"/>
        </w:rPr>
        <w:t xml:space="preserve">Switching from Local to Remote</w:t>
      </w:r>
    </w:p>
    <w:p>
      <w:pPr>
        <w:spacing w:after="60" w:before="60" w:line="300"/>
        <w:ind w:left="360" w:hanging="3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Click Request Remote Control. A technical loader appears showing the link negotiation with the PLC.</w:t>
      </w:r>
    </w:p>
    <w:p>
      <w:pPr>
        <w:spacing w:after="60" w:before="60" w:line="300"/>
        <w:ind w:left="360" w:hanging="3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The loader runs to completion (typically 3–5 seconds). On success, Group Mode flips to Remote and the action buttons become active.</w:t>
      </w:r>
    </w:p>
    <w:p>
      <w:pPr>
        <w:spacing w:after="60" w:before="60" w:line="300"/>
        <w:ind w:left="360" w:hanging="3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If negotiation fails, the loader reports the failure reason. The group stays in Local. Retry, or escalate if the failure is persistent.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93458"/>
          <w:sz w:val="28"/>
          <w:szCs w:val="28"/>
        </w:rPr>
        <w:t xml:space="preserve">B.3  Group-level actions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a2333"/>
          <w:sz w:val="22"/>
          <w:szCs w:val="22"/>
        </w:rPr>
        <w:t xml:space="preserve">Once Group Mode is Remote, four group-level actions are available.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alibri" w:cs="Calibri" w:eastAsia="Calibri" w:hAnsi="Calibri"/>
          <w:color w:val="1a2333"/>
          <w:sz w:val="22"/>
          <w:szCs w:val="22"/>
        </w:rPr>
        <w:t xml:space="preserve">Start group — commands every equipment in the group to its running state, in the order defined by the PLC's startup sequence. Interlocks are respected.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alibri" w:cs="Calibri" w:eastAsia="Calibri" w:hAnsi="Calibri"/>
          <w:color w:val="1a2333"/>
          <w:sz w:val="22"/>
          <w:szCs w:val="22"/>
        </w:rPr>
        <w:t xml:space="preserve">Stop group — commands every equipment to stop, again in PLC-defined order.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alibri" w:cs="Calibri" w:eastAsia="Calibri" w:hAnsi="Calibri"/>
          <w:color w:val="1a2333"/>
          <w:sz w:val="22"/>
          <w:szCs w:val="22"/>
        </w:rPr>
        <w:t xml:space="preserve">Standby — leaves equipment energised but holds it in a safe idle (for example, pumps stay primed but do not run).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alibri" w:cs="Calibri" w:eastAsia="Calibri" w:hAnsi="Calibri"/>
          <w:color w:val="1a2333"/>
          <w:sz w:val="22"/>
          <w:szCs w:val="22"/>
        </w:rPr>
        <w:t xml:space="preserve">Refresh status — re-reads the PLC. Use this if a panel field looks stale.</w:t>
      </w:r>
    </w:p>
    <w:p>
      <w:pPr>
        <w:pBdr>
          <w:left w:val="single" w:color="193458" w:sz="18" w:space="10"/>
        </w:pBdr>
        <w:shd w:fill="f4f6fa" w:color="auto" w:val="clear"/>
        <w:spacing w:after="160" w:before="1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Interlocks are never bypassed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Group commands are sent equipment-by-equipment in PLC-defined order. If an interlock blocks a piece of equipment, that equipment does not move and the panel reports it inline. The group action does not “fail” as a whole — partial state is shown and you can retry the blocked items individually.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93458"/>
          <w:sz w:val="28"/>
          <w:szCs w:val="28"/>
        </w:rPr>
        <w:t xml:space="preserve">B.4  Controlling individual equipment inside the group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a2333"/>
          <w:sz w:val="22"/>
          <w:szCs w:val="22"/>
        </w:rPr>
        <w:t xml:space="preserve">Below Group Mode is the Equipments card. Each row shows one equipment with its live status and direct controls.</w:t>
      </w:r>
    </w:p>
    <w:p>
      <w:pPr>
        <w:spacing w:after="60" w:before="60" w:line="300"/>
        <w:ind w:left="360" w:hanging="3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Find the equipment in the list. Each row shows the equipment name, its type (pump, blower, valve…), and its current state (Running, Stopped, Standby, Fault).</w:t>
      </w:r>
    </w:p>
    <w:p>
      <w:pPr>
        <w:spacing w:after="60" w:before="60" w:line="300"/>
        <w:ind w:left="360" w:hanging="3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Use the inline action buttons to drive that single equipment. Available actions vary by equipment type:</w:t>
      </w:r>
    </w:p>
    <w:p>
      <w:pPr>
        <w:pStyle w:val="ListParagraph"/>
        <w:numPr>
          <w:ilvl w:val="1"/>
          <w:numId w:val="1"/>
        </w:numPr>
        <w:spacing w:after="40" w:before="40" w:line="280"/>
      </w:pPr>
      <w:r>
        <w:rPr>
          <w:rFonts w:ascii="Calibri" w:cs="Calibri" w:eastAsia="Calibri" w:hAnsi="Calibri"/>
          <w:color w:val="1a2333"/>
          <w:sz w:val="22"/>
          <w:szCs w:val="22"/>
        </w:rPr>
        <w:t xml:space="preserve">Pumps and blowers — Start, Stop, Standby.</w:t>
      </w:r>
    </w:p>
    <w:p>
      <w:pPr>
        <w:pStyle w:val="ListParagraph"/>
        <w:numPr>
          <w:ilvl w:val="1"/>
          <w:numId w:val="1"/>
        </w:numPr>
        <w:spacing w:after="40" w:before="40" w:line="280"/>
      </w:pPr>
      <w:r>
        <w:rPr>
          <w:rFonts w:ascii="Calibri" w:cs="Calibri" w:eastAsia="Calibri" w:hAnsi="Calibri"/>
          <w:color w:val="1a2333"/>
          <w:sz w:val="22"/>
          <w:szCs w:val="22"/>
        </w:rPr>
        <w:t xml:space="preserve">Valves — Open, Close.</w:t>
      </w:r>
    </w:p>
    <w:p>
      <w:pPr>
        <w:pStyle w:val="ListParagraph"/>
        <w:numPr>
          <w:ilvl w:val="1"/>
          <w:numId w:val="1"/>
        </w:numPr>
        <w:spacing w:after="40" w:before="40" w:line="280"/>
      </w:pPr>
      <w:r>
        <w:rPr>
          <w:rFonts w:ascii="Calibri" w:cs="Calibri" w:eastAsia="Calibri" w:hAnsi="Calibri"/>
          <w:color w:val="1a2333"/>
          <w:sz w:val="22"/>
          <w:szCs w:val="22"/>
        </w:rPr>
        <w:t xml:space="preserve">VFD-driven equipment — Set output (opens a small step input).</w:t>
      </w:r>
    </w:p>
    <w:p>
      <w:pPr>
        <w:spacing w:after="60" w:before="60" w:line="300"/>
        <w:ind w:left="360" w:hanging="3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Every individual action respects the same interlocks as group-level actions. If an interlock blocks a command, the affected row shows an interlock badge with the reason (e.g. “Upstream valve closed”).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93458"/>
          <w:sz w:val="28"/>
          <w:szCs w:val="28"/>
        </w:rPr>
        <w:t xml:space="preserve">B.5  Releasing remote control back to the PLC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a2333"/>
          <w:sz w:val="22"/>
          <w:szCs w:val="22"/>
        </w:rPr>
        <w:t xml:space="preserve">When you are done with remote control of a group, hand control back so the PLC's automation can resume.</w:t>
      </w:r>
    </w:p>
    <w:p>
      <w:pPr>
        <w:spacing w:after="60" w:before="60" w:line="300"/>
        <w:ind w:left="360" w:hanging="3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On the Group Mode card, click Release to Local.</w:t>
      </w:r>
    </w:p>
    <w:p>
      <w:pPr>
        <w:spacing w:after="60" w:before="60" w:line="300"/>
        <w:ind w:left="360" w:hanging="3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Optionally, set a delayed release — for example, “return to Local in 30 minutes.” The panel will show a countdown and switch back automatically when it elapses.</w:t>
      </w:r>
    </w:p>
    <w:p>
      <w:pPr>
        <w:spacing w:after="60" w:before="60" w:line="300"/>
        <w:ind w:left="360" w:hanging="3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Confirm the release. The Group Mode flips back to Local; all action buttons are disabled.</w:t>
      </w:r>
    </w:p>
    <w:p>
      <w:pPr>
        <w:pBdr>
          <w:left w:val="single" w:color="193458" w:sz="18" w:space="10"/>
        </w:pBdr>
        <w:shd w:fill="f4f6fa" w:color="auto" w:val="clear"/>
        <w:spacing w:after="160" w:before="160"/>
      </w:pPr>
      <w:r>
        <w:rPr>
          <w:rFonts w:ascii="Calibri" w:cs="Calibri" w:eastAsia="Calibri" w:hAnsi="Calibri"/>
          <w:b/>
          <w:bCs/>
          <w:color w:val="193458"/>
          <w:sz w:val="22"/>
          <w:szCs w:val="22"/>
        </w:rPr>
        <w:t xml:space="preserve">Auto-release safety net  </w:t>
      </w:r>
      <w:r>
        <w:rPr>
          <w:rFonts w:ascii="Calibri" w:cs="Calibri" w:eastAsia="Calibri" w:hAnsi="Calibri"/>
          <w:color w:val="1a2333"/>
          <w:sz w:val="22"/>
          <w:szCs w:val="22"/>
        </w:rPr>
        <w:t xml:space="preserve">If the platform loses its link to this software for more than 5 minutes, the PLC automatically returns the group to Local on its own. This is a safety feature — you can rely on it, but the right habit is to release manually when you finish.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93458"/>
          <w:sz w:val="28"/>
          <w:szCs w:val="28"/>
        </w:rPr>
        <w:t xml:space="preserve">B.6  Audit and logging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a2333"/>
          <w:sz w:val="22"/>
          <w:szCs w:val="22"/>
        </w:rPr>
        <w:t xml:space="preserve">Every group-level and individual-equipment action is logged. The audit entry contains:</w:t>
      </w:r>
    </w:p>
    <w:p>
      <w:pPr>
        <w:shd w:fill="f4f6fa" w:color="auto" w:val="clear"/>
        <w:spacing w:after="60" w:before="60"/>
      </w:pPr>
      <w:r>
        <w:rPr>
          <w:rFonts w:ascii="Consolas" w:cs="Consolas" w:eastAsia="Consolas" w:hAnsi="Consolas"/>
          <w:color w:val="193458"/>
          <w:sz w:val="20"/>
          <w:szCs w:val="20"/>
        </w:rPr>
        <w:t xml:space="preserve">{ ts, user_id, group, equipment_id?, action, before, after, link_status, note? }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i/>
          <w:iCs/>
          <w:color w:val="5b6878"/>
          <w:sz w:val="22"/>
          <w:szCs w:val="22"/>
        </w:rPr>
        <w:t xml:space="preserve">Group-level commands produce one parent entry plus one child entry per equipment that received a command, so the audit viewer can collapse or expand the change set.</w:t>
      </w:r>
    </w:p>
    <w:p>
      <w:pPr>
        <w:pBdr>
          <w:bottom w:val="single" w:color="d6dde7" w:sz="6" w:space="6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93458"/>
          <w:sz w:val="36"/>
          <w:szCs w:val="36"/>
        </w:rPr>
        <w:t xml:space="preserve">Quick reference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400"/>
      </w:tblGrid>
      <w:tr>
        <w:trPr>
          <w:tblHeader/>
        </w:trPr>
        <w:tc>
          <w:tcPr>
            <w:tcW w:type="dxa" w:w="30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193458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want to…</w:t>
            </w:r>
          </w:p>
        </w:tc>
        <w:tc>
          <w:tcPr>
            <w:tcW w:type="dxa" w:w="35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193458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 to</w:t>
            </w:r>
          </w:p>
        </w:tc>
        <w:tc>
          <w:tcPr>
            <w:tcW w:type="dxa" w:w="24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193458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Tap</w:t>
            </w:r>
          </w:p>
        </w:tc>
      </w:tr>
      <w:tr>
        <w:tc>
          <w:tcPr>
            <w:tcW w:type="dxa" w:w="30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Create a new group</w:t>
            </w:r>
          </w:p>
        </w:tc>
        <w:tc>
          <w:tcPr>
            <w:tcW w:type="dxa" w:w="35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Configuration screen</w:t>
            </w:r>
          </w:p>
        </w:tc>
        <w:tc>
          <w:tcPr>
            <w:tcW w:type="dxa" w:w="24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+ Create group → name → Save</w:t>
            </w:r>
          </w:p>
        </w:tc>
      </w:tr>
      <w:tr>
        <w:tc>
          <w:tcPr>
            <w:tcW w:type="dxa" w:w="30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bfc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Add equipment to a group</w:t>
            </w:r>
          </w:p>
        </w:tc>
        <w:tc>
          <w:tcPr>
            <w:tcW w:type="dxa" w:w="35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bfc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Group card → expanded</w:t>
            </w:r>
          </w:p>
        </w:tc>
        <w:tc>
          <w:tcPr>
            <w:tcW w:type="dxa" w:w="24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bfc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Search box → click suggestion</w:t>
            </w:r>
          </w:p>
        </w:tc>
      </w:tr>
      <w:tr>
        <w:tc>
          <w:tcPr>
            <w:tcW w:type="dxa" w:w="30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Rename a group</w:t>
            </w:r>
          </w:p>
        </w:tc>
        <w:tc>
          <w:tcPr>
            <w:tcW w:type="dxa" w:w="35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Group card header</w:t>
            </w:r>
          </w:p>
        </w:tc>
        <w:tc>
          <w:tcPr>
            <w:tcW w:type="dxa" w:w="24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Pencil icon</w:t>
            </w:r>
          </w:p>
        </w:tc>
      </w:tr>
      <w:tr>
        <w:tc>
          <w:tcPr>
            <w:tcW w:type="dxa" w:w="30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bfc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Delete a group</w:t>
            </w:r>
          </w:p>
        </w:tc>
        <w:tc>
          <w:tcPr>
            <w:tcW w:type="dxa" w:w="35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bfc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Group card header</w:t>
            </w:r>
          </w:p>
        </w:tc>
        <w:tc>
          <w:tcPr>
            <w:tcW w:type="dxa" w:w="24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bfc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Bin icon → confirm</w:t>
            </w:r>
          </w:p>
        </w:tc>
      </w:tr>
      <w:tr>
        <w:tc>
          <w:tcPr>
            <w:tcW w:type="dxa" w:w="30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Take a group on Remote</w:t>
            </w:r>
          </w:p>
        </w:tc>
        <w:tc>
          <w:tcPr>
            <w:tcW w:type="dxa" w:w="35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Plant Layout → Group Control panel</w:t>
            </w:r>
          </w:p>
        </w:tc>
        <w:tc>
          <w:tcPr>
            <w:tcW w:type="dxa" w:w="24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Request Remote Control</w:t>
            </w:r>
          </w:p>
        </w:tc>
      </w:tr>
      <w:tr>
        <w:tc>
          <w:tcPr>
            <w:tcW w:type="dxa" w:w="30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bfc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Start the whole group</w:t>
            </w:r>
          </w:p>
        </w:tc>
        <w:tc>
          <w:tcPr>
            <w:tcW w:type="dxa" w:w="35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bfc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Group Control panel → Group Mode</w:t>
            </w:r>
          </w:p>
        </w:tc>
        <w:tc>
          <w:tcPr>
            <w:tcW w:type="dxa" w:w="24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bfc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Start group (Remote only)</w:t>
            </w:r>
          </w:p>
        </w:tc>
      </w:tr>
      <w:tr>
        <w:tc>
          <w:tcPr>
            <w:tcW w:type="dxa" w:w="30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Control one equipment in a group</w:t>
            </w:r>
          </w:p>
        </w:tc>
        <w:tc>
          <w:tcPr>
            <w:tcW w:type="dxa" w:w="35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Group Control panel → Equipments</w:t>
            </w:r>
          </w:p>
        </w:tc>
        <w:tc>
          <w:tcPr>
            <w:tcW w:type="dxa" w:w="24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Inline action on that row</w:t>
            </w:r>
          </w:p>
        </w:tc>
      </w:tr>
      <w:tr>
        <w:tc>
          <w:tcPr>
            <w:tcW w:type="dxa" w:w="30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bfc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Hand control back to PLC</w:t>
            </w:r>
          </w:p>
        </w:tc>
        <w:tc>
          <w:tcPr>
            <w:tcW w:type="dxa" w:w="35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bfc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Group Control panel → Group Mode</w:t>
            </w:r>
          </w:p>
        </w:tc>
        <w:tc>
          <w:tcPr>
            <w:tcW w:type="dxa" w:w="24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bfc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Release to Local</w:t>
            </w:r>
          </w:p>
        </w:tc>
      </w:tr>
    </w:tbl>
    <w:p>
      <w:pPr>
        <w:pBdr>
          <w:bottom w:val="single" w:color="d6dde7" w:sz="6" w:space="6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93458"/>
          <w:sz w:val="36"/>
          <w:szCs w:val="36"/>
        </w:rPr>
        <w:t xml:space="preserve">Glossary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193458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193458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Group</w:t>
            </w:r>
          </w:p>
        </w:tc>
        <w:tc>
          <w:tcPr>
            <w:tcW w:type="dxa" w:w="68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A named collection of equipment that can be commanded together from this software.</w:t>
            </w:r>
          </w:p>
        </w:tc>
      </w:tr>
      <w:tr>
        <w:tc>
          <w:tcPr>
            <w:tcW w:type="dxa" w:w="22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bfc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Group Mode</w:t>
            </w:r>
          </w:p>
        </w:tc>
        <w:tc>
          <w:tcPr>
            <w:tcW w:type="dxa" w:w="68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bfc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Whether the group is currently under PLC control (Local) or this software's control (Remote).</w:t>
            </w:r>
          </w:p>
        </w:tc>
      </w:tr>
      <w:tr>
        <w:tc>
          <w:tcPr>
            <w:tcW w:type="dxa" w:w="22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Interlock</w:t>
            </w:r>
          </w:p>
        </w:tc>
        <w:tc>
          <w:tcPr>
            <w:tcW w:type="dxa" w:w="68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A safety rule on the PLC that prevents one equipment from running unless the conditions around it are met.</w:t>
            </w:r>
          </w:p>
        </w:tc>
      </w:tr>
      <w:tr>
        <w:tc>
          <w:tcPr>
            <w:tcW w:type="dxa" w:w="22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bfc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Local</w:t>
            </w:r>
          </w:p>
        </w:tc>
        <w:tc>
          <w:tcPr>
            <w:tcW w:type="dxa" w:w="68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bfc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PLC is running the group autonomously. This software can read state but cannot send commands.</w:t>
            </w:r>
          </w:p>
        </w:tc>
      </w:tr>
      <w:tr>
        <w:tc>
          <w:tcPr>
            <w:tcW w:type="dxa" w:w="22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Remote</w:t>
            </w:r>
          </w:p>
        </w:tc>
        <w:tc>
          <w:tcPr>
            <w:tcW w:type="dxa" w:w="68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This software has the right to send commands to the group. Interlocks still apply.</w:t>
            </w:r>
          </w:p>
        </w:tc>
      </w:tr>
      <w:tr>
        <w:tc>
          <w:tcPr>
            <w:tcW w:type="dxa" w:w="22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bfc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Standby</w:t>
            </w:r>
          </w:p>
        </w:tc>
        <w:tc>
          <w:tcPr>
            <w:tcW w:type="dxa" w:w="68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bfc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Safe-idle state — equipment is energised but not running. Faster to bring back online than from Stopped.</w:t>
            </w:r>
          </w:p>
        </w:tc>
      </w:tr>
      <w:tr>
        <w:tc>
          <w:tcPr>
            <w:tcW w:type="dxa" w:w="22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Release to Local</w:t>
            </w:r>
          </w:p>
        </w:tc>
        <w:tc>
          <w:tcPr>
            <w:tcW w:type="dxa" w:w="68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The act of explicitly returning control of a group to the PLC's automation.</w:t>
            </w:r>
          </w:p>
        </w:tc>
      </w:tr>
      <w:tr>
        <w:tc>
          <w:tcPr>
            <w:tcW w:type="dxa" w:w="22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bfc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Auto-release</w:t>
            </w:r>
          </w:p>
        </w:tc>
        <w:tc>
          <w:tcPr>
            <w:tcW w:type="dxa" w:w="6800"/>
            <w:tcBorders>
              <w:top w:val="single" w:color="d6dde7" w:sz="4"/>
              <w:left w:val="single" w:color="d6dde7" w:sz="4"/>
              <w:bottom w:val="single" w:color="d6dde7" w:sz="4"/>
              <w:right w:val="single" w:color="d6dde7" w:sz="4"/>
            </w:tcBorders>
            <w:shd w:fill="fbfc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PLC's safety mechanism that returns a group to Local if the software link is lost for more than 5 minutes.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878"/>
        <w:sz w:val="18"/>
        <w:szCs w:val="18"/>
      </w:rPr>
      <w:t xml:space="preserve">Page </w:t>
    </w:r>
    <w:r>
      <w:rPr>
        <w:rFonts w:ascii="Calibri" w:cs="Calibri" w:eastAsia="Calibri" w:hAnsi="Calibri"/>
        <w:color w:val="5b687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i/>
        <w:iCs/>
        <w:color w:val="5b6878"/>
        <w:sz w:val="18"/>
        <w:szCs w:val="18"/>
      </w:rPr>
      <w:t xml:space="preserve"> · Digital Paani ·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878"/>
        <w:sz w:val="18"/>
        <w:szCs w:val="18"/>
      </w:rPr>
      <w:t xml:space="preserve">Group Remote Control · Step-by-Step Guide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9345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9345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a2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Remote Control — Step-by-Step Guide</dc:title>
  <dc:creator>Digital Paani</dc:creator>
  <dc:description>Step-by-step configuration and operation guide for group-based remote control.</dc:description>
  <cp:lastModifiedBy>Un-named</cp:lastModifiedBy>
  <cp:revision>1</cp:revision>
  <dcterms:created xsi:type="dcterms:W3CDTF">2026-06-17T21:04:38.176Z</dcterms:created>
  <dcterms:modified xsi:type="dcterms:W3CDTF">2026-06-17T21:04:38.179Z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