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aps/>
          <w:color w:val="2A6CF0"/>
          <w:sz w:val="18"/>
          <w:szCs w:val="18"/>
        </w:rPr>
        <w:t xml:space="preserve">Digital Paani</w:t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E1F3A"/>
          <w:sz w:val="56"/>
          <w:szCs w:val="56"/>
        </w:rPr>
        <w:t xml:space="preserve">Set Points</w:t>
      </w:r>
    </w:p>
    <w:p>
      <w:pPr>
        <w:spacing w:after="220"/>
        <w:jc w:val="left"/>
      </w:pPr>
      <w:r>
        <w:rPr>
          <w:rFonts w:ascii="Calibri" w:cs="Calibri" w:eastAsia="Calibri" w:hAnsi="Calibri"/>
          <w:color w:val="4A5A72"/>
          <w:sz w:val="32"/>
          <w:szCs w:val="32"/>
        </w:rPr>
        <w:t xml:space="preserve">Developer Documentation</w:t>
      </w:r>
    </w:p>
    <w:p>
      <w:pPr>
        <w:pBdr>
          <w:bottom w:val="single" w:color="2A6CF0" w:sz="12" w:space="8"/>
        </w:pBdr>
        <w:spacing w:after="240"/>
      </w:pPr>
      <w:r>
        <w:rPr>
          <w:sz w:val="2"/>
          <w:szCs w:val="2"/>
        </w:rPr>
        <w:t xml:space="preserve"> </w:t>
      </w:r>
    </w:p>
    <w:p>
      <w:pPr>
        <w:pBdr>
          <w:left w:val="single" w:color="2A6CF0" w:sz="18" w:space="12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4A5A72"/>
          <w:sz w:val="22"/>
          <w:szCs w:val="22"/>
        </w:rPr>
        <w:t xml:space="preserve">Audience: developers implementing set-point configuration and runtime behaviour. Last updated: with the addition of the Transfer Pump Set Point type and the standalone Set Point Configuration screen.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1. What is a set point?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A set point is a numeric threshold or target value stored on the PLC that drives equipment behaviour (start / stop / dose / open / close / VFD output). The PLC’s automation logic is fixed — only the threshold values are overwritten by operators through this software.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Every set point has an HMI Tag that maps 1:1 to a PLC tag. Tags are auto-generated by the configuration UI (read-only); the PLC integration team maps each auto-generated tag to the actual PLC tag during plant commissioning.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2. Common fields (every type)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Every set point — regardless of type — captures the following at configuration time: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Set Point Type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✓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One of the 9 types in §3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Set Point Name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✓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Operator-facing label (e.g. CASS Basin 1 high level cut-in)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Set Point Description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optional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When the set point fires, what equipment behaviour it drives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Set Point Min (safe min)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number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✓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Floor of the allowed override range. Values below trigger a soft warning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Set Point Max (safe max)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number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✓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Ceiling. Values above trigger a soft warning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HMI Set Point Tag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Generated from </w:t>
            </w:r>
            <w:r>
              <w:rPr>
                <w:rFonts w:ascii="Consolas" w:cs="Consolas" w:eastAsia="Consolas" w:hAnsi="Consolas"/>
                <w:color w:val="1C3A6E"/>
                <w:sz w:val="20"/>
                <w:szCs w:val="20"/>
                <w:shd w:fill="F2F4F8" w:val="clear"/>
              </w:rPr>
              <w:t xml:space="preserve">&lt;UP_NAME&gt;.&lt;TYPE&gt;[_&lt;ROLE&gt;]_&lt;NN&gt;_SP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Read-only in UI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Linked Unit Process</w:t>
            </w:r>
          </w:p>
        </w:tc>
        <w:tc>
          <w:tcPr>
            <w:tcW w:type="dxa" w:w="14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reference</w:t>
            </w:r>
          </w:p>
        </w:tc>
        <w:tc>
          <w:tcPr>
            <w:tcW w:type="dxa" w:w="1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optional</w:t>
            </w:r>
          </w:p>
        </w:tc>
        <w:tc>
          <w:tcPr>
            <w:tcW w:type="dxa" w:w="45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unit process this set point belongs to (drives Dashboard grouping)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C3A6E"/>
          <w:sz w:val="30"/>
          <w:szCs w:val="30"/>
        </w:rPr>
        <w:t xml:space="preserve">Validation (server + client)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Min &lt; Max</w:t>
      </w:r>
      <w:r>
        <w:rPr>
          <w:rFonts w:ascii="Calibri" w:cs="Calibri" w:eastAsia="Calibri" w:hAnsi="Calibri"/>
          <w:sz w:val="22"/>
          <w:szCs w:val="22"/>
        </w:rPr>
        <w:t xml:space="preserve"> — always.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Current</w:t>
      </w:r>
      <w:r>
        <w:rPr>
          <w:rFonts w:ascii="Calibri" w:cs="Calibri" w:eastAsia="Calibri" w:hAnsi="Calibri"/>
          <w:sz w:val="22"/>
          <w:szCs w:val="22"/>
        </w:rPr>
        <w:t xml:space="preserve"> (the live set point value the PLC reads) must satisfy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Min ≤ Current ≤ Max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Name is non-empty and trimmed.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HMI Tag uniqueness is enforced when persisting (auto-generation already keeps uniqueness via the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_NN</w:t>
      </w:r>
      <w:r>
        <w:rPr>
          <w:rFonts w:ascii="Calibri" w:cs="Calibri" w:eastAsia="Calibri" w:hAnsi="Calibri"/>
          <w:sz w:val="22"/>
          <w:szCs w:val="22"/>
        </w:rPr>
        <w:t xml:space="preserve"> suffix).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C3A6E"/>
          <w:sz w:val="30"/>
          <w:szCs w:val="30"/>
        </w:rPr>
        <w:t xml:space="preserve">Override semantics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system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never blocks</w:t>
      </w:r>
      <w:r>
        <w:rPr>
          <w:rFonts w:ascii="Calibri" w:cs="Calibri" w:eastAsia="Calibri" w:hAnsi="Calibri"/>
          <w:sz w:val="22"/>
          <w:szCs w:val="22"/>
        </w:rPr>
        <w:t xml:space="preserve"> an operator setpoint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If the operator’s new value falls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outside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[Min, Max]</w:t>
      </w:r>
      <w:r>
        <w:rPr>
          <w:rFonts w:ascii="Calibri" w:cs="Calibri" w:eastAsia="Calibri" w:hAnsi="Calibri"/>
          <w:sz w:val="22"/>
          <w:szCs w:val="22"/>
        </w:rPr>
        <w:t xml:space="preserve">, a warning modal opens and an explicit override is required.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Every change (in-range or override) is logged: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old → new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user_id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timestamp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hmi_tag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note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3. Set point types &amp; their config questions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Each row below describes what to ask the implementer at configuration time.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3.1 Level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Tank level threshold (e.g. "transfer pump starts at 70%")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3.2 DO (Dissolved Oxygen)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mg/L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Drives blower ON/OFF and VFD output (RPM / Hz / current)</w:t>
      </w:r>
    </w:p>
    <w:p>
      <w:pPr>
        <w:pBdr>
          <w:left w:val="single" w:color="2A6CF0" w:sz="18" w:space="12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4A5A72"/>
          <w:sz w:val="22"/>
          <w:szCs w:val="22"/>
        </w:rPr>
        <w:t xml:space="preserve">The brief listed `bar`; the platform convention is `mg/L`. Confirm with the plant team before finalising.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3.3 Differential Pressure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Triggers backwash sequence (valves ON/OFF)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3.4 pH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pH (dimensionless 0–14)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Triggers dosing pumps (NaOH / HCl)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3.5 FRC (Free Residual Chlorine)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ppm (or mg/L)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Triggers NaOCl dosing pump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3.6 ORP (Oxidation-Reduction Potential)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Triggers ORP-correction dosing</w:t>
      </w:r>
    </w:p>
    <w:p>
      <w:pPr>
        <w:pBdr>
          <w:left w:val="single" w:color="2A6CF0" w:sz="18" w:space="12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4A5A72"/>
          <w:sz w:val="22"/>
          <w:szCs w:val="22"/>
        </w:rPr>
        <w:t xml:space="preserve">Values commonly negative for anoxic processes.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3.7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m³/hr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Changes VFD output of permeate / feed pumps (no ON/OFF toggle)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3.8 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Inputs: one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Unit: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minutes (default) — also seconds and hours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 range: Min, Max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Purpose: Backwash duration, decant duration, fill duration, etc.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3.9 Transfer Pump Set Point  ★ special case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A Transfer Pump Set Point is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logically one</w:t>
      </w:r>
      <w:r>
        <w:rPr>
          <w:rFonts w:ascii="Calibri" w:cs="Calibri" w:eastAsia="Calibri" w:hAnsi="Calibri"/>
          <w:sz w:val="22"/>
          <w:szCs w:val="22"/>
        </w:rPr>
        <w:t xml:space="preserve"> set point that physically resolves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HMI tags</w:t>
      </w:r>
      <w:r>
        <w:rPr>
          <w:rFonts w:ascii="Calibri" w:cs="Calibri" w:eastAsia="Calibri" w:hAnsi="Calibri"/>
          <w:sz w:val="22"/>
          <w:szCs w:val="22"/>
        </w:rPr>
        <w:t xml:space="preserve"> (and four PLC writes). It controls a pump that moves liquid from a source tank to a destination tank.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Inputs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960"/>
        <w:gridCol w:w="2600"/>
      </w:tblGrid>
      <w:tr>
        <w:trPr>
          <w:tblHeader/>
        </w:trPr>
        <w:tc>
          <w:tcPr>
            <w:tcW w:type="dxa" w:w="2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Sub-field</w:t>
            </w:r>
          </w:p>
        </w:tc>
        <w:tc>
          <w:tcPr>
            <w:tcW w:type="dxa" w:w="39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Each has its own</w:t>
            </w:r>
          </w:p>
        </w:tc>
      </w:tr>
      <w:tr>
        <w:tc>
          <w:tcPr>
            <w:tcW w:type="dxa" w:w="2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Source Tank Start Level</w:t>
            </w:r>
          </w:p>
        </w:tc>
        <w:tc>
          <w:tcPr>
            <w:tcW w:type="dxa" w:w="39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 above which pump starts</w:t>
            </w:r>
          </w:p>
        </w:tc>
        <w:tc>
          <w:tcPr>
            <w:tcW w:type="dxa" w:w="26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min, max (safe range)</w:t>
            </w:r>
          </w:p>
        </w:tc>
      </w:tr>
      <w:tr>
        <w:tc>
          <w:tcPr>
            <w:tcW w:type="dxa" w:w="2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Source Tank Stop Level</w:t>
            </w:r>
          </w:p>
        </w:tc>
        <w:tc>
          <w:tcPr>
            <w:tcW w:type="dxa" w:w="39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 at/below which pump stops</w:t>
            </w:r>
          </w:p>
        </w:tc>
        <w:tc>
          <w:tcPr>
            <w:tcW w:type="dxa" w:w="26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min, max</w:t>
            </w:r>
          </w:p>
        </w:tc>
      </w:tr>
      <w:tr>
        <w:tc>
          <w:tcPr>
            <w:tcW w:type="dxa" w:w="2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Destination Tank Start Level</w:t>
            </w:r>
          </w:p>
        </w:tc>
        <w:tc>
          <w:tcPr>
            <w:tcW w:type="dxa" w:w="39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 above which transfer holds</w:t>
            </w:r>
          </w:p>
        </w:tc>
        <w:tc>
          <w:tcPr>
            <w:tcW w:type="dxa" w:w="26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min, max</w:t>
            </w:r>
          </w:p>
        </w:tc>
      </w:tr>
      <w:tr>
        <w:tc>
          <w:tcPr>
            <w:tcW w:type="dxa" w:w="2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Destination Tank Stop Level</w:t>
            </w:r>
          </w:p>
        </w:tc>
        <w:tc>
          <w:tcPr>
            <w:tcW w:type="dxa" w:w="39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 at/below which transfer resumes</w:t>
            </w:r>
          </w:p>
        </w:tc>
        <w:tc>
          <w:tcPr>
            <w:tcW w:type="dxa" w:w="26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min, max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All four are in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%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Validation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Per-tank ordering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Source Start ≤ Source Stop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Destination Start ≤ Destination Stop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Per-sub-setpoint safe ranges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min ≤ current ≤ max</w:t>
      </w:r>
      <w:r>
        <w:rPr>
          <w:rFonts w:ascii="Calibri" w:cs="Calibri" w:eastAsia="Calibri" w:hAnsi="Calibri"/>
          <w:sz w:val="22"/>
          <w:szCs w:val="22"/>
        </w:rPr>
        <w:t xml:space="preserve"> for each of the four values independently.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 &lt; Max</w:t>
      </w:r>
      <w:r>
        <w:rPr>
          <w:rFonts w:ascii="Calibri" w:cs="Calibri" w:eastAsia="Calibri" w:hAnsi="Calibri"/>
          <w:sz w:val="22"/>
          <w:szCs w:val="22"/>
        </w:rPr>
        <w:t xml:space="preserve"> on each sub-setpoint’s safe range.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HMI Tag generation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A single Transfer Pump set point produces four tags (one per sub-role):</w:t>
      </w:r>
    </w:p>
    <w:p>
      <w:pPr>
        <w:pBdr>
          <w:top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&lt;UP_NAME&gt;.LT_SOURCEMIN_&lt;NN&gt;_SP    ← Source Start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&lt;UP_NAME&gt;.LT_SOURCEMAX_&lt;NN+1&gt;_SP  ← Source Stop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&lt;UP_NAME&gt;.LT_DESTMIN_&lt;NN+2&gt;_SP    ← Destination Start</w:t>
      </w:r>
    </w:p>
    <w:p>
      <w:pPr>
        <w:pBdr>
          <w:bottom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&lt;UP_NAME&gt;.LT_DESTMAX_&lt;NN+3&gt;_SP    ← Destination Stop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Internally we tag the four set-point records with a shared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`groupId`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`groupName`</w:t>
      </w:r>
      <w:r>
        <w:rPr>
          <w:rFonts w:ascii="Calibri" w:cs="Calibri" w:eastAsia="Calibri" w:hAnsi="Calibri"/>
          <w:sz w:val="22"/>
          <w:szCs w:val="22"/>
        </w:rPr>
        <w:t xml:space="preserve"> so the UI can re-aggregate them into one row in the Configuration screen and one card in the operator drawer/dashboard.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color w:val="2A6CF0"/>
          <w:sz w:val="26"/>
          <w:szCs w:val="26"/>
        </w:rPr>
        <w:t xml:space="preserve">Operator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operator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edits all four values in one form</w:t>
      </w:r>
      <w:r>
        <w:rPr>
          <w:rFonts w:ascii="Calibri" w:cs="Calibri" w:eastAsia="Calibri" w:hAnsi="Calibri"/>
          <w:sz w:val="22"/>
          <w:szCs w:val="22"/>
        </w:rPr>
        <w:t xml:space="preserve"> (single "Edit" action → 4 inputs → Save → 4 PLC writes).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Dashboard renders them 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one card</w:t>
      </w:r>
      <w:r>
        <w:rPr>
          <w:rFonts w:ascii="Calibri" w:cs="Calibri" w:eastAsia="Calibri" w:hAnsi="Calibri"/>
          <w:sz w:val="22"/>
          <w:szCs w:val="22"/>
        </w:rPr>
        <w:t xml:space="preserve"> showing both ranges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Audit log writes a single grouped entry referencing all four old → new pairs.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4. Data model (TypeScript-ish)</w:t>
      </w:r>
    </w:p>
    <w:p>
      <w:pPr>
        <w:pBdr>
          <w:top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type SetpointType =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| "Level" | "DO" | "Differential Pressure" | "pH" | "FRC" | "ORP"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| "Flow" | "Time" | "Transfer Pump";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interface SetpointBase {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id: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type: SetpointType;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name: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description?: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unit: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current: number;     // live PLC tag value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min: number;         // safe range floor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max: number;         // safe range ceiling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hmiTag: string;      // auto-generated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active: boolean;     // false = disabled at config layer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unitProcessId?: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source: string;      // 'PLC default' | 'Operator override · DD MMM' | 'Created · DD MMM'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history: Array&lt;{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ts: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kind: "value" | "config";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from?: any; to?: any;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changes?: Record&lt;string, { from: any; to: any }&gt;;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who: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note?: string;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}&gt;;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}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// Single-value types share SetpointBase as-is.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// Transfer Pump materialises as FOUR rows of the same shape with these extras: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interface TransferPumpMember extends SetpointBase {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type: "Transfer Pump";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subRole: "SOURCEMIN" | "SOURCEMAX" | "DESTMIN" | "DESTMAX";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groupId: string;       // shared across all 4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groupName: string;     // shared</w:t>
      </w:r>
    </w:p>
    <w:p>
      <w:pPr>
        <w:pBdr>
          <w:bottom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}</w:t>
      </w:r>
    </w:p>
    <w:p>
      <w:pPr>
        <w:pBdr>
          <w:left w:val="single" w:color="2A6CF0" w:sz="18" w:space="12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4A5A72"/>
          <w:sz w:val="22"/>
          <w:szCs w:val="22"/>
        </w:rPr>
        <w:t xml:space="preserve">Backwards-compat note: the prototype's stored type for Transfer Pump records is "LT" (legacy). The display label is "Transfer Pump Set Point". New code should accept both spellings.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5. Where set points get configured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The prototype exposes two configuration surfaces: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460"/>
        <w:gridCol w:w="1900"/>
      </w:tblGrid>
      <w:tr>
        <w:trPr>
          <w:tblHeader/>
        </w:trP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1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34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19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0E1F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Set Point Configuration</w:t>
            </w:r>
          </w:p>
        </w:tc>
        <w:tc>
          <w:tcPr>
            <w:tcW w:type="dxa" w:w="1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Implementer / Admin</w:t>
            </w:r>
          </w:p>
        </w:tc>
        <w:tc>
          <w:tcPr>
            <w:tcW w:type="dxa" w:w="34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Plain list of every set point; CRUD with the common fields above + Transfer Pump sub-form</w:t>
            </w:r>
          </w:p>
        </w:tc>
        <w:tc>
          <w:tcPr>
            <w:tcW w:type="dxa" w:w="19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selector → Set Point Configuration</w:t>
            </w:r>
          </w:p>
        </w:tc>
      </w:tr>
      <w:tr>
        <w:tc>
          <w:tcPr>
            <w:tcW w:type="dxa" w:w="22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Studio</w:t>
            </w:r>
          </w:p>
        </w:tc>
        <w:tc>
          <w:tcPr>
            <w:tcW w:type="dxa" w:w="18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Implementer</w:t>
            </w:r>
          </w:p>
        </w:tc>
        <w:tc>
          <w:tcPr>
            <w:tcW w:type="dxa" w:w="346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Drag-arrange dashboard layout; per-widget inspector also exposes the full set-point editor</w:t>
            </w:r>
          </w:p>
        </w:tc>
        <w:tc>
          <w:tcPr>
            <w:tcW w:type="dxa" w:w="1900"/>
            <w:tcBorders>
              <w:top w:val="single" w:color="C7CDD9" w:sz="4"/>
              <w:left w:val="single" w:color="C7CDD9" w:sz="4"/>
              <w:bottom w:val="single" w:color="C7CDD9" w:sz="4"/>
              <w:right w:val="single" w:color="C7CDD9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selector → ⚙ Studio (configure)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Both surfaces write to the same global registry. The Dashboard and the Plant View drawer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only read</w:t>
      </w:r>
      <w:r>
        <w:rPr>
          <w:rFonts w:ascii="Calibri" w:cs="Calibri" w:eastAsia="Calibri" w:hAnsi="Calibri"/>
          <w:sz w:val="22"/>
          <w:szCs w:val="22"/>
        </w:rPr>
        <w:t xml:space="preserve"> from it.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The simple Configuration screen exists for situations where the implementer just needs to add or edit set points without touching the visual dashboard.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6. Auto-generated HMI tag rules</w:t>
      </w:r>
    </w:p>
    <w:p>
      <w:pPr>
        <w:pBdr>
          <w:top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Tag = upper(slug(unitProcessName)) + "."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+ upper(slug(type))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+ roleSuffix</w:t>
      </w:r>
    </w:p>
    <w:p>
      <w:pPr>
        <w:pBdr>
          <w:bottom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  + "_" + zeroPad(index, 2) + "_SP"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Examples: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AERATION.DO_03_SP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RE_CIRCULATION.LT_SOURCEMIN_05_SP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PSF_1_CYCLE.TIME_01_SP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Slugging rule: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[^A-Z0-9]+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_</w:t>
      </w:r>
      <w:r>
        <w:rPr>
          <w:rFonts w:ascii="Calibri" w:cs="Calibri" w:eastAsia="Calibri" w:hAnsi="Calibri"/>
          <w:sz w:val="22"/>
          <w:szCs w:val="22"/>
        </w:rPr>
        <w:t xml:space="preserve">, then strip leading/trailing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_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7. Audit log fields (every set-point write)</w:t>
      </w:r>
    </w:p>
    <w:p>
      <w:pPr>
        <w:pBdr>
          <w:top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{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"ts": "2026-06-01T11:32:14.503Z",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"user_id": "op-mihir",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"hmi_tag": "AERATION.DO_03_SP",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"set_point_id": "sp-do-cass1",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"from": 2.0,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"to": 2.3,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"in_safe_range": true,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"override_reason": null,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"note": "Bumped target after settling phase",</w:t>
      </w:r>
    </w:p>
    <w:p>
      <w:pP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  "unit_process_id": "up-aeration"</w:t>
      </w:r>
    </w:p>
    <w:p>
      <w:pPr>
        <w:pBdr>
          <w:bottom w:val="single" w:color="DCE2EA" w:sz="4"/>
        </w:pBdr>
        <w:shd w:fill="F4F6FA" w:val="clear"/>
        <w:spacing w:after="0" w:before="0" w:line="240"/>
        <w:ind w:left="240"/>
      </w:pPr>
      <w:r>
        <w:rPr>
          <w:rFonts w:ascii="Consolas" w:cs="Consolas" w:eastAsia="Consolas" w:hAnsi="Consolas"/>
          <w:color w:val="1C3A6E"/>
          <w:sz w:val="20"/>
          <w:szCs w:val="20"/>
        </w:rPr>
        <w:t xml:space="preserve">}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For Transfer Pump writes, emit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entries</w:t>
      </w:r>
      <w:r>
        <w:rPr>
          <w:rFonts w:ascii="Calibri" w:cs="Calibri" w:eastAsia="Calibri" w:hAnsi="Calibri"/>
          <w:sz w:val="22"/>
          <w:szCs w:val="22"/>
        </w:rPr>
        <w:t xml:space="preserve"> (one per sub-role) sharing a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group_change_id</w:t>
      </w:r>
      <w:r>
        <w:rPr>
          <w:rFonts w:ascii="Calibri" w:cs="Calibri" w:eastAsia="Calibri" w:hAnsi="Calibri"/>
          <w:sz w:val="22"/>
          <w:szCs w:val="22"/>
        </w:rPr>
        <w:t xml:space="preserve"> so the log viewer can re-collapse them.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0E1F3A"/>
          <w:sz w:val="36"/>
          <w:szCs w:val="36"/>
        </w:rPr>
        <w:t xml:space="preserve">8. Open questions for the PLC integration team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Tag mapping</w:t>
      </w:r>
      <w:r>
        <w:rPr>
          <w:rFonts w:ascii="Calibri" w:cs="Calibri" w:eastAsia="Calibri" w:hAnsi="Calibri"/>
          <w:sz w:val="22"/>
          <w:szCs w:val="22"/>
        </w:rPr>
        <w:t xml:space="preserve"> — confirm the format the PLC team needs for the auto-generated tag → PLC tag mapping table (CSV? UI?).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Unit consistency</w:t>
      </w:r>
      <w:r>
        <w:rPr>
          <w:rFonts w:ascii="Calibri" w:cs="Calibri" w:eastAsia="Calibri" w:hAnsi="Calibri"/>
          <w:sz w:val="22"/>
          <w:szCs w:val="22"/>
        </w:rPr>
        <w:t xml:space="preserve"> — finalise DO unit (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mg/L</w:t>
      </w:r>
      <w:r>
        <w:rPr>
          <w:rFonts w:ascii="Calibri" w:cs="Calibri" w:eastAsia="Calibri" w:hAnsi="Calibri"/>
          <w:sz w:val="22"/>
          <w:szCs w:val="22"/>
        </w:rPr>
        <w:t xml:space="preserve"> vs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bar</w:t>
      </w:r>
      <w:r>
        <w:rPr>
          <w:rFonts w:ascii="Calibri" w:cs="Calibri" w:eastAsia="Calibri" w:hAnsi="Calibri"/>
          <w:sz w:val="22"/>
          <w:szCs w:val="22"/>
        </w:rPr>
        <w:t xml:space="preserve">) and FRC unit (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ppm</w:t>
      </w:r>
      <w:r>
        <w:rPr>
          <w:rFonts w:ascii="Calibri" w:cs="Calibri" w:eastAsia="Calibri" w:hAnsi="Calibri"/>
          <w:sz w:val="22"/>
          <w:szCs w:val="22"/>
        </w:rPr>
        <w:t xml:space="preserve"> vs </w:t>
      </w:r>
      <w:r>
        <w:rPr>
          <w:rFonts w:ascii="Consolas" w:cs="Consolas" w:eastAsia="Consolas" w:hAnsi="Consolas"/>
          <w:color w:val="1C3A6E"/>
          <w:sz w:val="20"/>
          <w:szCs w:val="20"/>
          <w:shd w:fill="F2F4F8" w:val="clear"/>
        </w:rPr>
        <w:t xml:space="preserve">mg/L</w:t>
      </w:r>
      <w:r>
        <w:rPr>
          <w:rFonts w:ascii="Calibri" w:cs="Calibri" w:eastAsia="Calibri" w:hAnsi="Calibri"/>
          <w:sz w:val="22"/>
          <w:szCs w:val="22"/>
        </w:rPr>
        <w:t xml:space="preserve">) with the domain team.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Transfer Pump composite write</w:t>
      </w:r>
      <w:r>
        <w:rPr>
          <w:rFonts w:ascii="Calibri" w:cs="Calibri" w:eastAsia="Calibri" w:hAnsi="Calibri"/>
          <w:sz w:val="22"/>
          <w:szCs w:val="22"/>
        </w:rPr>
        <w:t xml:space="preserve"> — atomic 4-write transaction or sequential? What's the recovery path if write #3 fails?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Safe range vs hard range</w:t>
      </w:r>
      <w:r>
        <w:rPr>
          <w:rFonts w:ascii="Calibri" w:cs="Calibri" w:eastAsia="Calibri" w:hAnsi="Calibri"/>
          <w:sz w:val="22"/>
          <w:szCs w:val="22"/>
        </w:rPr>
        <w:t xml:space="preserve"> — Phase 2 doc mentioned soft caution bands inside the hard min/max. Are we keeping that distinction in v1 of this screen, or only the single safe-range pair (Min/Max)?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0E1F3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1C3A6E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10" w:before="220"/>
      <w:outlineLvl w:val="2"/>
    </w:pPr>
    <w:rPr>
      <w:rFonts w:ascii="Calibri" w:cs="Calibri" w:eastAsia="Calibri" w:hAnsi="Calibri"/>
      <w:b/>
      <w:bCs/>
      <w:color w:val="2A6C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2026-06-01T21:18:21.076Z</dcterms:created>
  <dcterms:modified xsi:type="dcterms:W3CDTF">2026-06-01T21:18:21.077Z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