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0"/>
        <w:jc w:val="left"/>
      </w:pPr>
      <w:r>
        <w:rPr>
          <w:rFonts w:ascii="Arial" w:cs="Arial" w:eastAsia="Arial" w:hAnsi="Arial"/>
          <w:b/>
          <w:bCs/>
          <w:color w:val="1B3A5C"/>
          <w:sz w:val="64"/>
          <w:szCs w:val="64"/>
        </w:rPr>
        <w:t xml:space="preserve">Container Planning &amp;</w:t>
      </w:r>
    </w:p>
    <w:p>
      <w:pPr>
        <w:spacing w:before="0" w:after="200"/>
        <w:jc w:val="left"/>
      </w:pPr>
      <w:r>
        <w:rPr>
          <w:rFonts w:ascii="Arial" w:cs="Arial" w:eastAsia="Arial" w:hAnsi="Arial"/>
          <w:b/>
          <w:bCs/>
          <w:color w:val="2563EB"/>
          <w:sz w:val="64"/>
          <w:szCs w:val="64"/>
        </w:rPr>
        <w:t xml:space="preserve">Schedule Application</w:t>
      </w:r>
    </w:p>
    <w:p>
      <w:pPr>
        <w:pBdr>
          <w:top w:val="single" w:color="2563EB" w:sz="12" w:space="1"/>
        </w:pBdr>
        <w:spacing w:before="0" w:after="200"/>
      </w:pPr>
    </w:p>
    <w:p>
      <w:pPr>
        <w:spacing w:before="0" w:after="80"/>
      </w:pPr>
      <w:r>
        <w:rPr>
          <w:rFonts w:ascii="Arial" w:cs="Arial" w:eastAsia="Arial" w:hAnsi="Arial"/>
          <w:color w:val="374151"/>
          <w:sz w:val="28"/>
          <w:szCs w:val="28"/>
        </w:rPr>
        <w:t xml:space="preserve">Project Documentation — Full Lifecycle</w:t>
      </w:r>
    </w:p>
    <w:p>
      <w:pPr>
        <w:spacing w:before="0" w:after="480"/>
      </w:pPr>
      <w:r>
        <w:rPr>
          <w:rFonts w:ascii="Arial" w:cs="Arial" w:eastAsia="Arial" w:hAnsi="Arial"/>
          <w:i/>
          <w:iCs/>
          <w:color w:val="374151"/>
          <w:sz w:val="22"/>
          <w:szCs w:val="22"/>
        </w:rPr>
        <w:t xml:space="preserve">MVP v1.0 — Initial Release</w:t>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2200"/>
        <w:gridCol w:w="7520"/>
      </w:tblGrid>
      <w:tr>
        <w:tc>
          <w:tcPr>
            <w:tcW w:type="dxa" w:w="22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Project</w:t>
            </w:r>
          </w:p>
        </w:tc>
        <w:tc>
          <w:tcPr>
            <w:tcW w:type="dxa" w:w="75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Container Planning &amp; Schedule Application</w:t>
            </w:r>
          </w:p>
        </w:tc>
      </w:tr>
      <w:tr>
        <w:tc>
          <w:tcPr>
            <w:tcW w:type="dxa" w:w="22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Owner / Admin</w:t>
            </w:r>
          </w:p>
        </w:tc>
        <w:tc>
          <w:tcPr>
            <w:tcW w:type="dxa" w:w="75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Supply Chain Team — J&amp;J</w:t>
            </w:r>
          </w:p>
        </w:tc>
      </w:tr>
      <w:tr>
        <w:tc>
          <w:tcPr>
            <w:tcW w:type="dxa" w:w="22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Document version</w:t>
            </w:r>
          </w:p>
        </w:tc>
        <w:tc>
          <w:tcPr>
            <w:tcW w:type="dxa" w:w="75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1.0</w:t>
            </w:r>
          </w:p>
        </w:tc>
      </w:tr>
      <w:tr>
        <w:tc>
          <w:tcPr>
            <w:tcW w:type="dxa" w:w="22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Date created</w:t>
            </w:r>
          </w:p>
        </w:tc>
        <w:tc>
          <w:tcPr>
            <w:tcW w:type="dxa" w:w="75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2026</w:t>
            </w:r>
          </w:p>
        </w:tc>
      </w:tr>
      <w:tr>
        <w:tc>
          <w:tcPr>
            <w:tcW w:type="dxa" w:w="22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Status</w:t>
            </w:r>
          </w:p>
        </w:tc>
        <w:tc>
          <w:tcPr>
            <w:tcW w:type="dxa" w:w="75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In Progress — Phase 1</w:t>
            </w:r>
          </w:p>
        </w:tc>
      </w:tr>
      <w:tr>
        <w:tc>
          <w:tcPr>
            <w:tcW w:type="dxa" w:w="22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Platform</w:t>
            </w:r>
          </w:p>
        </w:tc>
        <w:tc>
          <w:tcPr>
            <w:tcW w:type="dxa" w:w="75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macOS (primary) / Windows (user testing)</w:t>
            </w:r>
          </w:p>
        </w:tc>
      </w:tr>
      <w:tr>
        <w:tc>
          <w:tcPr>
            <w:tcW w:type="dxa" w:w="22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Hosting</w:t>
            </w:r>
          </w:p>
        </w:tc>
        <w:tc>
          <w:tcPr>
            <w:tcW w:type="dxa" w:w="75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Locally hosted — no cloud dependency</w:t>
            </w:r>
          </w:p>
        </w:tc>
      </w:tr>
    </w:tbl>
    <w:p>
      <w:pPr>
        <w:spacing w:before="60" w:after="60"/>
      </w:pPr>
      <w:r>
        <w:t xml:space="preserve"/>
      </w:r>
    </w:p>
    <w:p>
      <w:pPr>
        <w:spacing w:before="60" w:after="60"/>
      </w:pPr>
      <w:r>
        <w:t xml:space="preserve"/>
      </w:r>
    </w:p>
    <w:p>
      <w:pPr>
        <w:spacing w:before="0" w:after="0"/>
        <w:jc w:val="left"/>
      </w:pPr>
      <w:r>
        <w:rPr>
          <w:rFonts w:ascii="Arial" w:cs="Arial" w:eastAsia="Arial" w:hAnsi="Arial"/>
          <w:b/>
          <w:bCs/>
          <w:color w:val="991B1B"/>
          <w:sz w:val="18"/>
          <w:szCs w:val="18"/>
        </w:rPr>
        <w:t xml:space="preserve">CONFIDENTIAL — INTERNAL USE ONLY</w:t>
      </w:r>
    </w:p>
    <w:p>
      <w:pPr>
        <w:spacing w:before="0" w:after="0"/>
      </w:pPr>
      <w:r>
        <w:br w:type="page"/>
      </w:r>
    </w:p>
    <w:p>
      <w:pPr>
        <w:pStyle w:val="Heading1"/>
        <w:spacing w:before="360" w:after="160"/>
      </w:pPr>
      <w:r>
        <w:rPr>
          <w:rFonts w:ascii="Arial" w:cs="Arial" w:eastAsia="Arial" w:hAnsi="Arial"/>
          <w:b/>
          <w:bCs/>
          <w:color w:val="1B3A5C"/>
          <w:sz w:val="36"/>
          <w:szCs w:val="36"/>
        </w:rPr>
        <w:t xml:space="preserve">1. Project Overview</w:t>
      </w:r>
    </w:p>
    <w:p>
      <w:pPr>
        <w:pStyle w:val="Heading2"/>
        <w:pBdr>
          <w:bottom w:val="single" w:color="2563EB" w:sz="4" w:space="4"/>
        </w:pBdr>
        <w:spacing w:before="280" w:after="120"/>
      </w:pPr>
      <w:r>
        <w:rPr>
          <w:rFonts w:ascii="Arial" w:cs="Arial" w:eastAsia="Arial" w:hAnsi="Arial"/>
          <w:b/>
          <w:bCs/>
          <w:color w:val="1B3A5C"/>
          <w:sz w:val="28"/>
          <w:szCs w:val="28"/>
        </w:rPr>
        <w:t xml:space="preserve">1.1 Background &amp; Problem Statement</w:t>
      </w:r>
    </w:p>
    <w:p>
      <w:pPr>
        <w:spacing w:before="80" w:after="80"/>
      </w:pPr>
      <w:r>
        <w:rPr>
          <w:rFonts w:ascii="Arial" w:cs="Arial" w:eastAsia="Arial" w:hAnsi="Arial"/>
          <w:color w:val="111827"/>
          <w:sz w:val="22"/>
          <w:szCs w:val="22"/>
        </w:rPr>
        <w:t xml:space="preserve">The supply chain team currently manages container planning and purchase order tracking across multiple Google Sheets. This process is time-consuming, error-prone, and requires switching between different sheets to get a complete view of any given shipment. Key pain points include:</w:t>
      </w:r>
    </w:p>
    <w:p>
      <w:pPr>
        <w:spacing w:before="60" w:after="60"/>
      </w:pPr>
      <w:r>
        <w:t xml:space="preserve"/>
      </w:r>
    </w:p>
    <w:p>
      <w:pPr>
        <w:pStyle w:val="ListParagraph"/>
        <w:numPr>
          <w:ilvl w:val="0"/>
          <w:numId w:val="2"/>
        </w:numPr>
        <w:spacing w:before="60" w:after="60"/>
      </w:pPr>
      <w:r>
        <w:rPr>
          <w:rFonts w:ascii="Arial" w:cs="Arial" w:eastAsia="Arial" w:hAnsi="Arial"/>
          <w:color w:val="111827"/>
          <w:sz w:val="22"/>
          <w:szCs w:val="22"/>
        </w:rPr>
        <w:t xml:space="preserve">Manual copy-pasting of purchase order data from the ERP system into tracking sheets</w:t>
      </w:r>
    </w:p>
    <w:p>
      <w:pPr>
        <w:pStyle w:val="ListParagraph"/>
        <w:numPr>
          <w:ilvl w:val="0"/>
          <w:numId w:val="2"/>
        </w:numPr>
        <w:spacing w:before="60" w:after="60"/>
      </w:pPr>
      <w:r>
        <w:rPr>
          <w:rFonts w:ascii="Arial" w:cs="Arial" w:eastAsia="Arial" w:hAnsi="Arial"/>
          <w:color w:val="111827"/>
          <w:sz w:val="22"/>
          <w:szCs w:val="22"/>
        </w:rPr>
        <w:t xml:space="preserve">No single view linking purchase orders, SKUs, containers, and vessel information</w:t>
      </w:r>
    </w:p>
    <w:p>
      <w:pPr>
        <w:pStyle w:val="ListParagraph"/>
        <w:numPr>
          <w:ilvl w:val="0"/>
          <w:numId w:val="2"/>
        </w:numPr>
        <w:spacing w:before="60" w:after="60"/>
      </w:pPr>
      <w:r>
        <w:rPr>
          <w:rFonts w:ascii="Arial" w:cs="Arial" w:eastAsia="Arial" w:hAnsi="Arial"/>
          <w:color w:val="111827"/>
          <w:sz w:val="22"/>
          <w:szCs w:val="22"/>
        </w:rPr>
        <w:t xml:space="preserve">CBM calculations performed manually with no automated validation</w:t>
      </w:r>
    </w:p>
    <w:p>
      <w:pPr>
        <w:pStyle w:val="ListParagraph"/>
        <w:numPr>
          <w:ilvl w:val="0"/>
          <w:numId w:val="2"/>
        </w:numPr>
        <w:spacing w:before="60" w:after="60"/>
      </w:pPr>
      <w:r>
        <w:rPr>
          <w:rFonts w:ascii="Arial" w:cs="Arial" w:eastAsia="Arial" w:hAnsi="Arial"/>
          <w:color w:val="111827"/>
          <w:sz w:val="22"/>
          <w:szCs w:val="22"/>
        </w:rPr>
        <w:t xml:space="preserve">No partial allocation tracking — inability to split a SKU's quantity across shipments</w:t>
      </w:r>
    </w:p>
    <w:p>
      <w:pPr>
        <w:pStyle w:val="ListParagraph"/>
        <w:numPr>
          <w:ilvl w:val="0"/>
          <w:numId w:val="2"/>
        </w:numPr>
        <w:spacing w:before="60" w:after="60"/>
      </w:pPr>
      <w:r>
        <w:rPr>
          <w:rFonts w:ascii="Arial" w:cs="Arial" w:eastAsia="Arial" w:hAnsi="Arial"/>
          <w:color w:val="111827"/>
          <w:sz w:val="22"/>
          <w:szCs w:val="22"/>
        </w:rPr>
        <w:t xml:space="preserve">SKU readiness status must be manually assessed against cargo ready dates</w:t>
      </w:r>
    </w:p>
    <w:p>
      <w:pPr>
        <w:pStyle w:val="ListParagraph"/>
        <w:numPr>
          <w:ilvl w:val="0"/>
          <w:numId w:val="2"/>
        </w:numPr>
        <w:spacing w:before="60" w:after="60"/>
      </w:pPr>
      <w:r>
        <w:rPr>
          <w:rFonts w:ascii="Arial" w:cs="Arial" w:eastAsia="Arial" w:hAnsi="Arial"/>
          <w:color w:val="111827"/>
          <w:sz w:val="22"/>
          <w:szCs w:val="22"/>
        </w:rPr>
        <w:t xml:space="preserve">No audit trail of allocation changes or historical decisions</w:t>
      </w:r>
    </w:p>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1.2 Project Objectives</w:t>
      </w:r>
    </w:p>
    <w:p>
      <w:pPr>
        <w:spacing w:before="80" w:after="80"/>
      </w:pPr>
      <w:r>
        <w:rPr>
          <w:rFonts w:ascii="Arial" w:cs="Arial" w:eastAsia="Arial" w:hAnsi="Arial"/>
          <w:color w:val="111827"/>
          <w:sz w:val="22"/>
          <w:szCs w:val="22"/>
        </w:rPr>
        <w:t xml:space="preserve">Build a locally hosted, multi-user container planning and schedule application that:</w:t>
      </w:r>
    </w:p>
    <w:p>
      <w:pPr>
        <w:spacing w:before="60" w:after="60"/>
      </w:pPr>
      <w:r>
        <w:t xml:space="preserve"/>
      </w:r>
    </w:p>
    <w:p>
      <w:pPr>
        <w:pStyle w:val="ListParagraph"/>
        <w:numPr>
          <w:ilvl w:val="0"/>
          <w:numId w:val="3"/>
        </w:numPr>
        <w:spacing w:before="60" w:after="60"/>
      </w:pPr>
      <w:r>
        <w:rPr>
          <w:rFonts w:ascii="Arial" w:cs="Arial" w:eastAsia="Arial" w:hAnsi="Arial"/>
          <w:color w:val="111827"/>
          <w:sz w:val="22"/>
          <w:szCs w:val="22"/>
        </w:rPr>
        <w:t xml:space="preserve">Centralises all purchase order and SKU data in a single, structured local database</w:t>
      </w:r>
    </w:p>
    <w:p>
      <w:pPr>
        <w:pStyle w:val="ListParagraph"/>
        <w:numPr>
          <w:ilvl w:val="0"/>
          <w:numId w:val="3"/>
        </w:numPr>
        <w:spacing w:before="60" w:after="60"/>
      </w:pPr>
      <w:r>
        <w:rPr>
          <w:rFonts w:ascii="Arial" w:cs="Arial" w:eastAsia="Arial" w:hAnsi="Arial"/>
          <w:color w:val="111827"/>
          <w:sz w:val="22"/>
          <w:szCs w:val="22"/>
        </w:rPr>
        <w:t xml:space="preserve">Automates CBM calculations at SKU and container level</w:t>
      </w:r>
    </w:p>
    <w:p>
      <w:pPr>
        <w:pStyle w:val="ListParagraph"/>
        <w:numPr>
          <w:ilvl w:val="0"/>
          <w:numId w:val="3"/>
        </w:numPr>
        <w:spacing w:before="60" w:after="60"/>
      </w:pPr>
      <w:r>
        <w:rPr>
          <w:rFonts w:ascii="Arial" w:cs="Arial" w:eastAsia="Arial" w:hAnsi="Arial"/>
          <w:color w:val="111827"/>
          <w:sz w:val="22"/>
          <w:szCs w:val="22"/>
        </w:rPr>
        <w:t xml:space="preserve">Enables flexible allocation and deallocation of POs/SKUs to containers on a case-by-case basis</w:t>
      </w:r>
    </w:p>
    <w:p>
      <w:pPr>
        <w:pStyle w:val="ListParagraph"/>
        <w:numPr>
          <w:ilvl w:val="0"/>
          <w:numId w:val="3"/>
        </w:numPr>
        <w:spacing w:before="60" w:after="60"/>
      </w:pPr>
      <w:r>
        <w:rPr>
          <w:rFonts w:ascii="Arial" w:cs="Arial" w:eastAsia="Arial" w:hAnsi="Arial"/>
          <w:color w:val="111827"/>
          <w:sz w:val="22"/>
          <w:szCs w:val="22"/>
        </w:rPr>
        <w:t xml:space="preserve">Tracks partial quantity allocations (allocated vs pending) at the SKU level</w:t>
      </w:r>
    </w:p>
    <w:p>
      <w:pPr>
        <w:pStyle w:val="ListParagraph"/>
        <w:numPr>
          <w:ilvl w:val="0"/>
          <w:numId w:val="3"/>
        </w:numPr>
        <w:spacing w:before="60" w:after="60"/>
      </w:pPr>
      <w:r>
        <w:rPr>
          <w:rFonts w:ascii="Arial" w:cs="Arial" w:eastAsia="Arial" w:hAnsi="Arial"/>
          <w:color w:val="111827"/>
          <w:sz w:val="22"/>
          <w:szCs w:val="22"/>
        </w:rPr>
        <w:t xml:space="preserve">Automates SKU readiness status based on cargo ready dates</w:t>
      </w:r>
    </w:p>
    <w:p>
      <w:pPr>
        <w:pStyle w:val="ListParagraph"/>
        <w:numPr>
          <w:ilvl w:val="0"/>
          <w:numId w:val="3"/>
        </w:numPr>
        <w:spacing w:before="60" w:after="60"/>
      </w:pPr>
      <w:r>
        <w:rPr>
          <w:rFonts w:ascii="Arial" w:cs="Arial" w:eastAsia="Arial" w:hAnsi="Arial"/>
          <w:color w:val="111827"/>
          <w:sz w:val="22"/>
          <w:szCs w:val="22"/>
        </w:rPr>
        <w:t xml:space="preserve">Provides a vessel tracker linked directly to container plans</w:t>
      </w:r>
    </w:p>
    <w:p>
      <w:pPr>
        <w:pStyle w:val="ListParagraph"/>
        <w:numPr>
          <w:ilvl w:val="0"/>
          <w:numId w:val="3"/>
        </w:numPr>
        <w:spacing w:before="60" w:after="60"/>
      </w:pPr>
      <w:r>
        <w:rPr>
          <w:rFonts w:ascii="Arial" w:cs="Arial" w:eastAsia="Arial" w:hAnsi="Arial"/>
          <w:color w:val="111827"/>
          <w:sz w:val="22"/>
          <w:szCs w:val="22"/>
        </w:rPr>
        <w:t xml:space="preserve">Delivers clear reporting on shipment status, CBM utilisation, and allocation progress</w:t>
      </w:r>
    </w:p>
    <w:p>
      <w:pPr>
        <w:pStyle w:val="ListParagraph"/>
        <w:numPr>
          <w:ilvl w:val="0"/>
          <w:numId w:val="3"/>
        </w:numPr>
        <w:spacing w:before="60" w:after="60"/>
      </w:pPr>
      <w:r>
        <w:rPr>
          <w:rFonts w:ascii="Arial" w:cs="Arial" w:eastAsia="Arial" w:hAnsi="Arial"/>
          <w:color w:val="111827"/>
          <w:sz w:val="22"/>
          <w:szCs w:val="22"/>
        </w:rPr>
        <w:t xml:space="preserve">Enforces role-based access with authentication and data encryption</w:t>
      </w:r>
    </w:p>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1.3 Scope — MVP</w:t>
      </w:r>
    </w:p>
    <w:p>
      <w:pPr>
        <w:spacing w:before="80" w:after="80"/>
      </w:pPr>
      <w:r>
        <w:rPr>
          <w:rFonts w:ascii="Arial" w:cs="Arial" w:eastAsia="Arial" w:hAnsi="Arial"/>
          <w:color w:val="111827"/>
          <w:sz w:val="22"/>
          <w:szCs w:val="22"/>
        </w:rPr>
        <w:t xml:space="preserve">The MVP focuses on the following capabilities:</w:t>
      </w:r>
    </w:p>
    <w:p>
      <w:pPr>
        <w:spacing w:before="60" w:after="60"/>
      </w:pPr>
      <w:r>
        <w:t xml:space="preserve"/>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4860"/>
        <w:gridCol w:w="4860"/>
      </w:tblGrid>
      <w:tr>
        <w:tc>
          <w:tcPr>
            <w:tcW w:type="dxa" w:w="486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In Scope — MVP</w:t>
            </w:r>
          </w:p>
        </w:tc>
        <w:tc>
          <w:tcPr>
            <w:tcW w:type="dxa" w:w="4860"/>
            <w:tcBorders>
              <w:top w:val="single" w:color="374151" w:sz="1"/>
              <w:start w:val="single" w:color="374151" w:sz="1"/>
              <w:bottom w:val="single" w:color="374151" w:sz="1"/>
              <w:end w:val="single" w:color="374151" w:sz="1"/>
            </w:tcBorders>
            <w:shd w:fill="3741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Out of Scope — Post-MVP</w:t>
            </w:r>
          </w:p>
        </w:tc>
      </w:tr>
      <w:tr>
        <w:tc>
          <w:tcPr>
            <w:tcW w:type="dxa" w:w="486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40" w:after="40"/>
            </w:pPr>
            <w:r>
              <w:rPr>
                <w:rFonts w:ascii="Arial" w:cs="Arial" w:eastAsia="Arial" w:hAnsi="Arial"/>
                <w:sz w:val="20"/>
                <w:szCs w:val="20"/>
              </w:rPr>
              <w:t xml:space="preserve">• Purchase order &amp; SKU management</w:t>
            </w:r>
          </w:p>
          <w:p>
            <w:pPr>
              <w:spacing w:before="40" w:after="40"/>
            </w:pPr>
            <w:r>
              <w:rPr>
                <w:rFonts w:ascii="Arial" w:cs="Arial" w:eastAsia="Arial" w:hAnsi="Arial"/>
                <w:sz w:val="20"/>
                <w:szCs w:val="20"/>
              </w:rPr>
              <w:t xml:space="preserve">• CSV import of PO/SKU data</w:t>
            </w:r>
          </w:p>
          <w:p>
            <w:pPr>
              <w:spacing w:before="40" w:after="40"/>
            </w:pPr>
            <w:r>
              <w:rPr>
                <w:rFonts w:ascii="Arial" w:cs="Arial" w:eastAsia="Arial" w:hAnsi="Arial"/>
                <w:sz w:val="20"/>
                <w:szCs w:val="20"/>
              </w:rPr>
              <w:t xml:space="preserve">• Container creation &amp; CBM tracking</w:t>
            </w:r>
          </w:p>
          <w:p>
            <w:pPr>
              <w:spacing w:before="40" w:after="40"/>
            </w:pPr>
            <w:r>
              <w:rPr>
                <w:rFonts w:ascii="Arial" w:cs="Arial" w:eastAsia="Arial" w:hAnsi="Arial"/>
                <w:sz w:val="20"/>
                <w:szCs w:val="20"/>
              </w:rPr>
              <w:t xml:space="preserve">• PO/SKU allocation &amp; deallocation</w:t>
            </w:r>
          </w:p>
          <w:p>
            <w:pPr>
              <w:spacing w:before="40" w:after="40"/>
            </w:pPr>
            <w:r>
              <w:rPr>
                <w:rFonts w:ascii="Arial" w:cs="Arial" w:eastAsia="Arial" w:hAnsi="Arial"/>
                <w:sz w:val="20"/>
                <w:szCs w:val="20"/>
              </w:rPr>
              <w:t xml:space="preserve">• Partial quantity allocation tracking</w:t>
            </w:r>
          </w:p>
          <w:p>
            <w:pPr>
              <w:spacing w:before="40" w:after="40"/>
            </w:pPr>
            <w:r>
              <w:rPr>
                <w:rFonts w:ascii="Arial" w:cs="Arial" w:eastAsia="Arial" w:hAnsi="Arial"/>
                <w:sz w:val="20"/>
                <w:szCs w:val="20"/>
              </w:rPr>
              <w:t xml:space="preserve">• SKU readiness automation (cargo ready date)</w:t>
            </w:r>
          </w:p>
          <w:p>
            <w:pPr>
              <w:spacing w:before="40" w:after="40"/>
            </w:pPr>
            <w:r>
              <w:rPr>
                <w:rFonts w:ascii="Arial" w:cs="Arial" w:eastAsia="Arial" w:hAnsi="Arial"/>
                <w:sz w:val="20"/>
                <w:szCs w:val="20"/>
              </w:rPr>
              <w:t xml:space="preserve">• Vessel tracker (linked to containers)</w:t>
            </w:r>
          </w:p>
          <w:p>
            <w:pPr>
              <w:spacing w:before="40" w:after="40"/>
            </w:pPr>
            <w:r>
              <w:rPr>
                <w:rFonts w:ascii="Arial" w:cs="Arial" w:eastAsia="Arial" w:hAnsi="Arial"/>
                <w:sz w:val="20"/>
                <w:szCs w:val="20"/>
              </w:rPr>
              <w:t xml:space="preserve">• Shipment status &amp; CBM reports</w:t>
            </w:r>
          </w:p>
          <w:p>
            <w:pPr>
              <w:spacing w:before="40" w:after="40"/>
            </w:pPr>
            <w:r>
              <w:rPr>
                <w:rFonts w:ascii="Arial" w:cs="Arial" w:eastAsia="Arial" w:hAnsi="Arial"/>
                <w:sz w:val="20"/>
                <w:szCs w:val="20"/>
              </w:rPr>
              <w:t xml:space="preserve">• Role-based auth + data encryption</w:t>
            </w:r>
          </w:p>
          <w:p>
            <w:pPr>
              <w:spacing w:before="40" w:after="40"/>
            </w:pPr>
            <w:r>
              <w:rPr>
                <w:rFonts w:ascii="Arial" w:cs="Arial" w:eastAsia="Arial" w:hAnsi="Arial"/>
                <w:sz w:val="20"/>
                <w:szCs w:val="20"/>
              </w:rPr>
              <w:t xml:space="preserve">• Google Drive backup</w:t>
            </w:r>
          </w:p>
        </w:tc>
        <w:tc>
          <w:tcPr>
            <w:tcW w:type="dxa" w:w="486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40" w:after="40"/>
            </w:pPr>
            <w:r>
              <w:rPr>
                <w:rFonts w:ascii="Arial" w:cs="Arial" w:eastAsia="Arial" w:hAnsi="Arial"/>
                <w:sz w:val="20"/>
                <w:szCs w:val="20"/>
              </w:rPr>
              <w:t xml:space="preserve">• ERP system API / EDI integration</w:t>
            </w:r>
          </w:p>
          <w:p>
            <w:pPr>
              <w:spacing w:before="40" w:after="40"/>
            </w:pPr>
            <w:r>
              <w:rPr>
                <w:rFonts w:ascii="Arial" w:cs="Arial" w:eastAsia="Arial" w:hAnsi="Arial"/>
                <w:sz w:val="20"/>
                <w:szCs w:val="20"/>
              </w:rPr>
              <w:t xml:space="preserve">• Email notifications</w:t>
            </w:r>
          </w:p>
          <w:p>
            <w:pPr>
              <w:spacing w:before="40" w:after="40"/>
            </w:pPr>
            <w:r>
              <w:rPr>
                <w:rFonts w:ascii="Arial" w:cs="Arial" w:eastAsia="Arial" w:hAnsi="Arial"/>
                <w:sz w:val="20"/>
                <w:szCs w:val="20"/>
              </w:rPr>
              <w:t xml:space="preserve">• Automated Google Drive sync</w:t>
            </w:r>
          </w:p>
          <w:p>
            <w:pPr>
              <w:spacing w:before="40" w:after="40"/>
            </w:pPr>
            <w:r>
              <w:rPr>
                <w:rFonts w:ascii="Arial" w:cs="Arial" w:eastAsia="Arial" w:hAnsi="Arial"/>
                <w:sz w:val="20"/>
                <w:szCs w:val="20"/>
              </w:rPr>
              <w:t xml:space="preserve">• Advanced analytics / dashboards</w:t>
            </w:r>
          </w:p>
          <w:p>
            <w:pPr>
              <w:spacing w:before="40" w:after="40"/>
            </w:pPr>
            <w:r>
              <w:rPr>
                <w:rFonts w:ascii="Arial" w:cs="Arial" w:eastAsia="Arial" w:hAnsi="Arial"/>
                <w:sz w:val="20"/>
                <w:szCs w:val="20"/>
              </w:rPr>
              <w:t xml:space="preserve">• Mobile application</w:t>
            </w:r>
          </w:p>
          <w:p>
            <w:pPr>
              <w:spacing w:before="40" w:after="40"/>
            </w:pPr>
            <w:r>
              <w:rPr>
                <w:rFonts w:ascii="Arial" w:cs="Arial" w:eastAsia="Arial" w:hAnsi="Arial"/>
                <w:sz w:val="20"/>
                <w:szCs w:val="20"/>
              </w:rPr>
              <w:t xml:space="preserve">• Multi-company / multi-team support</w:t>
            </w:r>
          </w:p>
        </w:tc>
      </w:tr>
    </w:tbl>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1.4 Assumptions &amp; Constraints</w:t>
      </w:r>
    </w:p>
    <w:p>
      <w:pPr>
        <w:pStyle w:val="ListParagraph"/>
        <w:numPr>
          <w:ilvl w:val="0"/>
          <w:numId w:val="2"/>
        </w:numPr>
        <w:spacing w:before="60" w:after="60"/>
      </w:pPr>
      <w:r>
        <w:rPr>
          <w:rFonts w:ascii="Arial" w:cs="Arial" w:eastAsia="Arial" w:hAnsi="Arial"/>
          <w:color w:val="111827"/>
          <w:sz w:val="22"/>
          <w:szCs w:val="22"/>
        </w:rPr>
        <w:t xml:space="preserve">No live ERP integration at this stage — data entry via CSV import or manual input</w:t>
      </w:r>
    </w:p>
    <w:p>
      <w:pPr>
        <w:pStyle w:val="ListParagraph"/>
        <w:numPr>
          <w:ilvl w:val="0"/>
          <w:numId w:val="2"/>
        </w:numPr>
        <w:spacing w:before="60" w:after="60"/>
      </w:pPr>
      <w:r>
        <w:rPr>
          <w:rFonts w:ascii="Arial" w:cs="Arial" w:eastAsia="Arial" w:hAnsi="Arial"/>
          <w:color w:val="111827"/>
          <w:sz w:val="22"/>
          <w:szCs w:val="22"/>
        </w:rPr>
        <w:t xml:space="preserve">Application runs on a local machine; no external hosting or cloud infrastructure required</w:t>
      </w:r>
    </w:p>
    <w:p>
      <w:pPr>
        <w:pStyle w:val="ListParagraph"/>
        <w:numPr>
          <w:ilvl w:val="0"/>
          <w:numId w:val="2"/>
        </w:numPr>
        <w:spacing w:before="60" w:after="60"/>
      </w:pPr>
      <w:r>
        <w:rPr>
          <w:rFonts w:ascii="Arial" w:cs="Arial" w:eastAsia="Arial" w:hAnsi="Arial"/>
          <w:color w:val="111827"/>
          <w:sz w:val="22"/>
          <w:szCs w:val="22"/>
        </w:rPr>
        <w:t xml:space="preserve">Two supply chain users plus one admin user at launch</w:t>
      </w:r>
    </w:p>
    <w:p>
      <w:pPr>
        <w:pStyle w:val="ListParagraph"/>
        <w:numPr>
          <w:ilvl w:val="0"/>
          <w:numId w:val="2"/>
        </w:numPr>
        <w:spacing w:before="60" w:after="60"/>
      </w:pPr>
      <w:r>
        <w:rPr>
          <w:rFonts w:ascii="Arial" w:cs="Arial" w:eastAsia="Arial" w:hAnsi="Arial"/>
          <w:color w:val="111827"/>
          <w:sz w:val="22"/>
          <w:szCs w:val="22"/>
        </w:rPr>
        <w:t xml:space="preserve">macOS primary development environment; Windows compatibility required for user testing</w:t>
      </w:r>
    </w:p>
    <w:p>
      <w:pPr>
        <w:pStyle w:val="ListParagraph"/>
        <w:numPr>
          <w:ilvl w:val="0"/>
          <w:numId w:val="2"/>
        </w:numPr>
        <w:spacing w:before="60" w:after="60"/>
      </w:pPr>
      <w:r>
        <w:rPr>
          <w:rFonts w:ascii="Arial" w:cs="Arial" w:eastAsia="Arial" w:hAnsi="Arial"/>
          <w:color w:val="111827"/>
          <w:sz w:val="22"/>
          <w:szCs w:val="22"/>
        </w:rPr>
        <w:t xml:space="preserve">No budget at MVP stage; open-source libraries and frameworks only</w:t>
      </w:r>
    </w:p>
    <w:p>
      <w:pPr>
        <w:pStyle w:val="ListParagraph"/>
        <w:numPr>
          <w:ilvl w:val="0"/>
          <w:numId w:val="2"/>
        </w:numPr>
        <w:spacing w:before="60" w:after="60"/>
      </w:pPr>
      <w:r>
        <w:rPr>
          <w:rFonts w:ascii="Arial" w:cs="Arial" w:eastAsia="Arial" w:hAnsi="Arial"/>
          <w:color w:val="111827"/>
          <w:sz w:val="22"/>
          <w:szCs w:val="22"/>
        </w:rPr>
        <w:t xml:space="preserve">Google Drive used for manual backup only — no automated sync in MVP</w:t>
      </w:r>
    </w:p>
    <w:p>
      <w:pPr>
        <w:spacing w:before="0" w:after="0"/>
      </w:pPr>
      <w:r>
        <w:br w:type="page"/>
      </w:r>
    </w:p>
    <w:p>
      <w:pPr>
        <w:pStyle w:val="Heading1"/>
        <w:spacing w:before="360" w:after="160"/>
      </w:pPr>
      <w:r>
        <w:rPr>
          <w:rFonts w:ascii="Arial" w:cs="Arial" w:eastAsia="Arial" w:hAnsi="Arial"/>
          <w:b/>
          <w:bCs/>
          <w:color w:val="1B3A5C"/>
          <w:sz w:val="36"/>
          <w:szCs w:val="36"/>
        </w:rPr>
        <w:t xml:space="preserve">2. Data Model</w:t>
      </w:r>
    </w:p>
    <w:p>
      <w:pPr>
        <w:pStyle w:val="Heading2"/>
        <w:pBdr>
          <w:bottom w:val="single" w:color="2563EB" w:sz="4" w:space="4"/>
        </w:pBdr>
        <w:spacing w:before="280" w:after="120"/>
      </w:pPr>
      <w:r>
        <w:rPr>
          <w:rFonts w:ascii="Arial" w:cs="Arial" w:eastAsia="Arial" w:hAnsi="Arial"/>
          <w:b/>
          <w:bCs/>
          <w:color w:val="1B3A5C"/>
          <w:sz w:val="28"/>
          <w:szCs w:val="28"/>
        </w:rPr>
        <w:t xml:space="preserve">2.1 Overview</w:t>
      </w:r>
    </w:p>
    <w:p>
      <w:pPr>
        <w:spacing w:before="80" w:after="80"/>
      </w:pPr>
      <w:r>
        <w:rPr>
          <w:rFonts w:ascii="Arial" w:cs="Arial" w:eastAsia="Arial" w:hAnsi="Arial"/>
          <w:color w:val="111827"/>
          <w:sz w:val="22"/>
          <w:szCs w:val="22"/>
        </w:rPr>
        <w:t xml:space="preserve">The application uses a relational SQLite database with four primary entities: Purchase Orders, SKUs (child of PO), Containers/Shipments, and Vessels. Allocations link SKUs to Containers with quantity tracking.</w:t>
      </w:r>
    </w:p>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2.2 Purchase Orders</w:t>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2400"/>
        <w:gridCol w:w="2400"/>
        <w:gridCol w:w="4920"/>
      </w:tblGrid>
      <w:tr>
        <w:tc>
          <w:tcPr>
            <w:tcW w:type="dxa" w:w="24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Field</w:t>
            </w:r>
          </w:p>
        </w:tc>
        <w:tc>
          <w:tcPr>
            <w:tcW w:type="dxa" w:w="24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Type</w:t>
            </w:r>
          </w:p>
        </w:tc>
        <w:tc>
          <w:tcPr>
            <w:tcW w:type="dxa" w:w="492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Notes</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PO Number</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 (PK)</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Unique identifier for the purchase order</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PI Number</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Proforma invoice number</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Supplier Name</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Name of the supplier</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Incoterms</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e.g. FOB, CIF, EXW</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Currency</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e.g. USD, EUR, CNY</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Total Purchase Value</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DECIMAL</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Sum of all SKU line values</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HS Code</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Harmonised system tariff code</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Shipping Compliance</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Compliance status / notes</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Cargo Ready Date</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DATE</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Fluctuates — drives SKU readiness status</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PO Status</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 (ENUM)</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Confirmed / Unconfirmed</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Created At</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DATETIME</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Auto-populated on creation</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Updated At</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DATETIME</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Auto-updated on any change</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Created By</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 (FK)</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User who created the record</w:t>
            </w:r>
          </w:p>
        </w:tc>
      </w:tr>
    </w:tbl>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2.3 SKUs (child of Purchase Order)</w:t>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2400"/>
        <w:gridCol w:w="2400"/>
        <w:gridCol w:w="4920"/>
      </w:tblGrid>
      <w:tr>
        <w:tc>
          <w:tcPr>
            <w:tcW w:type="dxa" w:w="24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Field</w:t>
            </w:r>
          </w:p>
        </w:tc>
        <w:tc>
          <w:tcPr>
            <w:tcW w:type="dxa" w:w="24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Type</w:t>
            </w:r>
          </w:p>
        </w:tc>
        <w:tc>
          <w:tcPr>
            <w:tcW w:type="dxa" w:w="492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Notes</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SKU ID</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INTEGER (PK)</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Auto-increment internal key</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PO Number</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 (FK)</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Parent purchase order</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Supplier SKU</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Supplier's own product code</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J&amp;J SKU</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Internal product code</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Product Name</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Description of the product</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Shipment Type</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e.g. FCL, LCL, Air</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Buying Price</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DECIMAL</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Unit buying price</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Total Order QTY</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INTEGER</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Total quantity on the PO line</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Allocated QTY</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INTEGER</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Quantity allocated to container(s)</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Pending QTY</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INTEGER</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Computed: Total - Allocated</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Length (cm)</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DECIMAL</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Outer carton length</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Width (cm)</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DECIMAL</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Outer carton width</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Height (cm)</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DECIMAL</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Outer carton height</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Weight (kg)</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DECIMAL</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Outer carton weight</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Outer Carton QTY</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INTEGER</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Units per outer carton</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Volumetric (CBM)</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DECIMAL</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Auto-calc: (L x W x H) / 1,000,000</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Total CBM Calc</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DECIMAL</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Auto-calc: Volumetric x No. of cartons</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CBM (Packing List)</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DECIMAL</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CBM as per supplier packing list</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SKU Status</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 (ENUM)</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See status states in Section 4.2</w:t>
            </w:r>
          </w:p>
        </w:tc>
      </w:tr>
    </w:tbl>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2.4 Containers / Shipments</w:t>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2400"/>
        <w:gridCol w:w="2400"/>
        <w:gridCol w:w="4920"/>
      </w:tblGrid>
      <w:tr>
        <w:tc>
          <w:tcPr>
            <w:tcW w:type="dxa" w:w="24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Field</w:t>
            </w:r>
          </w:p>
        </w:tc>
        <w:tc>
          <w:tcPr>
            <w:tcW w:type="dxa" w:w="24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Type</w:t>
            </w:r>
          </w:p>
        </w:tc>
        <w:tc>
          <w:tcPr>
            <w:tcW w:type="dxa" w:w="492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Notes</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Container ID</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 (PK)</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e.g. CN FCL 41</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Shipment Type</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FCL / LCL / Air</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CBM Capacity</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DECIMAL</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Maximum CBM for this container</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Total CBM Used</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DECIMAL</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Auto-calc: sum of allocated SKU CBMs</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CBM Remaining</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DECIMAL</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Auto-calc: Capacity - Used</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Status</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 (ENUM)</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Planning / Confirmed / Shipped / Closed</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Planned Departure</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DATE</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Estimated departure date</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Notes</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Free-text notes field</w:t>
            </w:r>
          </w:p>
        </w:tc>
      </w:tr>
    </w:tbl>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2.5 Vessels</w:t>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2400"/>
        <w:gridCol w:w="2400"/>
        <w:gridCol w:w="4920"/>
      </w:tblGrid>
      <w:tr>
        <w:tc>
          <w:tcPr>
            <w:tcW w:type="dxa" w:w="24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Field</w:t>
            </w:r>
          </w:p>
        </w:tc>
        <w:tc>
          <w:tcPr>
            <w:tcW w:type="dxa" w:w="24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Type</w:t>
            </w:r>
          </w:p>
        </w:tc>
        <w:tc>
          <w:tcPr>
            <w:tcW w:type="dxa" w:w="492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Notes</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Vessel ID</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INTEGER (PK)</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Auto-increment</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Vessel Name</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Name of the vessel</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Voyage Number</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Carrier voyage reference</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Carrier</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Shipping line / freight forwarder</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Port of Loading</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Origin port (e.g. Yantian, Shanghai)</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Port of Discharge</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Destination port</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ETD</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DATE</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Estimated time of departure</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ETA</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DATE</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Estimated time of arrival</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Bill of Lading No.</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B/L reference number</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Linked Container(s)</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 (FK)</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One or more Container IDs</w:t>
            </w:r>
          </w:p>
        </w:tc>
      </w:tr>
    </w:tbl>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2.6 Allocations (linking table)</w:t>
      </w:r>
    </w:p>
    <w:p>
      <w:pPr>
        <w:spacing w:before="80" w:after="80"/>
      </w:pPr>
      <w:r>
        <w:rPr>
          <w:rFonts w:ascii="Arial" w:cs="Arial" w:eastAsia="Arial" w:hAnsi="Arial"/>
          <w:color w:val="111827"/>
          <w:sz w:val="22"/>
          <w:szCs w:val="22"/>
        </w:rPr>
        <w:t xml:space="preserve">A separate Allocations table records each individual allocation event, enabling partial quantity tracking and full history.</w:t>
      </w:r>
    </w:p>
    <w:p>
      <w:pPr>
        <w:spacing w:before="60" w:after="60"/>
      </w:pPr>
      <w:r>
        <w:t xml:space="preserve"/>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2400"/>
        <w:gridCol w:w="2400"/>
        <w:gridCol w:w="4920"/>
      </w:tblGrid>
      <w:tr>
        <w:tc>
          <w:tcPr>
            <w:tcW w:type="dxa" w:w="24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Field</w:t>
            </w:r>
          </w:p>
        </w:tc>
        <w:tc>
          <w:tcPr>
            <w:tcW w:type="dxa" w:w="24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Type</w:t>
            </w:r>
          </w:p>
        </w:tc>
        <w:tc>
          <w:tcPr>
            <w:tcW w:type="dxa" w:w="492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Notes</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Allocation ID</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INTEGER (PK)</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Auto-increment</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SKU ID</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INTEGER (FK)</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Source SKU</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Container ID</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 (FK)</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Target container</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Allocated QTY</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INTEGER</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Quantity in this allocation event</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Allocated CBM</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DECIMAL</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CBM for this allocation</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Allocated At</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DATETIME</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Timestamp of allocation</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Allocated By</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 (FK)</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User who made the allocation</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Notes</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Optional reason / context</w:t>
            </w:r>
          </w:p>
        </w:tc>
      </w:tr>
    </w:tbl>
    <w:p>
      <w:pPr>
        <w:spacing w:before="0" w:after="0"/>
      </w:pPr>
      <w:r>
        <w:br w:type="page"/>
      </w:r>
    </w:p>
    <w:p>
      <w:pPr>
        <w:pStyle w:val="Heading1"/>
        <w:spacing w:before="360" w:after="160"/>
      </w:pPr>
      <w:r>
        <w:rPr>
          <w:rFonts w:ascii="Arial" w:cs="Arial" w:eastAsia="Arial" w:hAnsi="Arial"/>
          <w:b/>
          <w:bCs/>
          <w:color w:val="1B3A5C"/>
          <w:sz w:val="36"/>
          <w:szCs w:val="36"/>
        </w:rPr>
        <w:t xml:space="preserve">3. Business Rules &amp; Calculations</w:t>
      </w:r>
    </w:p>
    <w:p>
      <w:pPr>
        <w:pStyle w:val="Heading2"/>
        <w:pBdr>
          <w:bottom w:val="single" w:color="2563EB" w:sz="4" w:space="4"/>
        </w:pBdr>
        <w:spacing w:before="280" w:after="120"/>
      </w:pPr>
      <w:r>
        <w:rPr>
          <w:rFonts w:ascii="Arial" w:cs="Arial" w:eastAsia="Arial" w:hAnsi="Arial"/>
          <w:b/>
          <w:bCs/>
          <w:color w:val="1B3A5C"/>
          <w:sz w:val="28"/>
          <w:szCs w:val="28"/>
        </w:rPr>
        <w:t xml:space="preserve">3.1 CBM Calculation</w:t>
      </w:r>
    </w:p>
    <w:p>
      <w:pPr>
        <w:spacing w:before="80" w:after="80"/>
      </w:pPr>
      <w:r>
        <w:rPr>
          <w:rFonts w:ascii="Arial" w:cs="Arial" w:eastAsia="Arial" w:hAnsi="Arial"/>
          <w:color w:val="111827"/>
          <w:sz w:val="22"/>
          <w:szCs w:val="22"/>
        </w:rPr>
        <w:t xml:space="preserve">CBM is calculated automatically whenever dimensions or carton quantities change. The formula is:</w:t>
      </w:r>
    </w:p>
    <w:p>
      <w:pPr>
        <w:spacing w:before="60" w:after="60"/>
      </w:pPr>
      <w:r>
        <w:t xml:space="preserve"/>
      </w:r>
    </w:p>
    <w:p>
      <w:pPr>
        <w:pBdr>
          <w:top w:val="single" w:color="2563EB" w:sz="1"/>
          <w:bottom w:val="single" w:color="2563EB" w:sz="1"/>
          <w:start w:val="single" w:color="2563EB" w:sz="1"/>
          <w:end w:val="single" w:color="2563EB" w:sz="1"/>
        </w:pBdr>
        <w:shd w:fill="DBEAFE" w:val="clear"/>
        <w:spacing w:before="160" w:after="80"/>
        <w:jc w:val="center"/>
      </w:pPr>
      <w:r>
        <w:rPr>
          <w:rFonts w:ascii="Arial" w:cs="Arial" w:eastAsia="Arial" w:hAnsi="Arial"/>
          <w:b/>
          <w:bCs/>
          <w:color w:val="1B3A5C"/>
          <w:sz w:val="22"/>
          <w:szCs w:val="22"/>
        </w:rPr>
        <w:t xml:space="preserve">Volumetric (CBM) = (Length cm × Width cm × Height cm) ÷ 1,000,000</w:t>
      </w:r>
    </w:p>
    <w:p>
      <w:pPr>
        <w:pBdr>
          <w:top w:val="single" w:color="2563EB" w:sz="1"/>
          <w:bottom w:val="single" w:color="2563EB" w:sz="1"/>
          <w:start w:val="single" w:color="2563EB" w:sz="1"/>
          <w:end w:val="single" w:color="2563EB" w:sz="1"/>
        </w:pBdr>
        <w:shd w:fill="DBEAFE" w:val="clear"/>
        <w:spacing w:before="80" w:after="160"/>
        <w:jc w:val="center"/>
      </w:pPr>
      <w:r>
        <w:rPr>
          <w:rFonts w:ascii="Arial" w:cs="Arial" w:eastAsia="Arial" w:hAnsi="Arial"/>
          <w:b/>
          <w:bCs/>
          <w:color w:val="1B3A5C"/>
          <w:sz w:val="22"/>
          <w:szCs w:val="22"/>
        </w:rPr>
        <w:t xml:space="preserve">Total CBM = Volumetric (CBM) × Number of Outer Cartons</w:t>
      </w:r>
    </w:p>
    <w:p>
      <w:pPr>
        <w:spacing w:before="80" w:after="80"/>
      </w:pPr>
      <w:r>
        <w:rPr>
          <w:rFonts w:ascii="Arial" w:cs="Arial" w:eastAsia="Arial" w:hAnsi="Arial"/>
          <w:color w:val="111827"/>
          <w:sz w:val="22"/>
          <w:szCs w:val="22"/>
        </w:rPr>
        <w:t xml:space="preserve">Container Total CBM = sum of Total CBM for all allocated SKUs. CBM Remaining = Container Capacity minus Container Total CBM. Both values update in real time as allocations are added or removed.</w:t>
      </w:r>
    </w:p>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3.2 Partial Allocation</w:t>
      </w:r>
    </w:p>
    <w:p>
      <w:pPr>
        <w:spacing w:before="80" w:after="80"/>
      </w:pPr>
      <w:r>
        <w:rPr>
          <w:rFonts w:ascii="Arial" w:cs="Arial" w:eastAsia="Arial" w:hAnsi="Arial"/>
          <w:color w:val="111827"/>
          <w:sz w:val="22"/>
          <w:szCs w:val="22"/>
        </w:rPr>
        <w:t xml:space="preserve">A SKU's total order quantity can be split across multiple containers and shipments. The system tracks:</w:t>
      </w:r>
    </w:p>
    <w:p>
      <w:pPr>
        <w:spacing w:before="60" w:after="60"/>
      </w:pPr>
      <w:r>
        <w:t xml:space="preserve"/>
      </w:r>
    </w:p>
    <w:p>
      <w:pPr>
        <w:pStyle w:val="ListParagraph"/>
        <w:numPr>
          <w:ilvl w:val="0"/>
          <w:numId w:val="2"/>
        </w:numPr>
        <w:spacing w:before="60" w:after="60"/>
      </w:pPr>
      <w:r>
        <w:rPr>
          <w:rFonts w:ascii="Arial" w:cs="Arial" w:eastAsia="Arial" w:hAnsi="Arial"/>
          <w:color w:val="111827"/>
          <w:sz w:val="22"/>
          <w:szCs w:val="22"/>
        </w:rPr>
        <w:t xml:space="preserve">Total Order QTY — the full quantity on the PO line (read from source data)</w:t>
      </w:r>
    </w:p>
    <w:p>
      <w:pPr>
        <w:pStyle w:val="ListParagraph"/>
        <w:numPr>
          <w:ilvl w:val="0"/>
          <w:numId w:val="2"/>
        </w:numPr>
        <w:spacing w:before="60" w:after="60"/>
      </w:pPr>
      <w:r>
        <w:rPr>
          <w:rFonts w:ascii="Arial" w:cs="Arial" w:eastAsia="Arial" w:hAnsi="Arial"/>
          <w:color w:val="111827"/>
          <w:sz w:val="22"/>
          <w:szCs w:val="22"/>
        </w:rPr>
        <w:t xml:space="preserve">Allocated QTY — sum of all allocation events for this SKU across all containers</w:t>
      </w:r>
    </w:p>
    <w:p>
      <w:pPr>
        <w:pStyle w:val="ListParagraph"/>
        <w:numPr>
          <w:ilvl w:val="0"/>
          <w:numId w:val="2"/>
        </w:numPr>
        <w:spacing w:before="60" w:after="60"/>
      </w:pPr>
      <w:r>
        <w:rPr>
          <w:rFonts w:ascii="Arial" w:cs="Arial" w:eastAsia="Arial" w:hAnsi="Arial"/>
          <w:color w:val="111827"/>
          <w:sz w:val="22"/>
          <w:szCs w:val="22"/>
        </w:rPr>
        <w:t xml:space="preserve">Pending QTY — computed automatically as Total Order QTY minus Allocated QTY</w:t>
      </w:r>
    </w:p>
    <w:p>
      <w:pPr>
        <w:spacing w:before="60" w:after="60"/>
      </w:pPr>
      <w:r>
        <w:t xml:space="preserve"/>
      </w:r>
    </w:p>
    <w:p>
      <w:pPr>
        <w:spacing w:before="80" w:after="80"/>
      </w:pPr>
      <w:r>
        <w:rPr>
          <w:rFonts w:ascii="Arial" w:cs="Arial" w:eastAsia="Arial" w:hAnsi="Arial"/>
          <w:color w:val="111827"/>
          <w:sz w:val="22"/>
          <w:szCs w:val="22"/>
        </w:rPr>
        <w:t xml:space="preserve">Example: PO 1235, SKU A has 23 units. 10 are allocated to CN FCL 41. Allocated QTY = 10, Pending QTY = 13. The 13 remaining units remain visible as unallocated, ready for a future shipment.</w:t>
      </w:r>
    </w:p>
    <w:p>
      <w:pPr>
        <w:spacing w:before="60" w:after="60"/>
      </w:pPr>
      <w:r>
        <w:t xml:space="preserve"/>
      </w:r>
    </w:p>
    <w:p>
      <w:pPr>
        <w:spacing w:before="80" w:after="80"/>
      </w:pPr>
      <w:r>
        <w:rPr>
          <w:rFonts w:ascii="Arial" w:cs="Arial" w:eastAsia="Arial" w:hAnsi="Arial"/>
          <w:color w:val="111827"/>
          <w:sz w:val="22"/>
          <w:szCs w:val="22"/>
        </w:rPr>
        <w:t xml:space="preserve">Users can deallocate at any time. Deallocation decreases Allocated QTY and increases Pending QTY accordingly. All allocation and deallocation events are recorded in the Allocations table with a timestamp and the user who made the change.</w:t>
      </w:r>
    </w:p>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3.3 SKU Readiness Logic</w:t>
      </w:r>
    </w:p>
    <w:p>
      <w:pPr>
        <w:spacing w:before="80" w:after="80"/>
      </w:pPr>
      <w:r>
        <w:rPr>
          <w:rFonts w:ascii="Arial" w:cs="Arial" w:eastAsia="Arial" w:hAnsi="Arial"/>
          <w:color w:val="111827"/>
          <w:sz w:val="22"/>
          <w:szCs w:val="22"/>
        </w:rPr>
        <w:t xml:space="preserve">SKU status is determined by a combination of PO confirmation status and Cargo Ready Date. Status is re-evaluated automatically whenever either field changes.</w:t>
      </w:r>
    </w:p>
    <w:p>
      <w:pPr>
        <w:spacing w:before="60" w:after="60"/>
      </w:pPr>
      <w:r>
        <w:t xml:space="preserve"/>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2500"/>
        <w:gridCol w:w="7220"/>
      </w:tblGrid>
      <w:tr>
        <w:tc>
          <w:tcPr>
            <w:tcW w:type="dxa" w:w="25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Status</w:t>
            </w:r>
          </w:p>
        </w:tc>
        <w:tc>
          <w:tcPr>
            <w:tcW w:type="dxa" w:w="722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Condition</w:t>
            </w:r>
          </w:p>
        </w:tc>
      </w:tr>
      <w:tr>
        <w:tc>
          <w:tcPr>
            <w:tcW w:type="dxa" w:w="2000"/>
            <w:tcBorders>
              <w:top w:val="single" w:color="E5E7EB" w:sz="1"/>
              <w:start w:val="single" w:color="E5E7EB" w:sz="1"/>
              <w:bottom w:val="single" w:color="E5E7EB" w:sz="1"/>
              <w:end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Ready for allocation</w:t>
            </w:r>
          </w:p>
        </w:tc>
        <w:tc>
          <w:tcPr>
            <w:tcW w:type="dxa" w:w="70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PO confirmed AND Cargo Ready Date is today or in the past</w:t>
            </w:r>
          </w:p>
        </w:tc>
      </w:tr>
      <w:tr>
        <w:tc>
          <w:tcPr>
            <w:tcW w:type="dxa" w:w="2000"/>
            <w:tcBorders>
              <w:top w:val="single" w:color="E5E7EB" w:sz="1"/>
              <w:start w:val="single" w:color="E5E7EB" w:sz="1"/>
              <w:bottom w:val="single" w:color="E5E7EB" w:sz="1"/>
              <w:end w:val="single" w:color="E5E7EB" w:sz="1"/>
            </w:tcBorders>
            <w:shd w:fill="FEF3C7" w:val="clear"/>
            <w:tcMar>
              <w:top w:type="dxa" w:w="100"/>
              <w:left w:type="dxa" w:w="140"/>
              <w:bottom w:type="dxa" w:w="100"/>
              <w:right w:type="dxa" w:w="140"/>
            </w:tcMar>
          </w:tcPr>
          <w:p>
            <w:pPr>
              <w:spacing w:before="0" w:after="0"/>
            </w:pPr>
            <w:r>
              <w:rPr>
                <w:rFonts w:ascii="Arial" w:cs="Arial" w:eastAsia="Arial" w:hAnsi="Arial"/>
                <w:b/>
                <w:bCs/>
                <w:color w:val="B45309"/>
                <w:sz w:val="20"/>
                <w:szCs w:val="20"/>
              </w:rPr>
              <w:t xml:space="preserve">Confirmed — pending date</w:t>
            </w:r>
          </w:p>
        </w:tc>
        <w:tc>
          <w:tcPr>
            <w:tcW w:type="dxa" w:w="70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PO confirmed BUT Cargo Ready Date is in the future</w:t>
            </w:r>
          </w:p>
        </w:tc>
      </w:tr>
      <w:tr>
        <w:tc>
          <w:tcPr>
            <w:tcW w:type="dxa" w:w="2000"/>
            <w:tcBorders>
              <w:top w:val="single" w:color="E5E7EB" w:sz="1"/>
              <w:start w:val="single" w:color="E5E7EB" w:sz="1"/>
              <w:bottom w:val="single" w:color="E5E7EB" w:sz="1"/>
              <w:end w:val="single" w:color="E5E7EB" w:sz="1"/>
            </w:tcBorders>
            <w:shd w:fill="FEE2E2" w:val="clear"/>
            <w:tcMar>
              <w:top w:type="dxa" w:w="100"/>
              <w:left w:type="dxa" w:w="140"/>
              <w:bottom w:type="dxa" w:w="100"/>
              <w:right w:type="dxa" w:w="140"/>
            </w:tcMar>
          </w:tcPr>
          <w:p>
            <w:pPr>
              <w:spacing w:before="0" w:after="0"/>
            </w:pPr>
            <w:r>
              <w:rPr>
                <w:rFonts w:ascii="Arial" w:cs="Arial" w:eastAsia="Arial" w:hAnsi="Arial"/>
                <w:b/>
                <w:bCs/>
                <w:color w:val="991B1B"/>
                <w:sz w:val="20"/>
                <w:szCs w:val="20"/>
              </w:rPr>
              <w:t xml:space="preserve">Unconfirmed — cannot allocate</w:t>
            </w:r>
          </w:p>
        </w:tc>
        <w:tc>
          <w:tcPr>
            <w:tcW w:type="dxa" w:w="70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PO status is Unconfirmed — allocation is blocked regardless of date</w:t>
            </w:r>
          </w:p>
        </w:tc>
      </w:tr>
      <w:tr>
        <w:tc>
          <w:tcPr>
            <w:tcW w:type="dxa" w:w="2000"/>
            <w:tcBorders>
              <w:top w:val="single" w:color="E5E7EB" w:sz="1"/>
              <w:start w:val="single" w:color="E5E7EB" w:sz="1"/>
              <w:bottom w:val="single" w:color="E5E7EB" w:sz="1"/>
              <w:end w:val="single" w:color="E5E7EB" w:sz="1"/>
            </w:tcBorders>
            <w:shd w:fill="DBEAFE" w:val="clear"/>
            <w:tcMar>
              <w:top w:type="dxa" w:w="100"/>
              <w:left w:type="dxa" w:w="140"/>
              <w:bottom w:type="dxa" w:w="100"/>
              <w:right w:type="dxa" w:w="140"/>
            </w:tcMar>
          </w:tcPr>
          <w:p>
            <w:pPr>
              <w:spacing w:before="0" w:after="0"/>
            </w:pPr>
            <w:r>
              <w:rPr>
                <w:rFonts w:ascii="Arial" w:cs="Arial" w:eastAsia="Arial" w:hAnsi="Arial"/>
                <w:b/>
                <w:bCs/>
                <w:color w:val="1B3A5C"/>
                <w:sz w:val="20"/>
                <w:szCs w:val="20"/>
              </w:rPr>
              <w:t xml:space="preserve">Allocated</w:t>
            </w:r>
          </w:p>
        </w:tc>
        <w:tc>
          <w:tcPr>
            <w:tcW w:type="dxa" w:w="70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All Total Order QTY has been allocated across one or more containers</w:t>
            </w:r>
          </w:p>
        </w:tc>
      </w:tr>
      <w:tr>
        <w:tc>
          <w:tcPr>
            <w:tcW w:type="dxa" w:w="2000"/>
            <w:tcBorders>
              <w:top w:val="single" w:color="E5E7EB" w:sz="1"/>
              <w:start w:val="single" w:color="E5E7EB" w:sz="1"/>
              <w:bottom w:val="single" w:color="E5E7EB" w:sz="1"/>
              <w:end w:val="single" w:color="E5E7EB" w:sz="1"/>
            </w:tcBorders>
            <w:shd w:fill="DBEAFE" w:val="clear"/>
            <w:tcMar>
              <w:top w:type="dxa" w:w="100"/>
              <w:left w:type="dxa" w:w="140"/>
              <w:bottom w:type="dxa" w:w="100"/>
              <w:right w:type="dxa" w:w="140"/>
            </w:tcMar>
          </w:tcPr>
          <w:p>
            <w:pPr>
              <w:spacing w:before="0" w:after="0"/>
            </w:pPr>
            <w:r>
              <w:rPr>
                <w:rFonts w:ascii="Arial" w:cs="Arial" w:eastAsia="Arial" w:hAnsi="Arial"/>
                <w:b/>
                <w:bCs/>
                <w:color w:val="2563EB"/>
                <w:sz w:val="20"/>
                <w:szCs w:val="20"/>
              </w:rPr>
              <w:t xml:space="preserve">Partially allocated</w:t>
            </w:r>
          </w:p>
        </w:tc>
        <w:tc>
          <w:tcPr>
            <w:tcW w:type="dxa" w:w="70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Some but not all QTY has been allocated; Pending QTY &gt; 0</w:t>
            </w:r>
          </w:p>
        </w:tc>
      </w:tr>
    </w:tbl>
    <w:p>
      <w:pPr>
        <w:spacing w:before="60" w:after="60"/>
      </w:pPr>
      <w:r>
        <w:t xml:space="preserve"/>
      </w:r>
    </w:p>
    <w:p>
      <w:pPr>
        <w:spacing w:before="60" w:after="60"/>
      </w:pPr>
      <w:r>
        <w:rPr>
          <w:rFonts w:ascii="Arial" w:cs="Arial" w:eastAsia="Arial" w:hAnsi="Arial"/>
          <w:i/>
          <w:iCs/>
          <w:color w:val="374151"/>
          <w:sz w:val="20"/>
          <w:szCs w:val="20"/>
        </w:rPr>
        <w:t xml:space="preserve">Cargo Ready Date fluctuates frequently. Status is recalculated on every page load and on any date update — no manual status override is required.</w:t>
      </w:r>
    </w:p>
    <w:p>
      <w:pPr>
        <w:spacing w:before="0" w:after="0"/>
      </w:pPr>
      <w:r>
        <w:br w:type="page"/>
      </w:r>
    </w:p>
    <w:p>
      <w:pPr>
        <w:pStyle w:val="Heading1"/>
        <w:spacing w:before="360" w:after="160"/>
      </w:pPr>
      <w:r>
        <w:rPr>
          <w:rFonts w:ascii="Arial" w:cs="Arial" w:eastAsia="Arial" w:hAnsi="Arial"/>
          <w:b/>
          <w:bCs/>
          <w:color w:val="1B3A5C"/>
          <w:sz w:val="36"/>
          <w:szCs w:val="36"/>
        </w:rPr>
        <w:t xml:space="preserve">4. System Architecture</w:t>
      </w:r>
    </w:p>
    <w:p>
      <w:pPr>
        <w:pStyle w:val="Heading2"/>
        <w:pBdr>
          <w:bottom w:val="single" w:color="2563EB" w:sz="4" w:space="4"/>
        </w:pBdr>
        <w:spacing w:before="280" w:after="120"/>
      </w:pPr>
      <w:r>
        <w:rPr>
          <w:rFonts w:ascii="Arial" w:cs="Arial" w:eastAsia="Arial" w:hAnsi="Arial"/>
          <w:b/>
          <w:bCs/>
          <w:color w:val="1B3A5C"/>
          <w:sz w:val="28"/>
          <w:szCs w:val="28"/>
        </w:rPr>
        <w:t xml:space="preserve">4.1 Tech Stack</w:t>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2400"/>
        <w:gridCol w:w="3360"/>
        <w:gridCol w:w="3960"/>
      </w:tblGrid>
      <w:tr>
        <w:tc>
          <w:tcPr>
            <w:tcW w:type="dxa" w:w="24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Layer</w:t>
            </w:r>
          </w:p>
        </w:tc>
        <w:tc>
          <w:tcPr>
            <w:tcW w:type="dxa" w:w="336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Technology</w:t>
            </w:r>
          </w:p>
        </w:tc>
        <w:tc>
          <w:tcPr>
            <w:tcW w:type="dxa" w:w="396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Rationale</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Backend</w:t>
            </w:r>
          </w:p>
        </w:tc>
        <w:tc>
          <w:tcPr>
            <w:tcW w:type="dxa" w:w="336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Python 3.11+ / Flask</w:t>
            </w:r>
          </w:p>
        </w:tc>
        <w:tc>
          <w:tcPr>
            <w:tcW w:type="dxa" w:w="396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Lightweight, well-documented, cross-platform (macOS + Windows)</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Database</w:t>
            </w:r>
          </w:p>
        </w:tc>
        <w:tc>
          <w:tcPr>
            <w:tcW w:type="dxa" w:w="336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SQLite + SQLCipher</w:t>
            </w:r>
          </w:p>
        </w:tc>
        <w:tc>
          <w:tcPr>
            <w:tcW w:type="dxa" w:w="396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Local file-based DB, no server needed; SQLCipher adds encryption at rest</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Frontend</w:t>
            </w:r>
          </w:p>
        </w:tc>
        <w:tc>
          <w:tcPr>
            <w:tcW w:type="dxa" w:w="336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HTML / CSS / JavaScript</w:t>
            </w:r>
          </w:p>
        </w:tc>
        <w:tc>
          <w:tcPr>
            <w:tcW w:type="dxa" w:w="396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No framework required for MVP; cross-platform browser rendering</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Auth</w:t>
            </w:r>
          </w:p>
        </w:tc>
        <w:tc>
          <w:tcPr>
            <w:tcW w:type="dxa" w:w="336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Flask-Login + bcrypt</w:t>
            </w:r>
          </w:p>
        </w:tc>
        <w:tc>
          <w:tcPr>
            <w:tcW w:type="dxa" w:w="396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Industry-standard password hashing; JWT session tokens</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CSV Import</w:t>
            </w:r>
          </w:p>
        </w:tc>
        <w:tc>
          <w:tcPr>
            <w:tcW w:type="dxa" w:w="336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Python csv / pandas</w:t>
            </w:r>
          </w:p>
        </w:tc>
        <w:tc>
          <w:tcPr>
            <w:tcW w:type="dxa" w:w="396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Standard library; pandas for data validation and transformation</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Backup</w:t>
            </w:r>
          </w:p>
        </w:tc>
        <w:tc>
          <w:tcPr>
            <w:tcW w:type="dxa" w:w="336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Manual Google Drive export</w:t>
            </w:r>
          </w:p>
        </w:tc>
        <w:tc>
          <w:tcPr>
            <w:tcW w:type="dxa" w:w="396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Encrypted DB file export; user-initiated in MVP</w:t>
            </w:r>
          </w:p>
        </w:tc>
      </w:tr>
    </w:tbl>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4.2 Folder Structure</w:t>
      </w:r>
    </w:p>
    <w:p>
      <w:pPr>
        <w:shd w:fill="F3F4F6" w:val="clear"/>
        <w:spacing w:before="80" w:after="80"/>
      </w:pPr>
      <w:r>
        <w:rPr>
          <w:rFonts w:ascii="Courier New" w:cs="Courier New" w:eastAsia="Courier New" w:hAnsi="Courier New"/>
          <w:color w:val="111827"/>
          <w:sz w:val="18"/>
          <w:szCs w:val="18"/>
        </w:rPr>
        <w:t xml:space="preserve">container-app/
  ├── app/
  │   ├── __init__.py          # Flask app factory
  │   ├── auth/                # Login, roles, session management
  │   ├── models/              # Database models (PO, SKU, Container, Vessel, Allocation)
  │   ├── routes/              # API endpoints per module
  │   ├── services/            # Business logic (CBM calc, SKU status, allocation)
  │   ├── templates/           # HTML templates
  │   └── static/              # CSS, JS, assets
  ├── data/
  │   ├── container_app.db     # Encrypted SQLite database
  │   └── imports/             # CSV files for import
  ├── backups/                 # Local backup copies before Google Drive upload
  ├── docs/                    # This document and supporting documentation
  ├── tests/                   # Unit and integration tests
  ├── config.py                # Environment config (dev / prod)
  ├── requirements.txt         # Python dependencies
  └── run.py                   # Entry point</w:t>
      </w:r>
    </w:p>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4.3 Security</w:t>
      </w:r>
    </w:p>
    <w:p>
      <w:pPr>
        <w:pStyle w:val="ListParagraph"/>
        <w:numPr>
          <w:ilvl w:val="0"/>
          <w:numId w:val="2"/>
        </w:numPr>
        <w:spacing w:before="60" w:after="60"/>
      </w:pPr>
      <w:r>
        <w:rPr>
          <w:rFonts w:ascii="Arial" w:cs="Arial" w:eastAsia="Arial" w:hAnsi="Arial"/>
          <w:color w:val="111827"/>
          <w:sz w:val="22"/>
          <w:szCs w:val="22"/>
        </w:rPr>
        <w:t xml:space="preserve">Passwords hashed with bcrypt (work factor 12) — plaintext passwords are never stored</w:t>
      </w:r>
    </w:p>
    <w:p>
      <w:pPr>
        <w:pStyle w:val="ListParagraph"/>
        <w:numPr>
          <w:ilvl w:val="0"/>
          <w:numId w:val="2"/>
        </w:numPr>
        <w:spacing w:before="60" w:after="60"/>
      </w:pPr>
      <w:r>
        <w:rPr>
          <w:rFonts w:ascii="Arial" w:cs="Arial" w:eastAsia="Arial" w:hAnsi="Arial"/>
          <w:color w:val="111827"/>
          <w:sz w:val="22"/>
          <w:szCs w:val="22"/>
        </w:rPr>
        <w:t xml:space="preserve">Session management via Flask-Login with secure, HttpOnly cookies</w:t>
      </w:r>
    </w:p>
    <w:p>
      <w:pPr>
        <w:pStyle w:val="ListParagraph"/>
        <w:numPr>
          <w:ilvl w:val="0"/>
          <w:numId w:val="2"/>
        </w:numPr>
        <w:spacing w:before="60" w:after="60"/>
      </w:pPr>
      <w:r>
        <w:rPr>
          <w:rFonts w:ascii="Arial" w:cs="Arial" w:eastAsia="Arial" w:hAnsi="Arial"/>
          <w:color w:val="111827"/>
          <w:sz w:val="22"/>
          <w:szCs w:val="22"/>
        </w:rPr>
        <w:t xml:space="preserve">Database encrypted at rest using SQLCipher — the .db file is unreadable without the key</w:t>
      </w:r>
    </w:p>
    <w:p>
      <w:pPr>
        <w:pStyle w:val="ListParagraph"/>
        <w:numPr>
          <w:ilvl w:val="0"/>
          <w:numId w:val="2"/>
        </w:numPr>
        <w:spacing w:before="60" w:after="60"/>
      </w:pPr>
      <w:r>
        <w:rPr>
          <w:rFonts w:ascii="Arial" w:cs="Arial" w:eastAsia="Arial" w:hAnsi="Arial"/>
          <w:color w:val="111827"/>
          <w:sz w:val="22"/>
          <w:szCs w:val="22"/>
        </w:rPr>
        <w:t xml:space="preserve">Role-based access control (RBAC): Admin and Supply Chain User roles with enforced permissions</w:t>
      </w:r>
    </w:p>
    <w:p>
      <w:pPr>
        <w:pStyle w:val="ListParagraph"/>
        <w:numPr>
          <w:ilvl w:val="0"/>
          <w:numId w:val="2"/>
        </w:numPr>
        <w:spacing w:before="60" w:after="60"/>
      </w:pPr>
      <w:r>
        <w:rPr>
          <w:rFonts w:ascii="Arial" w:cs="Arial" w:eastAsia="Arial" w:hAnsi="Arial"/>
          <w:color w:val="111827"/>
          <w:sz w:val="22"/>
          <w:szCs w:val="22"/>
        </w:rPr>
        <w:t xml:space="preserve">Audit log table records every data change: who, what, when</w:t>
      </w:r>
    </w:p>
    <w:p>
      <w:pPr>
        <w:pStyle w:val="ListParagraph"/>
        <w:numPr>
          <w:ilvl w:val="0"/>
          <w:numId w:val="2"/>
        </w:numPr>
        <w:spacing w:before="60" w:after="60"/>
      </w:pPr>
      <w:r>
        <w:rPr>
          <w:rFonts w:ascii="Arial" w:cs="Arial" w:eastAsia="Arial" w:hAnsi="Arial"/>
          <w:color w:val="111827"/>
          <w:sz w:val="22"/>
          <w:szCs w:val="22"/>
        </w:rPr>
        <w:t xml:space="preserve">Application runs entirely locally — no data leaves the machine unless manually backed up</w:t>
      </w:r>
    </w:p>
    <w:p>
      <w:pPr>
        <w:pStyle w:val="ListParagraph"/>
        <w:numPr>
          <w:ilvl w:val="0"/>
          <w:numId w:val="2"/>
        </w:numPr>
        <w:spacing w:before="60" w:after="60"/>
      </w:pPr>
      <w:r>
        <w:rPr>
          <w:rFonts w:ascii="Arial" w:cs="Arial" w:eastAsia="Arial" w:hAnsi="Arial"/>
          <w:color w:val="111827"/>
          <w:sz w:val="22"/>
          <w:szCs w:val="22"/>
        </w:rPr>
        <w:t xml:space="preserve">No third-party analytics, trackers, or telemetry of any kind</w:t>
      </w:r>
    </w:p>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4.4 Cross-Platform Compatibility</w:t>
      </w:r>
    </w:p>
    <w:p>
      <w:pPr>
        <w:spacing w:before="80" w:after="80"/>
      </w:pPr>
      <w:r>
        <w:rPr>
          <w:rFonts w:ascii="Arial" w:cs="Arial" w:eastAsia="Arial" w:hAnsi="Arial"/>
          <w:color w:val="111827"/>
          <w:sz w:val="22"/>
          <w:szCs w:val="22"/>
        </w:rPr>
        <w:t xml:space="preserve">The application is developed on macOS and must run on Windows for user testing. The following measures ensure compatibility:</w:t>
      </w:r>
    </w:p>
    <w:p>
      <w:pPr>
        <w:spacing w:before="60" w:after="60"/>
      </w:pPr>
      <w:r>
        <w:t xml:space="preserve"/>
      </w:r>
    </w:p>
    <w:p>
      <w:pPr>
        <w:pStyle w:val="ListParagraph"/>
        <w:numPr>
          <w:ilvl w:val="0"/>
          <w:numId w:val="2"/>
        </w:numPr>
        <w:spacing w:before="60" w:after="60"/>
      </w:pPr>
      <w:r>
        <w:rPr>
          <w:rFonts w:ascii="Arial" w:cs="Arial" w:eastAsia="Arial" w:hAnsi="Arial"/>
          <w:color w:val="111827"/>
          <w:sz w:val="22"/>
          <w:szCs w:val="22"/>
        </w:rPr>
        <w:t xml:space="preserve">Python 3.11+ is cross-platform — identical code runs on both OS</w:t>
      </w:r>
    </w:p>
    <w:p>
      <w:pPr>
        <w:pStyle w:val="ListParagraph"/>
        <w:numPr>
          <w:ilvl w:val="0"/>
          <w:numId w:val="2"/>
        </w:numPr>
        <w:spacing w:before="60" w:after="60"/>
      </w:pPr>
      <w:r>
        <w:rPr>
          <w:rFonts w:ascii="Arial" w:cs="Arial" w:eastAsia="Arial" w:hAnsi="Arial"/>
          <w:color w:val="111827"/>
          <w:sz w:val="22"/>
          <w:szCs w:val="22"/>
        </w:rPr>
        <w:t xml:space="preserve">SQLite database is a single file — portable between macOS and Windows</w:t>
      </w:r>
    </w:p>
    <w:p>
      <w:pPr>
        <w:pStyle w:val="ListParagraph"/>
        <w:numPr>
          <w:ilvl w:val="0"/>
          <w:numId w:val="2"/>
        </w:numPr>
        <w:spacing w:before="60" w:after="60"/>
      </w:pPr>
      <w:r>
        <w:rPr>
          <w:rFonts w:ascii="Arial" w:cs="Arial" w:eastAsia="Arial" w:hAnsi="Arial"/>
          <w:color w:val="111827"/>
          <w:sz w:val="22"/>
          <w:szCs w:val="22"/>
        </w:rPr>
        <w:t xml:space="preserve">File paths use Python's pathlib for OS-agnostic path handling</w:t>
      </w:r>
    </w:p>
    <w:p>
      <w:pPr>
        <w:pStyle w:val="ListParagraph"/>
        <w:numPr>
          <w:ilvl w:val="0"/>
          <w:numId w:val="2"/>
        </w:numPr>
        <w:spacing w:before="60" w:after="60"/>
      </w:pPr>
      <w:r>
        <w:rPr>
          <w:rFonts w:ascii="Arial" w:cs="Arial" w:eastAsia="Arial" w:hAnsi="Arial"/>
          <w:color w:val="111827"/>
          <w:sz w:val="22"/>
          <w:szCs w:val="22"/>
        </w:rPr>
        <w:t xml:space="preserve">Flask development server runs in a browser — no OS-specific UI dependencies</w:t>
      </w:r>
    </w:p>
    <w:p>
      <w:pPr>
        <w:pStyle w:val="ListParagraph"/>
        <w:numPr>
          <w:ilvl w:val="0"/>
          <w:numId w:val="2"/>
        </w:numPr>
        <w:spacing w:before="60" w:after="60"/>
      </w:pPr>
      <w:r>
        <w:rPr>
          <w:rFonts w:ascii="Arial" w:cs="Arial" w:eastAsia="Arial" w:hAnsi="Arial"/>
          <w:color w:val="111827"/>
          <w:sz w:val="22"/>
          <w:szCs w:val="22"/>
        </w:rPr>
        <w:t xml:space="preserve">Setup instructions provided for both macOS and Windows (see Section 7)</w:t>
      </w:r>
    </w:p>
    <w:p>
      <w:pPr>
        <w:spacing w:before="0" w:after="0"/>
      </w:pPr>
      <w:r>
        <w:br w:type="page"/>
      </w:r>
    </w:p>
    <w:p>
      <w:pPr>
        <w:pStyle w:val="Heading1"/>
        <w:spacing w:before="360" w:after="160"/>
      </w:pPr>
      <w:r>
        <w:rPr>
          <w:rFonts w:ascii="Arial" w:cs="Arial" w:eastAsia="Arial" w:hAnsi="Arial"/>
          <w:b/>
          <w:bCs/>
          <w:color w:val="1B3A5C"/>
          <w:sz w:val="36"/>
          <w:szCs w:val="36"/>
        </w:rPr>
        <w:t xml:space="preserve">5. User Roles &amp; Permissions</w:t>
      </w:r>
    </w:p>
    <w:p>
      <w:pPr>
        <w:pStyle w:val="Heading2"/>
        <w:pBdr>
          <w:bottom w:val="single" w:color="2563EB" w:sz="4" w:space="4"/>
        </w:pBdr>
        <w:spacing w:before="280" w:after="120"/>
      </w:pPr>
      <w:r>
        <w:rPr>
          <w:rFonts w:ascii="Arial" w:cs="Arial" w:eastAsia="Arial" w:hAnsi="Arial"/>
          <w:b/>
          <w:bCs/>
          <w:color w:val="1B3A5C"/>
          <w:sz w:val="28"/>
          <w:szCs w:val="28"/>
        </w:rPr>
        <w:t xml:space="preserve">5.1 Role Definitions</w:t>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3200"/>
        <w:gridCol w:w="3260"/>
        <w:gridCol w:w="3260"/>
      </w:tblGrid>
      <w:tr>
        <w:tc>
          <w:tcPr>
            <w:tcW w:type="dxa" w:w="32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Permission</w:t>
            </w:r>
          </w:p>
        </w:tc>
        <w:tc>
          <w:tcPr>
            <w:tcW w:type="dxa" w:w="326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Admin</w:t>
            </w:r>
          </w:p>
        </w:tc>
        <w:tc>
          <w:tcPr>
            <w:tcW w:type="dxa" w:w="326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Supply Chain User</w:t>
            </w:r>
          </w:p>
        </w:tc>
      </w:tr>
      <w:tr>
        <w:tc>
          <w:tcPr>
            <w:tcW w:type="dxa" w:w="32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View POs and SKUs</w:t>
            </w:r>
          </w:p>
        </w:tc>
        <w:tc>
          <w:tcPr>
            <w:tcW w:type="dxa" w:w="3260"/>
            <w:tcBorders>
              <w:top w:val="single" w:color="E5E7EB" w:sz="1"/>
              <w:start w:val="single" w:color="E5E7EB" w:sz="1"/>
              <w:bottom w:val="single" w:color="E5E7EB" w:sz="1"/>
              <w:end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260"/>
            <w:tcBorders>
              <w:top w:val="single" w:color="E5E7EB" w:sz="1"/>
              <w:start w:val="single" w:color="E5E7EB" w:sz="1"/>
              <w:bottom w:val="single" w:color="E5E7EB" w:sz="1"/>
              <w:end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r>
      <w:tr>
        <w:tc>
          <w:tcPr>
            <w:tcW w:type="dxa" w:w="32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Create / edit POs and SKUs</w:t>
            </w:r>
          </w:p>
        </w:tc>
        <w:tc>
          <w:tcPr>
            <w:tcW w:type="dxa" w:w="3260"/>
            <w:tcBorders>
              <w:top w:val="single" w:color="E5E7EB" w:sz="1"/>
              <w:start w:val="single" w:color="E5E7EB" w:sz="1"/>
              <w:bottom w:val="single" w:color="E5E7EB" w:sz="1"/>
              <w:end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260"/>
            <w:tcBorders>
              <w:top w:val="single" w:color="E5E7EB" w:sz="1"/>
              <w:start w:val="single" w:color="E5E7EB" w:sz="1"/>
              <w:bottom w:val="single" w:color="E5E7EB" w:sz="1"/>
              <w:end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r>
      <w:tr>
        <w:tc>
          <w:tcPr>
            <w:tcW w:type="dxa" w:w="32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Import CSV data</w:t>
            </w:r>
          </w:p>
        </w:tc>
        <w:tc>
          <w:tcPr>
            <w:tcW w:type="dxa" w:w="3260"/>
            <w:tcBorders>
              <w:top w:val="single" w:color="E5E7EB" w:sz="1"/>
              <w:start w:val="single" w:color="E5E7EB" w:sz="1"/>
              <w:bottom w:val="single" w:color="E5E7EB" w:sz="1"/>
              <w:end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260"/>
            <w:tcBorders>
              <w:top w:val="single" w:color="E5E7EB" w:sz="1"/>
              <w:start w:val="single" w:color="E5E7EB" w:sz="1"/>
              <w:bottom w:val="single" w:color="E5E7EB" w:sz="1"/>
              <w:end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r>
      <w:tr>
        <w:tc>
          <w:tcPr>
            <w:tcW w:type="dxa" w:w="32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Allocate / deallocate POs to containers</w:t>
            </w:r>
          </w:p>
        </w:tc>
        <w:tc>
          <w:tcPr>
            <w:tcW w:type="dxa" w:w="3260"/>
            <w:tcBorders>
              <w:top w:val="single" w:color="E5E7EB" w:sz="1"/>
              <w:start w:val="single" w:color="E5E7EB" w:sz="1"/>
              <w:bottom w:val="single" w:color="E5E7EB" w:sz="1"/>
              <w:end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260"/>
            <w:tcBorders>
              <w:top w:val="single" w:color="E5E7EB" w:sz="1"/>
              <w:start w:val="single" w:color="E5E7EB" w:sz="1"/>
              <w:bottom w:val="single" w:color="E5E7EB" w:sz="1"/>
              <w:end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r>
      <w:tr>
        <w:tc>
          <w:tcPr>
            <w:tcW w:type="dxa" w:w="32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Create / edit containers</w:t>
            </w:r>
          </w:p>
        </w:tc>
        <w:tc>
          <w:tcPr>
            <w:tcW w:type="dxa" w:w="3260"/>
            <w:tcBorders>
              <w:top w:val="single" w:color="E5E7EB" w:sz="1"/>
              <w:start w:val="single" w:color="E5E7EB" w:sz="1"/>
              <w:bottom w:val="single" w:color="E5E7EB" w:sz="1"/>
              <w:end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260"/>
            <w:tcBorders>
              <w:top w:val="single" w:color="E5E7EB" w:sz="1"/>
              <w:start w:val="single" w:color="E5E7EB" w:sz="1"/>
              <w:bottom w:val="single" w:color="E5E7EB" w:sz="1"/>
              <w:end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r>
      <w:tr>
        <w:tc>
          <w:tcPr>
            <w:tcW w:type="dxa" w:w="32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Create / edit vessel records</w:t>
            </w:r>
          </w:p>
        </w:tc>
        <w:tc>
          <w:tcPr>
            <w:tcW w:type="dxa" w:w="3260"/>
            <w:tcBorders>
              <w:top w:val="single" w:color="E5E7EB" w:sz="1"/>
              <w:start w:val="single" w:color="E5E7EB" w:sz="1"/>
              <w:bottom w:val="single" w:color="E5E7EB" w:sz="1"/>
              <w:end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260"/>
            <w:tcBorders>
              <w:top w:val="single" w:color="E5E7EB" w:sz="1"/>
              <w:start w:val="single" w:color="E5E7EB" w:sz="1"/>
              <w:bottom w:val="single" w:color="E5E7EB" w:sz="1"/>
              <w:end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r>
      <w:tr>
        <w:tc>
          <w:tcPr>
            <w:tcW w:type="dxa" w:w="32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View all reports</w:t>
            </w:r>
          </w:p>
        </w:tc>
        <w:tc>
          <w:tcPr>
            <w:tcW w:type="dxa" w:w="3260"/>
            <w:tcBorders>
              <w:top w:val="single" w:color="E5E7EB" w:sz="1"/>
              <w:start w:val="single" w:color="E5E7EB" w:sz="1"/>
              <w:bottom w:val="single" w:color="E5E7EB" w:sz="1"/>
              <w:end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260"/>
            <w:tcBorders>
              <w:top w:val="single" w:color="E5E7EB" w:sz="1"/>
              <w:start w:val="single" w:color="E5E7EB" w:sz="1"/>
              <w:bottom w:val="single" w:color="E5E7EB" w:sz="1"/>
              <w:end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r>
      <w:tr>
        <w:tc>
          <w:tcPr>
            <w:tcW w:type="dxa" w:w="32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Export reports</w:t>
            </w:r>
          </w:p>
        </w:tc>
        <w:tc>
          <w:tcPr>
            <w:tcW w:type="dxa" w:w="3260"/>
            <w:tcBorders>
              <w:top w:val="single" w:color="E5E7EB" w:sz="1"/>
              <w:start w:val="single" w:color="E5E7EB" w:sz="1"/>
              <w:bottom w:val="single" w:color="E5E7EB" w:sz="1"/>
              <w:end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260"/>
            <w:tcBorders>
              <w:top w:val="single" w:color="E5E7EB" w:sz="1"/>
              <w:start w:val="single" w:color="E5E7EB" w:sz="1"/>
              <w:bottom w:val="single" w:color="E5E7EB" w:sz="1"/>
              <w:end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r>
      <w:tr>
        <w:tc>
          <w:tcPr>
            <w:tcW w:type="dxa" w:w="32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Create / manage user accounts</w:t>
            </w:r>
          </w:p>
        </w:tc>
        <w:tc>
          <w:tcPr>
            <w:tcW w:type="dxa" w:w="3260"/>
            <w:tcBorders>
              <w:top w:val="single" w:color="E5E7EB" w:sz="1"/>
              <w:start w:val="single" w:color="E5E7EB" w:sz="1"/>
              <w:bottom w:val="single" w:color="E5E7EB" w:sz="1"/>
              <w:end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260"/>
            <w:tcBorders>
              <w:top w:val="single" w:color="E5E7EB" w:sz="1"/>
              <w:start w:val="single" w:color="E5E7EB" w:sz="1"/>
              <w:bottom w:val="single" w:color="E5E7EB" w:sz="1"/>
              <w:end w:val="single" w:color="E5E7EB" w:sz="1"/>
            </w:tcBorders>
            <w:shd w:fill="FEE2E2" w:val="clear"/>
            <w:tcMar>
              <w:top w:type="dxa" w:w="100"/>
              <w:left w:type="dxa" w:w="140"/>
              <w:bottom w:type="dxa" w:w="100"/>
              <w:right w:type="dxa" w:w="140"/>
            </w:tcMar>
          </w:tcPr>
          <w:p>
            <w:pPr>
              <w:spacing w:before="0" w:after="0"/>
            </w:pPr>
            <w:r>
              <w:rPr>
                <w:rFonts w:ascii="Arial" w:cs="Arial" w:eastAsia="Arial" w:hAnsi="Arial"/>
                <w:b/>
                <w:bCs/>
                <w:color w:val="991B1B"/>
                <w:sz w:val="20"/>
                <w:szCs w:val="20"/>
              </w:rPr>
              <w:t xml:space="preserve">✗</w:t>
            </w:r>
          </w:p>
        </w:tc>
      </w:tr>
      <w:tr>
        <w:tc>
          <w:tcPr>
            <w:tcW w:type="dxa" w:w="32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Reset passwords</w:t>
            </w:r>
          </w:p>
        </w:tc>
        <w:tc>
          <w:tcPr>
            <w:tcW w:type="dxa" w:w="3260"/>
            <w:tcBorders>
              <w:top w:val="single" w:color="E5E7EB" w:sz="1"/>
              <w:start w:val="single" w:color="E5E7EB" w:sz="1"/>
              <w:bottom w:val="single" w:color="E5E7EB" w:sz="1"/>
              <w:end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260"/>
            <w:tcBorders>
              <w:top w:val="single" w:color="E5E7EB" w:sz="1"/>
              <w:start w:val="single" w:color="E5E7EB" w:sz="1"/>
              <w:bottom w:val="single" w:color="E5E7EB" w:sz="1"/>
              <w:end w:val="single" w:color="E5E7EB" w:sz="1"/>
            </w:tcBorders>
            <w:shd w:fill="FEE2E2" w:val="clear"/>
            <w:tcMar>
              <w:top w:type="dxa" w:w="100"/>
              <w:left w:type="dxa" w:w="140"/>
              <w:bottom w:type="dxa" w:w="100"/>
              <w:right w:type="dxa" w:w="140"/>
            </w:tcMar>
          </w:tcPr>
          <w:p>
            <w:pPr>
              <w:spacing w:before="0" w:after="0"/>
            </w:pPr>
            <w:r>
              <w:rPr>
                <w:rFonts w:ascii="Arial" w:cs="Arial" w:eastAsia="Arial" w:hAnsi="Arial"/>
                <w:b/>
                <w:bCs/>
                <w:color w:val="991B1B"/>
                <w:sz w:val="20"/>
                <w:szCs w:val="20"/>
              </w:rPr>
              <w:t xml:space="preserve">✗</w:t>
            </w:r>
          </w:p>
        </w:tc>
      </w:tr>
      <w:tr>
        <w:tc>
          <w:tcPr>
            <w:tcW w:type="dxa" w:w="32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Initiate database backup</w:t>
            </w:r>
          </w:p>
        </w:tc>
        <w:tc>
          <w:tcPr>
            <w:tcW w:type="dxa" w:w="3260"/>
            <w:tcBorders>
              <w:top w:val="single" w:color="E5E7EB" w:sz="1"/>
              <w:start w:val="single" w:color="E5E7EB" w:sz="1"/>
              <w:bottom w:val="single" w:color="E5E7EB" w:sz="1"/>
              <w:end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260"/>
            <w:tcBorders>
              <w:top w:val="single" w:color="E5E7EB" w:sz="1"/>
              <w:start w:val="single" w:color="E5E7EB" w:sz="1"/>
              <w:bottom w:val="single" w:color="E5E7EB" w:sz="1"/>
              <w:end w:val="single" w:color="E5E7EB" w:sz="1"/>
            </w:tcBorders>
            <w:shd w:fill="FEE2E2" w:val="clear"/>
            <w:tcMar>
              <w:top w:type="dxa" w:w="100"/>
              <w:left w:type="dxa" w:w="140"/>
              <w:bottom w:type="dxa" w:w="100"/>
              <w:right w:type="dxa" w:w="140"/>
            </w:tcMar>
          </w:tcPr>
          <w:p>
            <w:pPr>
              <w:spacing w:before="0" w:after="0"/>
            </w:pPr>
            <w:r>
              <w:rPr>
                <w:rFonts w:ascii="Arial" w:cs="Arial" w:eastAsia="Arial" w:hAnsi="Arial"/>
                <w:b/>
                <w:bCs/>
                <w:color w:val="991B1B"/>
                <w:sz w:val="20"/>
                <w:szCs w:val="20"/>
              </w:rPr>
              <w:t xml:space="preserve">✗</w:t>
            </w:r>
          </w:p>
        </w:tc>
      </w:tr>
      <w:tr>
        <w:tc>
          <w:tcPr>
            <w:tcW w:type="dxa" w:w="32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View audit log</w:t>
            </w:r>
          </w:p>
        </w:tc>
        <w:tc>
          <w:tcPr>
            <w:tcW w:type="dxa" w:w="3260"/>
            <w:tcBorders>
              <w:top w:val="single" w:color="E5E7EB" w:sz="1"/>
              <w:start w:val="single" w:color="E5E7EB" w:sz="1"/>
              <w:bottom w:val="single" w:color="E5E7EB" w:sz="1"/>
              <w:end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260"/>
            <w:tcBorders>
              <w:top w:val="single" w:color="E5E7EB" w:sz="1"/>
              <w:start w:val="single" w:color="E5E7EB" w:sz="1"/>
              <w:bottom w:val="single" w:color="E5E7EB" w:sz="1"/>
              <w:end w:val="single" w:color="E5E7EB" w:sz="1"/>
            </w:tcBorders>
            <w:shd w:fill="FEE2E2" w:val="clear"/>
            <w:tcMar>
              <w:top w:type="dxa" w:w="100"/>
              <w:left w:type="dxa" w:w="140"/>
              <w:bottom w:type="dxa" w:w="100"/>
              <w:right w:type="dxa" w:w="140"/>
            </w:tcMar>
          </w:tcPr>
          <w:p>
            <w:pPr>
              <w:spacing w:before="0" w:after="0"/>
            </w:pPr>
            <w:r>
              <w:rPr>
                <w:rFonts w:ascii="Arial" w:cs="Arial" w:eastAsia="Arial" w:hAnsi="Arial"/>
                <w:b/>
                <w:bCs/>
                <w:color w:val="991B1B"/>
                <w:sz w:val="20"/>
                <w:szCs w:val="20"/>
              </w:rPr>
              <w:t xml:space="preserve">✗</w:t>
            </w:r>
          </w:p>
        </w:tc>
      </w:tr>
      <w:tr>
        <w:tc>
          <w:tcPr>
            <w:tcW w:type="dxa" w:w="32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System configuration</w:t>
            </w:r>
          </w:p>
        </w:tc>
        <w:tc>
          <w:tcPr>
            <w:tcW w:type="dxa" w:w="3260"/>
            <w:tcBorders>
              <w:top w:val="single" w:color="E5E7EB" w:sz="1"/>
              <w:start w:val="single" w:color="E5E7EB" w:sz="1"/>
              <w:bottom w:val="single" w:color="E5E7EB" w:sz="1"/>
              <w:end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260"/>
            <w:tcBorders>
              <w:top w:val="single" w:color="E5E7EB" w:sz="1"/>
              <w:start w:val="single" w:color="E5E7EB" w:sz="1"/>
              <w:bottom w:val="single" w:color="E5E7EB" w:sz="1"/>
              <w:end w:val="single" w:color="E5E7EB" w:sz="1"/>
            </w:tcBorders>
            <w:shd w:fill="FEE2E2" w:val="clear"/>
            <w:tcMar>
              <w:top w:type="dxa" w:w="100"/>
              <w:left w:type="dxa" w:w="140"/>
              <w:bottom w:type="dxa" w:w="100"/>
              <w:right w:type="dxa" w:w="140"/>
            </w:tcMar>
          </w:tcPr>
          <w:p>
            <w:pPr>
              <w:spacing w:before="0" w:after="0"/>
            </w:pPr>
            <w:r>
              <w:rPr>
                <w:rFonts w:ascii="Arial" w:cs="Arial" w:eastAsia="Arial" w:hAnsi="Arial"/>
                <w:b/>
                <w:bCs/>
                <w:color w:val="991B1B"/>
                <w:sz w:val="20"/>
                <w:szCs w:val="20"/>
              </w:rPr>
              <w:t xml:space="preserve">✗</w:t>
            </w:r>
          </w:p>
        </w:tc>
      </w:tr>
    </w:tbl>
    <w:p>
      <w:pPr>
        <w:spacing w:before="0" w:after="0"/>
      </w:pPr>
      <w:r>
        <w:br w:type="page"/>
      </w:r>
    </w:p>
    <w:p>
      <w:pPr>
        <w:pStyle w:val="Heading1"/>
        <w:spacing w:before="360" w:after="160"/>
      </w:pPr>
      <w:r>
        <w:rPr>
          <w:rFonts w:ascii="Arial" w:cs="Arial" w:eastAsia="Arial" w:hAnsi="Arial"/>
          <w:b/>
          <w:bCs/>
          <w:color w:val="1B3A5C"/>
          <w:sz w:val="36"/>
          <w:szCs w:val="36"/>
        </w:rPr>
        <w:t xml:space="preserve">6. Build Phases &amp; Roadmap</w:t>
      </w:r>
    </w:p>
    <w:p>
      <w:pPr>
        <w:spacing w:before="60" w:after="60"/>
      </w:pPr>
      <w:r>
        <w:t xml:space="preserve"/>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720"/>
        <w:gridCol w:w="2000"/>
        <w:gridCol w:w="4200"/>
        <w:gridCol w:w="2800"/>
      </w:tblGrid>
      <w:tr>
        <w:tc>
          <w:tcPr>
            <w:tcW w:type="dxa" w:w="72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w:t>
            </w:r>
          </w:p>
        </w:tc>
        <w:tc>
          <w:tcPr>
            <w:tcW w:type="dxa" w:w="20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Phase</w:t>
            </w:r>
          </w:p>
        </w:tc>
        <w:tc>
          <w:tcPr>
            <w:tcW w:type="dxa" w:w="42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Deliverables</w:t>
            </w:r>
          </w:p>
        </w:tc>
        <w:tc>
          <w:tcPr>
            <w:tcW w:type="dxa" w:w="28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Status</w:t>
            </w:r>
          </w:p>
        </w:tc>
      </w:tr>
      <w:tr>
        <w:tc>
          <w:tcPr>
            <w:tcW w:type="dxa" w:w="720"/>
            <w:tcBorders>
              <w:top w:val="single" w:color="E5E7EB" w:sz="1"/>
              <w:start w:val="single" w:color="E5E7EB" w:sz="1"/>
              <w:bottom w:val="single" w:color="E5E7EB" w:sz="1"/>
              <w:end w:val="single" w:color="E5E7EB"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1</w:t>
            </w:r>
          </w:p>
        </w:tc>
        <w:tc>
          <w:tcPr>
            <w:tcW w:type="dxa" w:w="20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Foundation</w:t>
            </w:r>
          </w:p>
        </w:tc>
        <w:tc>
          <w:tcPr>
            <w:tcW w:type="dxa" w:w="42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Database schema, user auth (login/RBAC/sessions), local Flask server setup, encrypted DB, project folder structure</w:t>
            </w:r>
          </w:p>
        </w:tc>
        <w:tc>
          <w:tcPr>
            <w:tcW w:type="dxa" w:w="2800"/>
            <w:tcBorders>
              <w:top w:val="single" w:color="E5E7EB" w:sz="1"/>
              <w:start w:val="single" w:color="E5E7EB" w:sz="1"/>
              <w:bottom w:val="single" w:color="E5E7EB" w:sz="1"/>
              <w:end w:val="single" w:color="E5E7EB" w:sz="1"/>
            </w:tcBorders>
            <w:shd w:fill="FEF3C7" w:val="clear"/>
            <w:tcMar>
              <w:top w:type="dxa" w:w="100"/>
              <w:left w:type="dxa" w:w="140"/>
              <w:bottom w:type="dxa" w:w="100"/>
              <w:right w:type="dxa" w:w="140"/>
            </w:tcMar>
          </w:tcPr>
          <w:p>
            <w:pPr>
              <w:spacing w:before="0" w:after="0"/>
            </w:pPr>
            <w:r>
              <w:rPr>
                <w:rFonts w:ascii="Arial" w:cs="Arial" w:eastAsia="Arial" w:hAnsi="Arial"/>
                <w:b/>
                <w:bCs/>
                <w:color w:val="B45309"/>
                <w:sz w:val="20"/>
                <w:szCs w:val="20"/>
              </w:rPr>
              <w:t xml:space="preserve">In Progress</w:t>
            </w:r>
          </w:p>
        </w:tc>
      </w:tr>
      <w:tr>
        <w:tc>
          <w:tcPr>
            <w:tcW w:type="dxa" w:w="720"/>
            <w:tcBorders>
              <w:top w:val="single" w:color="E5E7EB" w:sz="1"/>
              <w:start w:val="single" w:color="E5E7EB" w:sz="1"/>
              <w:bottom w:val="single" w:color="E5E7EB" w:sz="1"/>
              <w:end w:val="single" w:color="E5E7EB"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2</w:t>
            </w:r>
          </w:p>
        </w:tc>
        <w:tc>
          <w:tcPr>
            <w:tcW w:type="dxa" w:w="20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PO &amp; SKU management</w:t>
            </w:r>
          </w:p>
        </w:tc>
        <w:tc>
          <w:tcPr>
            <w:tcW w:type="dxa" w:w="42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CSV import module, manual PO/SKU entry, CBM auto-calculation, SKU status engine (Cargo Ready Date logic), audit log</w:t>
            </w:r>
          </w:p>
        </w:tc>
        <w:tc>
          <w:tcPr>
            <w:tcW w:type="dxa" w:w="2800"/>
            <w:tcBorders>
              <w:top w:val="single" w:color="E5E7EB" w:sz="1"/>
              <w:start w:val="single" w:color="E5E7EB" w:sz="1"/>
              <w:bottom w:val="single" w:color="E5E7EB" w:sz="1"/>
              <w:end w:val="single" w:color="E5E7EB" w:sz="1"/>
            </w:tcBorders>
            <w:shd w:fill="DBEAFE" w:val="clear"/>
            <w:tcMar>
              <w:top w:type="dxa" w:w="100"/>
              <w:left w:type="dxa" w:w="140"/>
              <w:bottom w:type="dxa" w:w="100"/>
              <w:right w:type="dxa" w:w="140"/>
            </w:tcMar>
          </w:tcPr>
          <w:p>
            <w:pPr>
              <w:spacing w:before="0" w:after="0"/>
            </w:pPr>
            <w:r>
              <w:rPr>
                <w:rFonts w:ascii="Arial" w:cs="Arial" w:eastAsia="Arial" w:hAnsi="Arial"/>
                <w:b/>
                <w:bCs/>
                <w:color w:val="2563EB"/>
                <w:sz w:val="20"/>
                <w:szCs w:val="20"/>
              </w:rPr>
              <w:t xml:space="preserve">Planned</w:t>
            </w:r>
          </w:p>
        </w:tc>
      </w:tr>
      <w:tr>
        <w:tc>
          <w:tcPr>
            <w:tcW w:type="dxa" w:w="720"/>
            <w:tcBorders>
              <w:top w:val="single" w:color="E5E7EB" w:sz="1"/>
              <w:start w:val="single" w:color="E5E7EB" w:sz="1"/>
              <w:bottom w:val="single" w:color="E5E7EB" w:sz="1"/>
              <w:end w:val="single" w:color="E5E7EB"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3</w:t>
            </w:r>
          </w:p>
        </w:tc>
        <w:tc>
          <w:tcPr>
            <w:tcW w:type="dxa" w:w="20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Container planning</w:t>
            </w:r>
          </w:p>
        </w:tc>
        <w:tc>
          <w:tcPr>
            <w:tcW w:type="dxa" w:w="42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Container creation, PO/SKU allocation &amp; deallocation (partial QTY), real-time CBM tracking, unallocated PO visibility</w:t>
            </w:r>
          </w:p>
        </w:tc>
        <w:tc>
          <w:tcPr>
            <w:tcW w:type="dxa" w:w="2800"/>
            <w:tcBorders>
              <w:top w:val="single" w:color="E5E7EB" w:sz="1"/>
              <w:start w:val="single" w:color="E5E7EB" w:sz="1"/>
              <w:bottom w:val="single" w:color="E5E7EB" w:sz="1"/>
              <w:end w:val="single" w:color="E5E7EB" w:sz="1"/>
            </w:tcBorders>
            <w:shd w:fill="DBEAFE" w:val="clear"/>
            <w:tcMar>
              <w:top w:type="dxa" w:w="100"/>
              <w:left w:type="dxa" w:w="140"/>
              <w:bottom w:type="dxa" w:w="100"/>
              <w:right w:type="dxa" w:w="140"/>
            </w:tcMar>
          </w:tcPr>
          <w:p>
            <w:pPr>
              <w:spacing w:before="0" w:after="0"/>
            </w:pPr>
            <w:r>
              <w:rPr>
                <w:rFonts w:ascii="Arial" w:cs="Arial" w:eastAsia="Arial" w:hAnsi="Arial"/>
                <w:b/>
                <w:bCs/>
                <w:color w:val="2563EB"/>
                <w:sz w:val="20"/>
                <w:szCs w:val="20"/>
              </w:rPr>
              <w:t xml:space="preserve">Planned</w:t>
            </w:r>
          </w:p>
        </w:tc>
      </w:tr>
      <w:tr>
        <w:tc>
          <w:tcPr>
            <w:tcW w:type="dxa" w:w="720"/>
            <w:tcBorders>
              <w:top w:val="single" w:color="E5E7EB" w:sz="1"/>
              <w:start w:val="single" w:color="E5E7EB" w:sz="1"/>
              <w:bottom w:val="single" w:color="E5E7EB" w:sz="1"/>
              <w:end w:val="single" w:color="E5E7EB"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4</w:t>
            </w:r>
          </w:p>
        </w:tc>
        <w:tc>
          <w:tcPr>
            <w:tcW w:type="dxa" w:w="20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Vessel tracker &amp; reporting</w:t>
            </w:r>
          </w:p>
        </w:tc>
        <w:tc>
          <w:tcPr>
            <w:tcW w:type="dxa" w:w="42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Vessel record creation linked to containers, shipment status report, CBM utilisation report, allocation summary report</w:t>
            </w:r>
          </w:p>
        </w:tc>
        <w:tc>
          <w:tcPr>
            <w:tcW w:type="dxa" w:w="2800"/>
            <w:tcBorders>
              <w:top w:val="single" w:color="E5E7EB" w:sz="1"/>
              <w:start w:val="single" w:color="E5E7EB" w:sz="1"/>
              <w:bottom w:val="single" w:color="E5E7EB" w:sz="1"/>
              <w:end w:val="single" w:color="E5E7EB" w:sz="1"/>
            </w:tcBorders>
            <w:shd w:fill="DBEAFE" w:val="clear"/>
            <w:tcMar>
              <w:top w:type="dxa" w:w="100"/>
              <w:left w:type="dxa" w:w="140"/>
              <w:bottom w:type="dxa" w:w="100"/>
              <w:right w:type="dxa" w:w="140"/>
            </w:tcMar>
          </w:tcPr>
          <w:p>
            <w:pPr>
              <w:spacing w:before="0" w:after="0"/>
            </w:pPr>
            <w:r>
              <w:rPr>
                <w:rFonts w:ascii="Arial" w:cs="Arial" w:eastAsia="Arial" w:hAnsi="Arial"/>
                <w:b/>
                <w:bCs/>
                <w:color w:val="2563EB"/>
                <w:sz w:val="20"/>
                <w:szCs w:val="20"/>
              </w:rPr>
              <w:t xml:space="preserve">Planned</w:t>
            </w:r>
          </w:p>
        </w:tc>
      </w:tr>
      <w:tr>
        <w:tc>
          <w:tcPr>
            <w:tcW w:type="dxa" w:w="720"/>
            <w:tcBorders>
              <w:top w:val="single" w:color="E5E7EB" w:sz="1"/>
              <w:start w:val="single" w:color="E5E7EB" w:sz="1"/>
              <w:bottom w:val="single" w:color="E5E7EB" w:sz="1"/>
              <w:end w:val="single" w:color="E5E7EB"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5</w:t>
            </w:r>
          </w:p>
        </w:tc>
        <w:tc>
          <w:tcPr>
            <w:tcW w:type="dxa" w:w="20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Testing &amp; documentation</w:t>
            </w:r>
          </w:p>
        </w:tc>
        <w:tc>
          <w:tcPr>
            <w:tcW w:type="dxa" w:w="42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Staged testing with supply chain team, bug fixes, full user documentation, admin guide</w:t>
            </w:r>
          </w:p>
        </w:tc>
        <w:tc>
          <w:tcPr>
            <w:tcW w:type="dxa" w:w="2800"/>
            <w:tcBorders>
              <w:top w:val="single" w:color="E5E7EB" w:sz="1"/>
              <w:start w:val="single" w:color="E5E7EB" w:sz="1"/>
              <w:bottom w:val="single" w:color="E5E7EB" w:sz="1"/>
              <w:end w:val="single" w:color="E5E7EB" w:sz="1"/>
            </w:tcBorders>
            <w:shd w:fill="DBEAFE" w:val="clear"/>
            <w:tcMar>
              <w:top w:type="dxa" w:w="100"/>
              <w:left w:type="dxa" w:w="140"/>
              <w:bottom w:type="dxa" w:w="100"/>
              <w:right w:type="dxa" w:w="140"/>
            </w:tcMar>
          </w:tcPr>
          <w:p>
            <w:pPr>
              <w:spacing w:before="0" w:after="0"/>
            </w:pPr>
            <w:r>
              <w:rPr>
                <w:rFonts w:ascii="Arial" w:cs="Arial" w:eastAsia="Arial" w:hAnsi="Arial"/>
                <w:b/>
                <w:bCs/>
                <w:color w:val="2563EB"/>
                <w:sz w:val="20"/>
                <w:szCs w:val="20"/>
              </w:rPr>
              <w:t xml:space="preserve">Planned</w:t>
            </w:r>
          </w:p>
        </w:tc>
      </w:tr>
      <w:tr>
        <w:tc>
          <w:tcPr>
            <w:tcW w:type="dxa" w:w="720"/>
            <w:tcBorders>
              <w:top w:val="single" w:color="E5E7EB" w:sz="1"/>
              <w:start w:val="single" w:color="E5E7EB" w:sz="1"/>
              <w:bottom w:val="single" w:color="E5E7EB" w:sz="1"/>
              <w:end w:val="single" w:color="E5E7EB"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6</w:t>
            </w:r>
          </w:p>
        </w:tc>
        <w:tc>
          <w:tcPr>
            <w:tcW w:type="dxa" w:w="20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Post-MVP</w:t>
            </w:r>
          </w:p>
        </w:tc>
        <w:tc>
          <w:tcPr>
            <w:tcW w:type="dxa" w:w="42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Email notifications, ERP API integration, automated Google Drive sync, expanded reporting, budget review</w:t>
            </w:r>
          </w:p>
        </w:tc>
        <w:tc>
          <w:tcPr>
            <w:tcW w:type="dxa" w:w="28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b/>
                <w:bCs/>
                <w:color w:val="374151"/>
                <w:sz w:val="20"/>
                <w:szCs w:val="20"/>
              </w:rPr>
              <w:t xml:space="preserve">Future</w:t>
            </w:r>
          </w:p>
        </w:tc>
      </w:tr>
    </w:tbl>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6.1 Phase 1 — Foundation (Current)</w:t>
      </w:r>
    </w:p>
    <w:p>
      <w:pPr>
        <w:spacing w:before="80" w:after="80"/>
      </w:pPr>
      <w:r>
        <w:rPr>
          <w:rFonts w:ascii="Arial" w:cs="Arial" w:eastAsia="Arial" w:hAnsi="Arial"/>
          <w:color w:val="111827"/>
          <w:sz w:val="22"/>
          <w:szCs w:val="22"/>
        </w:rPr>
        <w:t xml:space="preserve">Phase 1 establishes the technical backbone of the application. No user-facing screens are built yet — the focus is on getting the architecture correct before building on top of it.</w:t>
      </w:r>
    </w:p>
    <w:p>
      <w:pPr>
        <w:spacing w:before="60" w:after="60"/>
      </w:pPr>
      <w:r>
        <w:t xml:space="preserve"/>
      </w:r>
    </w:p>
    <w:p>
      <w:pPr>
        <w:pStyle w:val="ListParagraph"/>
        <w:numPr>
          <w:ilvl w:val="0"/>
          <w:numId w:val="2"/>
        </w:numPr>
        <w:spacing w:before="60" w:after="60"/>
      </w:pPr>
      <w:r>
        <w:rPr>
          <w:rFonts w:ascii="Arial" w:cs="Arial" w:eastAsia="Arial" w:hAnsi="Arial"/>
          <w:color w:val="111827"/>
          <w:sz w:val="22"/>
          <w:szCs w:val="22"/>
        </w:rPr>
        <w:t xml:space="preserve">Python + Flask project scaffold (cross-platform macOS/Windows)</w:t>
      </w:r>
    </w:p>
    <w:p>
      <w:pPr>
        <w:pStyle w:val="ListParagraph"/>
        <w:numPr>
          <w:ilvl w:val="0"/>
          <w:numId w:val="2"/>
        </w:numPr>
        <w:spacing w:before="60" w:after="60"/>
      </w:pPr>
      <w:r>
        <w:rPr>
          <w:rFonts w:ascii="Arial" w:cs="Arial" w:eastAsia="Arial" w:hAnsi="Arial"/>
          <w:color w:val="111827"/>
          <w:sz w:val="22"/>
          <w:szCs w:val="22"/>
        </w:rPr>
        <w:t xml:space="preserve">SQLite database with SQLCipher encryption initialised</w:t>
      </w:r>
    </w:p>
    <w:p>
      <w:pPr>
        <w:pStyle w:val="ListParagraph"/>
        <w:numPr>
          <w:ilvl w:val="0"/>
          <w:numId w:val="2"/>
        </w:numPr>
        <w:spacing w:before="60" w:after="60"/>
      </w:pPr>
      <w:r>
        <w:rPr>
          <w:rFonts w:ascii="Arial" w:cs="Arial" w:eastAsia="Arial" w:hAnsi="Arial"/>
          <w:color w:val="111827"/>
          <w:sz w:val="22"/>
          <w:szCs w:val="22"/>
        </w:rPr>
        <w:t xml:space="preserve">Full database schema: Users, Purchase Orders, SKUs, Containers, Vessels, Allocations, Audit Log</w:t>
      </w:r>
    </w:p>
    <w:p>
      <w:pPr>
        <w:pStyle w:val="ListParagraph"/>
        <w:numPr>
          <w:ilvl w:val="0"/>
          <w:numId w:val="2"/>
        </w:numPr>
        <w:spacing w:before="60" w:after="60"/>
      </w:pPr>
      <w:r>
        <w:rPr>
          <w:rFonts w:ascii="Arial" w:cs="Arial" w:eastAsia="Arial" w:hAnsi="Arial"/>
          <w:color w:val="111827"/>
          <w:sz w:val="22"/>
          <w:szCs w:val="22"/>
        </w:rPr>
        <w:t xml:space="preserve">User authentication: registration, login, logout, password hashing (bcrypt)</w:t>
      </w:r>
    </w:p>
    <w:p>
      <w:pPr>
        <w:pStyle w:val="ListParagraph"/>
        <w:numPr>
          <w:ilvl w:val="0"/>
          <w:numId w:val="2"/>
        </w:numPr>
        <w:spacing w:before="60" w:after="60"/>
      </w:pPr>
      <w:r>
        <w:rPr>
          <w:rFonts w:ascii="Arial" w:cs="Arial" w:eastAsia="Arial" w:hAnsi="Arial"/>
          <w:color w:val="111827"/>
          <w:sz w:val="22"/>
          <w:szCs w:val="22"/>
        </w:rPr>
        <w:t xml:space="preserve">Role-based access control: Admin and Supply Chain User roles enforced on all routes</w:t>
      </w:r>
    </w:p>
    <w:p>
      <w:pPr>
        <w:pStyle w:val="ListParagraph"/>
        <w:numPr>
          <w:ilvl w:val="0"/>
          <w:numId w:val="2"/>
        </w:numPr>
        <w:spacing w:before="60" w:after="60"/>
      </w:pPr>
      <w:r>
        <w:rPr>
          <w:rFonts w:ascii="Arial" w:cs="Arial" w:eastAsia="Arial" w:hAnsi="Arial"/>
          <w:color w:val="111827"/>
          <w:sz w:val="22"/>
          <w:szCs w:val="22"/>
        </w:rPr>
        <w:t xml:space="preserve">Session management with Flask-Login</w:t>
      </w:r>
    </w:p>
    <w:p>
      <w:pPr>
        <w:pStyle w:val="ListParagraph"/>
        <w:numPr>
          <w:ilvl w:val="0"/>
          <w:numId w:val="2"/>
        </w:numPr>
        <w:spacing w:before="60" w:after="60"/>
      </w:pPr>
      <w:r>
        <w:rPr>
          <w:rFonts w:ascii="Arial" w:cs="Arial" w:eastAsia="Arial" w:hAnsi="Arial"/>
          <w:color w:val="111827"/>
          <w:sz w:val="22"/>
          <w:szCs w:val="22"/>
        </w:rPr>
        <w:t xml:space="preserve">Basic health-check endpoint to confirm the app is running</w:t>
      </w:r>
    </w:p>
    <w:p>
      <w:pPr>
        <w:spacing w:before="60" w:after="60"/>
      </w:pPr>
      <w:r>
        <w:t xml:space="preserve"/>
      </w:r>
    </w:p>
    <w:p>
      <w:pPr>
        <w:spacing w:before="60" w:after="60"/>
      </w:pPr>
      <w:r>
        <w:rPr>
          <w:rFonts w:ascii="Arial" w:cs="Arial" w:eastAsia="Arial" w:hAnsi="Arial"/>
          <w:i/>
          <w:iCs/>
          <w:color w:val="374151"/>
          <w:sz w:val="20"/>
          <w:szCs w:val="20"/>
        </w:rPr>
        <w:t xml:space="preserve">Completion of Phase 1 is the prerequisite for all subsequent phases. The data model is the most critical output of this phase — changes to the schema later become expensive.</w:t>
      </w:r>
    </w:p>
    <w:p>
      <w:pPr>
        <w:spacing w:before="0" w:after="0"/>
      </w:pPr>
      <w:r>
        <w:br w:type="page"/>
      </w:r>
    </w:p>
    <w:p>
      <w:pPr>
        <w:pStyle w:val="Heading1"/>
        <w:spacing w:before="360" w:after="160"/>
      </w:pPr>
      <w:r>
        <w:rPr>
          <w:rFonts w:ascii="Arial" w:cs="Arial" w:eastAsia="Arial" w:hAnsi="Arial"/>
          <w:b/>
          <w:bCs/>
          <w:color w:val="1B3A5C"/>
          <w:sz w:val="36"/>
          <w:szCs w:val="36"/>
        </w:rPr>
        <w:t xml:space="preserve">7. Setup &amp; Installation</w:t>
      </w:r>
    </w:p>
    <w:p>
      <w:pPr>
        <w:pStyle w:val="Heading2"/>
        <w:pBdr>
          <w:bottom w:val="single" w:color="2563EB" w:sz="4" w:space="4"/>
        </w:pBdr>
        <w:spacing w:before="280" w:after="120"/>
      </w:pPr>
      <w:r>
        <w:rPr>
          <w:rFonts w:ascii="Arial" w:cs="Arial" w:eastAsia="Arial" w:hAnsi="Arial"/>
          <w:b/>
          <w:bCs/>
          <w:color w:val="1B3A5C"/>
          <w:sz w:val="28"/>
          <w:szCs w:val="28"/>
        </w:rPr>
        <w:t xml:space="preserve">7.1 Prerequisites</w:t>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2400"/>
        <w:gridCol w:w="2400"/>
        <w:gridCol w:w="4920"/>
      </w:tblGrid>
      <w:tr>
        <w:tc>
          <w:tcPr>
            <w:tcW w:type="dxa" w:w="24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Requirement</w:t>
            </w:r>
          </w:p>
        </w:tc>
        <w:tc>
          <w:tcPr>
            <w:tcW w:type="dxa" w:w="24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Version</w:t>
            </w:r>
          </w:p>
        </w:tc>
        <w:tc>
          <w:tcPr>
            <w:tcW w:type="dxa" w:w="492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Notes</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Python</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3.11 or higher</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python.org — install for all users; check 'Add to PATH' on Windows</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pip</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Latest</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Included with Python; upgrade with: pip install --upgrade pip</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Git</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Any</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git-scm.com — for version control</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Web browser</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Chrome/Firefox</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Safari also works; Edge on Windows</w:t>
            </w:r>
          </w:p>
        </w:tc>
      </w:tr>
      <w:tr>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Text editor</w:t>
            </w:r>
          </w:p>
        </w:tc>
        <w:tc>
          <w:tcPr>
            <w:tcW w:type="dxa" w:w="240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VS Code recommended</w:t>
            </w:r>
          </w:p>
        </w:tc>
        <w:tc>
          <w:tcPr>
            <w:tcW w:type="dxa" w:w="4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code.visualstudio.com — optional but recommended</w:t>
            </w:r>
          </w:p>
        </w:tc>
      </w:tr>
    </w:tbl>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7.2 macOS Installation</w:t>
      </w:r>
    </w:p>
    <w:p>
      <w:pPr>
        <w:pStyle w:val="ListParagraph"/>
        <w:numPr>
          <w:ilvl w:val="0"/>
          <w:numId w:val="3"/>
        </w:numPr>
        <w:spacing w:before="60" w:after="60"/>
      </w:pPr>
      <w:r>
        <w:rPr>
          <w:rFonts w:ascii="Arial" w:cs="Arial" w:eastAsia="Arial" w:hAnsi="Arial"/>
          <w:color w:val="111827"/>
          <w:sz w:val="22"/>
          <w:szCs w:val="22"/>
        </w:rPr>
        <w:t xml:space="preserve">Open Terminal</w:t>
      </w:r>
    </w:p>
    <w:p>
      <w:pPr>
        <w:pStyle w:val="ListParagraph"/>
        <w:numPr>
          <w:ilvl w:val="0"/>
          <w:numId w:val="3"/>
        </w:numPr>
        <w:spacing w:before="60" w:after="60"/>
      </w:pPr>
      <w:r>
        <w:rPr>
          <w:rFonts w:ascii="Arial" w:cs="Arial" w:eastAsia="Arial" w:hAnsi="Arial"/>
          <w:color w:val="111827"/>
          <w:sz w:val="22"/>
          <w:szCs w:val="22"/>
        </w:rPr>
        <w:t xml:space="preserve">Clone or copy the project folder to your machine</w:t>
      </w:r>
    </w:p>
    <w:p>
      <w:pPr>
        <w:pStyle w:val="ListParagraph"/>
        <w:numPr>
          <w:ilvl w:val="0"/>
          <w:numId w:val="3"/>
        </w:numPr>
        <w:spacing w:before="60" w:after="60"/>
      </w:pPr>
      <w:r>
        <w:rPr>
          <w:rFonts w:ascii="Arial" w:cs="Arial" w:eastAsia="Arial" w:hAnsi="Arial"/>
          <w:color w:val="111827"/>
          <w:sz w:val="22"/>
          <w:szCs w:val="22"/>
        </w:rPr>
        <w:t xml:space="preserve">Navigate to the project folder: cd container-app</w:t>
      </w:r>
    </w:p>
    <w:p>
      <w:pPr>
        <w:pStyle w:val="ListParagraph"/>
        <w:numPr>
          <w:ilvl w:val="0"/>
          <w:numId w:val="3"/>
        </w:numPr>
        <w:spacing w:before="60" w:after="60"/>
      </w:pPr>
      <w:r>
        <w:rPr>
          <w:rFonts w:ascii="Arial" w:cs="Arial" w:eastAsia="Arial" w:hAnsi="Arial"/>
          <w:color w:val="111827"/>
          <w:sz w:val="22"/>
          <w:szCs w:val="22"/>
        </w:rPr>
        <w:t xml:space="preserve">Create a virtual environment: python3 -m venv venv</w:t>
      </w:r>
    </w:p>
    <w:p>
      <w:pPr>
        <w:pStyle w:val="ListParagraph"/>
        <w:numPr>
          <w:ilvl w:val="0"/>
          <w:numId w:val="3"/>
        </w:numPr>
        <w:spacing w:before="60" w:after="60"/>
      </w:pPr>
      <w:r>
        <w:rPr>
          <w:rFonts w:ascii="Arial" w:cs="Arial" w:eastAsia="Arial" w:hAnsi="Arial"/>
          <w:color w:val="111827"/>
          <w:sz w:val="22"/>
          <w:szCs w:val="22"/>
        </w:rPr>
        <w:t xml:space="preserve">Activate it: source venv/bin/activate</w:t>
      </w:r>
    </w:p>
    <w:p>
      <w:pPr>
        <w:pStyle w:val="ListParagraph"/>
        <w:numPr>
          <w:ilvl w:val="0"/>
          <w:numId w:val="3"/>
        </w:numPr>
        <w:spacing w:before="60" w:after="60"/>
      </w:pPr>
      <w:r>
        <w:rPr>
          <w:rFonts w:ascii="Arial" w:cs="Arial" w:eastAsia="Arial" w:hAnsi="Arial"/>
          <w:color w:val="111827"/>
          <w:sz w:val="22"/>
          <w:szCs w:val="22"/>
        </w:rPr>
        <w:t xml:space="preserve">Install dependencies: pip install -r requirements.txt</w:t>
      </w:r>
    </w:p>
    <w:p>
      <w:pPr>
        <w:pStyle w:val="ListParagraph"/>
        <w:numPr>
          <w:ilvl w:val="0"/>
          <w:numId w:val="3"/>
        </w:numPr>
        <w:spacing w:before="60" w:after="60"/>
      </w:pPr>
      <w:r>
        <w:rPr>
          <w:rFonts w:ascii="Arial" w:cs="Arial" w:eastAsia="Arial" w:hAnsi="Arial"/>
          <w:color w:val="111827"/>
          <w:sz w:val="22"/>
          <w:szCs w:val="22"/>
        </w:rPr>
        <w:t xml:space="preserve">Initialise the database: python -m flask db init (first time only)</w:t>
      </w:r>
    </w:p>
    <w:p>
      <w:pPr>
        <w:pStyle w:val="ListParagraph"/>
        <w:numPr>
          <w:ilvl w:val="0"/>
          <w:numId w:val="3"/>
        </w:numPr>
        <w:spacing w:before="60" w:after="60"/>
      </w:pPr>
      <w:r>
        <w:rPr>
          <w:rFonts w:ascii="Arial" w:cs="Arial" w:eastAsia="Arial" w:hAnsi="Arial"/>
          <w:color w:val="111827"/>
          <w:sz w:val="22"/>
          <w:szCs w:val="22"/>
        </w:rPr>
        <w:t xml:space="preserve">Start the application: python run.py</w:t>
      </w:r>
    </w:p>
    <w:p>
      <w:pPr>
        <w:pStyle w:val="ListParagraph"/>
        <w:numPr>
          <w:ilvl w:val="0"/>
          <w:numId w:val="3"/>
        </w:numPr>
        <w:spacing w:before="60" w:after="60"/>
      </w:pPr>
      <w:r>
        <w:rPr>
          <w:rFonts w:ascii="Arial" w:cs="Arial" w:eastAsia="Arial" w:hAnsi="Arial"/>
          <w:color w:val="111827"/>
          <w:sz w:val="22"/>
          <w:szCs w:val="22"/>
        </w:rPr>
        <w:t xml:space="preserve">Open a browser and go to: http://localhost:5000</w:t>
      </w:r>
    </w:p>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7.3 Windows Installation</w:t>
      </w:r>
    </w:p>
    <w:p>
      <w:pPr>
        <w:pStyle w:val="ListParagraph"/>
        <w:numPr>
          <w:ilvl w:val="0"/>
          <w:numId w:val="3"/>
        </w:numPr>
        <w:spacing w:before="60" w:after="60"/>
      </w:pPr>
      <w:r>
        <w:rPr>
          <w:rFonts w:ascii="Arial" w:cs="Arial" w:eastAsia="Arial" w:hAnsi="Arial"/>
          <w:color w:val="111827"/>
          <w:sz w:val="22"/>
          <w:szCs w:val="22"/>
        </w:rPr>
        <w:t xml:space="preserve">Open Command Prompt or PowerShell</w:t>
      </w:r>
    </w:p>
    <w:p>
      <w:pPr>
        <w:pStyle w:val="ListParagraph"/>
        <w:numPr>
          <w:ilvl w:val="0"/>
          <w:numId w:val="3"/>
        </w:numPr>
        <w:spacing w:before="60" w:after="60"/>
      </w:pPr>
      <w:r>
        <w:rPr>
          <w:rFonts w:ascii="Arial" w:cs="Arial" w:eastAsia="Arial" w:hAnsi="Arial"/>
          <w:color w:val="111827"/>
          <w:sz w:val="22"/>
          <w:szCs w:val="22"/>
        </w:rPr>
        <w:t xml:space="preserve">Navigate to the project folder: cd container-app</w:t>
      </w:r>
    </w:p>
    <w:p>
      <w:pPr>
        <w:pStyle w:val="ListParagraph"/>
        <w:numPr>
          <w:ilvl w:val="0"/>
          <w:numId w:val="3"/>
        </w:numPr>
        <w:spacing w:before="60" w:after="60"/>
      </w:pPr>
      <w:r>
        <w:rPr>
          <w:rFonts w:ascii="Arial" w:cs="Arial" w:eastAsia="Arial" w:hAnsi="Arial"/>
          <w:color w:val="111827"/>
          <w:sz w:val="22"/>
          <w:szCs w:val="22"/>
        </w:rPr>
        <w:t xml:space="preserve">Create a virtual environment: python -m venv venv</w:t>
      </w:r>
    </w:p>
    <w:p>
      <w:pPr>
        <w:pStyle w:val="ListParagraph"/>
        <w:numPr>
          <w:ilvl w:val="0"/>
          <w:numId w:val="3"/>
        </w:numPr>
        <w:spacing w:before="60" w:after="60"/>
      </w:pPr>
      <w:r>
        <w:rPr>
          <w:rFonts w:ascii="Arial" w:cs="Arial" w:eastAsia="Arial" w:hAnsi="Arial"/>
          <w:color w:val="111827"/>
          <w:sz w:val="22"/>
          <w:szCs w:val="22"/>
        </w:rPr>
        <w:t xml:space="preserve">Activate it: venv\Scripts\activate</w:t>
      </w:r>
    </w:p>
    <w:p>
      <w:pPr>
        <w:pStyle w:val="ListParagraph"/>
        <w:numPr>
          <w:ilvl w:val="0"/>
          <w:numId w:val="3"/>
        </w:numPr>
        <w:spacing w:before="60" w:after="60"/>
      </w:pPr>
      <w:r>
        <w:rPr>
          <w:rFonts w:ascii="Arial" w:cs="Arial" w:eastAsia="Arial" w:hAnsi="Arial"/>
          <w:color w:val="111827"/>
          <w:sz w:val="22"/>
          <w:szCs w:val="22"/>
        </w:rPr>
        <w:t xml:space="preserve">Install dependencies: pip install -r requirements.txt</w:t>
      </w:r>
    </w:p>
    <w:p>
      <w:pPr>
        <w:pStyle w:val="ListParagraph"/>
        <w:numPr>
          <w:ilvl w:val="0"/>
          <w:numId w:val="3"/>
        </w:numPr>
        <w:spacing w:before="60" w:after="60"/>
      </w:pPr>
      <w:r>
        <w:rPr>
          <w:rFonts w:ascii="Arial" w:cs="Arial" w:eastAsia="Arial" w:hAnsi="Arial"/>
          <w:color w:val="111827"/>
          <w:sz w:val="22"/>
          <w:szCs w:val="22"/>
        </w:rPr>
        <w:t xml:space="preserve">Initialise the database: python -m flask db init (first time only)</w:t>
      </w:r>
    </w:p>
    <w:p>
      <w:pPr>
        <w:pStyle w:val="ListParagraph"/>
        <w:numPr>
          <w:ilvl w:val="0"/>
          <w:numId w:val="3"/>
        </w:numPr>
        <w:spacing w:before="60" w:after="60"/>
      </w:pPr>
      <w:r>
        <w:rPr>
          <w:rFonts w:ascii="Arial" w:cs="Arial" w:eastAsia="Arial" w:hAnsi="Arial"/>
          <w:color w:val="111827"/>
          <w:sz w:val="22"/>
          <w:szCs w:val="22"/>
        </w:rPr>
        <w:t xml:space="preserve">Start the application: python run.py</w:t>
      </w:r>
    </w:p>
    <w:p>
      <w:pPr>
        <w:pStyle w:val="ListParagraph"/>
        <w:numPr>
          <w:ilvl w:val="0"/>
          <w:numId w:val="3"/>
        </w:numPr>
        <w:spacing w:before="60" w:after="60"/>
      </w:pPr>
      <w:r>
        <w:rPr>
          <w:rFonts w:ascii="Arial" w:cs="Arial" w:eastAsia="Arial" w:hAnsi="Arial"/>
          <w:color w:val="111827"/>
          <w:sz w:val="22"/>
          <w:szCs w:val="22"/>
        </w:rPr>
        <w:t xml:space="preserve">Open a browser and go to: http://localhost:5000</w:t>
      </w:r>
    </w:p>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7.4 First Login</w:t>
      </w:r>
    </w:p>
    <w:p>
      <w:pPr>
        <w:spacing w:before="80" w:after="80"/>
      </w:pPr>
      <w:r>
        <w:rPr>
          <w:rFonts w:ascii="Arial" w:cs="Arial" w:eastAsia="Arial" w:hAnsi="Arial"/>
          <w:color w:val="111827"/>
          <w:sz w:val="22"/>
          <w:szCs w:val="22"/>
        </w:rPr>
        <w:t xml:space="preserve">On first run, the application creates a default admin account. Credentials are set in config.py before the first launch. The admin must log in and change the password immediately. Supply chain user accounts are then created from the Admin panel.</w:t>
      </w:r>
    </w:p>
    <w:p>
      <w:pPr>
        <w:spacing w:before="0" w:after="0"/>
      </w:pPr>
      <w:r>
        <w:br w:type="page"/>
      </w:r>
    </w:p>
    <w:p>
      <w:pPr>
        <w:pStyle w:val="Heading1"/>
        <w:spacing w:before="360" w:after="160"/>
      </w:pPr>
      <w:r>
        <w:rPr>
          <w:rFonts w:ascii="Arial" w:cs="Arial" w:eastAsia="Arial" w:hAnsi="Arial"/>
          <w:b/>
          <w:bCs/>
          <w:color w:val="1B3A5C"/>
          <w:sz w:val="36"/>
          <w:szCs w:val="36"/>
        </w:rPr>
        <w:t xml:space="preserve">8. Reporting</w:t>
      </w:r>
    </w:p>
    <w:p>
      <w:pPr>
        <w:pStyle w:val="Heading2"/>
        <w:pBdr>
          <w:bottom w:val="single" w:color="2563EB" w:sz="4" w:space="4"/>
        </w:pBdr>
        <w:spacing w:before="280" w:after="120"/>
      </w:pPr>
      <w:r>
        <w:rPr>
          <w:rFonts w:ascii="Arial" w:cs="Arial" w:eastAsia="Arial" w:hAnsi="Arial"/>
          <w:b/>
          <w:bCs/>
          <w:color w:val="1B3A5C"/>
          <w:sz w:val="28"/>
          <w:szCs w:val="28"/>
        </w:rPr>
        <w:t xml:space="preserve">8.1 Available Reports</w:t>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2800"/>
        <w:gridCol w:w="6920"/>
      </w:tblGrid>
      <w:tr>
        <w:tc>
          <w:tcPr>
            <w:tcW w:type="dxa" w:w="28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Report</w:t>
            </w:r>
          </w:p>
        </w:tc>
        <w:tc>
          <w:tcPr>
            <w:tcW w:type="dxa" w:w="692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Description</w:t>
            </w:r>
          </w:p>
        </w:tc>
      </w:tr>
      <w:tr>
        <w:tc>
          <w:tcPr>
            <w:tcW w:type="dxa" w:w="28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Shipment status report</w:t>
            </w:r>
          </w:p>
        </w:tc>
        <w:tc>
          <w:tcPr>
            <w:tcW w:type="dxa" w:w="6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All POs and SKUs grouped by status (ready / confirmed pending / unconfirmed). Filterable by container, supplier, date range.</w:t>
            </w:r>
          </w:p>
        </w:tc>
      </w:tr>
      <w:tr>
        <w:tc>
          <w:tcPr>
            <w:tcW w:type="dxa" w:w="28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Container CBM report</w:t>
            </w:r>
          </w:p>
        </w:tc>
        <w:tc>
          <w:tcPr>
            <w:tcW w:type="dxa" w:w="6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Per-container view of total CBM used, capacity, utilisation %, remaining space. Highlights containers approaching capacity.</w:t>
            </w:r>
          </w:p>
        </w:tc>
      </w:tr>
      <w:tr>
        <w:tc>
          <w:tcPr>
            <w:tcW w:type="dxa" w:w="28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Allocation summary</w:t>
            </w:r>
          </w:p>
        </w:tc>
        <w:tc>
          <w:tcPr>
            <w:tcW w:type="dxa" w:w="6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Allocated vs pending QTY for every SKU across all POs. Shows which SKUs have outstanding quantities for future shipments.</w:t>
            </w:r>
          </w:p>
        </w:tc>
      </w:tr>
      <w:tr>
        <w:tc>
          <w:tcPr>
            <w:tcW w:type="dxa" w:w="28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Unallocated POs</w:t>
            </w:r>
          </w:p>
        </w:tc>
        <w:tc>
          <w:tcPr>
            <w:tcW w:type="dxa" w:w="6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List of all POs/SKUs with Pending QTY &gt; 0. Supports forward planning for future containers.</w:t>
            </w:r>
          </w:p>
        </w:tc>
      </w:tr>
      <w:tr>
        <w:tc>
          <w:tcPr>
            <w:tcW w:type="dxa" w:w="28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Vessel schedule</w:t>
            </w:r>
          </w:p>
        </w:tc>
        <w:tc>
          <w:tcPr>
            <w:tcW w:type="dxa" w:w="692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All vessels with ETD/ETA, linked containers, and current shipment status.</w:t>
            </w:r>
          </w:p>
        </w:tc>
      </w:tr>
    </w:tbl>
    <w:p>
      <w:pPr>
        <w:spacing w:before="60" w:after="60"/>
      </w:pPr>
      <w:r>
        <w:t xml:space="preserve"/>
      </w:r>
    </w:p>
    <w:p>
      <w:pPr>
        <w:spacing w:before="60" w:after="60"/>
      </w:pPr>
      <w:r>
        <w:rPr>
          <w:rFonts w:ascii="Arial" w:cs="Arial" w:eastAsia="Arial" w:hAnsi="Arial"/>
          <w:i/>
          <w:iCs/>
          <w:color w:val="374151"/>
          <w:sz w:val="20"/>
          <w:szCs w:val="20"/>
        </w:rPr>
        <w:t xml:space="preserve">All reports can be exported as CSV files for manual upload to Google Drive. Additional report formats (PDF, Excel) are planned for post-MVP.</w:t>
      </w:r>
    </w:p>
    <w:p>
      <w:pPr>
        <w:spacing w:before="0" w:after="0"/>
      </w:pPr>
      <w:r>
        <w:br w:type="page"/>
      </w:r>
    </w:p>
    <w:p>
      <w:pPr>
        <w:pStyle w:val="Heading1"/>
        <w:spacing w:before="360" w:after="160"/>
      </w:pPr>
      <w:r>
        <w:rPr>
          <w:rFonts w:ascii="Arial" w:cs="Arial" w:eastAsia="Arial" w:hAnsi="Arial"/>
          <w:b/>
          <w:bCs/>
          <w:color w:val="1B3A5C"/>
          <w:sz w:val="36"/>
          <w:szCs w:val="36"/>
        </w:rPr>
        <w:t xml:space="preserve">9. Testing Plan</w:t>
      </w:r>
    </w:p>
    <w:p>
      <w:pPr>
        <w:pStyle w:val="Heading2"/>
        <w:pBdr>
          <w:bottom w:val="single" w:color="2563EB" w:sz="4" w:space="4"/>
        </w:pBdr>
        <w:spacing w:before="280" w:after="120"/>
      </w:pPr>
      <w:r>
        <w:rPr>
          <w:rFonts w:ascii="Arial" w:cs="Arial" w:eastAsia="Arial" w:hAnsi="Arial"/>
          <w:b/>
          <w:bCs/>
          <w:color w:val="1B3A5C"/>
          <w:sz w:val="28"/>
          <w:szCs w:val="28"/>
        </w:rPr>
        <w:t xml:space="preserve">9.1 Testing Approach</w:t>
      </w:r>
    </w:p>
    <w:p>
      <w:pPr>
        <w:spacing w:before="80" w:after="80"/>
      </w:pPr>
      <w:r>
        <w:rPr>
          <w:rFonts w:ascii="Arial" w:cs="Arial" w:eastAsia="Arial" w:hAnsi="Arial"/>
          <w:color w:val="111827"/>
          <w:sz w:val="22"/>
          <w:szCs w:val="22"/>
        </w:rPr>
        <w:t xml:space="preserve">Testing is conducted in stages, aligned to build phases. Each phase is tested before the next begins. The supply chain team participates in testing from Phase 2 onwards.</w:t>
      </w:r>
    </w:p>
    <w:p>
      <w:pPr>
        <w:spacing w:before="60" w:after="60"/>
      </w:pPr>
      <w:r>
        <w:t xml:space="preserve"/>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1200"/>
        <w:gridCol w:w="2000"/>
        <w:gridCol w:w="3560"/>
        <w:gridCol w:w="2960"/>
      </w:tblGrid>
      <w:tr>
        <w:tc>
          <w:tcPr>
            <w:tcW w:type="dxa" w:w="12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Stage</w:t>
            </w:r>
          </w:p>
        </w:tc>
        <w:tc>
          <w:tcPr>
            <w:tcW w:type="dxa" w:w="20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Phase</w:t>
            </w:r>
          </w:p>
        </w:tc>
        <w:tc>
          <w:tcPr>
            <w:tcW w:type="dxa" w:w="356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What is tested</w:t>
            </w:r>
          </w:p>
        </w:tc>
        <w:tc>
          <w:tcPr>
            <w:tcW w:type="dxa" w:w="296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Who tests</w:t>
            </w:r>
          </w:p>
        </w:tc>
      </w:tr>
      <w:tr>
        <w:tc>
          <w:tcPr>
            <w:tcW w:type="dxa" w:w="1200"/>
            <w:tcBorders>
              <w:top w:val="single" w:color="E5E7EB" w:sz="1"/>
              <w:start w:val="single" w:color="E5E7EB" w:sz="1"/>
              <w:bottom w:val="single" w:color="E5E7EB" w:sz="1"/>
              <w:end w:val="single" w:color="E5E7EB"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1</w:t>
            </w:r>
          </w:p>
        </w:tc>
        <w:tc>
          <w:tcPr>
            <w:tcW w:type="dxa" w:w="20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Phase 1</w:t>
            </w:r>
          </w:p>
        </w:tc>
        <w:tc>
          <w:tcPr>
            <w:tcW w:type="dxa" w:w="356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Database schema integrity, auth (login/logout/RBAC), session security, DB encryption</w:t>
            </w:r>
          </w:p>
        </w:tc>
        <w:tc>
          <w:tcPr>
            <w:tcW w:type="dxa" w:w="296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Admin (developer)</w:t>
            </w:r>
          </w:p>
        </w:tc>
      </w:tr>
      <w:tr>
        <w:tc>
          <w:tcPr>
            <w:tcW w:type="dxa" w:w="1200"/>
            <w:tcBorders>
              <w:top w:val="single" w:color="E5E7EB" w:sz="1"/>
              <w:start w:val="single" w:color="E5E7EB" w:sz="1"/>
              <w:bottom w:val="single" w:color="E5E7EB" w:sz="1"/>
              <w:end w:val="single" w:color="E5E7EB"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2</w:t>
            </w:r>
          </w:p>
        </w:tc>
        <w:tc>
          <w:tcPr>
            <w:tcW w:type="dxa" w:w="20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Phase 2</w:t>
            </w:r>
          </w:p>
        </w:tc>
        <w:tc>
          <w:tcPr>
            <w:tcW w:type="dxa" w:w="356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CSV import accuracy, CBM calculations, SKU status logic, manual PO entry</w:t>
            </w:r>
          </w:p>
        </w:tc>
        <w:tc>
          <w:tcPr>
            <w:tcW w:type="dxa" w:w="296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Admin + Supply Chain User 1</w:t>
            </w:r>
          </w:p>
        </w:tc>
      </w:tr>
      <w:tr>
        <w:tc>
          <w:tcPr>
            <w:tcW w:type="dxa" w:w="1200"/>
            <w:tcBorders>
              <w:top w:val="single" w:color="E5E7EB" w:sz="1"/>
              <w:start w:val="single" w:color="E5E7EB" w:sz="1"/>
              <w:bottom w:val="single" w:color="E5E7EB" w:sz="1"/>
              <w:end w:val="single" w:color="E5E7EB"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3</w:t>
            </w:r>
          </w:p>
        </w:tc>
        <w:tc>
          <w:tcPr>
            <w:tcW w:type="dxa" w:w="20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Phase 3</w:t>
            </w:r>
          </w:p>
        </w:tc>
        <w:tc>
          <w:tcPr>
            <w:tcW w:type="dxa" w:w="356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Allocation/deallocation workflows, partial QTY tracking, CBM live updates</w:t>
            </w:r>
          </w:p>
        </w:tc>
        <w:tc>
          <w:tcPr>
            <w:tcW w:type="dxa" w:w="296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Full supply chain team</w:t>
            </w:r>
          </w:p>
        </w:tc>
      </w:tr>
      <w:tr>
        <w:tc>
          <w:tcPr>
            <w:tcW w:type="dxa" w:w="1200"/>
            <w:tcBorders>
              <w:top w:val="single" w:color="E5E7EB" w:sz="1"/>
              <w:start w:val="single" w:color="E5E7EB" w:sz="1"/>
              <w:bottom w:val="single" w:color="E5E7EB" w:sz="1"/>
              <w:end w:val="single" w:color="E5E7EB"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4</w:t>
            </w:r>
          </w:p>
        </w:tc>
        <w:tc>
          <w:tcPr>
            <w:tcW w:type="dxa" w:w="20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Phase 4</w:t>
            </w:r>
          </w:p>
        </w:tc>
        <w:tc>
          <w:tcPr>
            <w:tcW w:type="dxa" w:w="356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Vessel tracker data entry, report accuracy, export function</w:t>
            </w:r>
          </w:p>
        </w:tc>
        <w:tc>
          <w:tcPr>
            <w:tcW w:type="dxa" w:w="296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Full supply chain team</w:t>
            </w:r>
          </w:p>
        </w:tc>
      </w:tr>
      <w:tr>
        <w:tc>
          <w:tcPr>
            <w:tcW w:type="dxa" w:w="1200"/>
            <w:tcBorders>
              <w:top w:val="single" w:color="E5E7EB" w:sz="1"/>
              <w:start w:val="single" w:color="E5E7EB" w:sz="1"/>
              <w:bottom w:val="single" w:color="E5E7EB" w:sz="1"/>
              <w:end w:val="single" w:color="E5E7EB"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5</w:t>
            </w:r>
          </w:p>
        </w:tc>
        <w:tc>
          <w:tcPr>
            <w:tcW w:type="dxa" w:w="20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Phase 5</w:t>
            </w:r>
          </w:p>
        </w:tc>
        <w:tc>
          <w:tcPr>
            <w:tcW w:type="dxa" w:w="356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End-to-end workflow test, edge cases, performance, Windows compatibility</w:t>
            </w:r>
          </w:p>
        </w:tc>
        <w:tc>
          <w:tcPr>
            <w:tcW w:type="dxa" w:w="2960"/>
            <w:tcBorders>
              <w:top w:val="single" w:color="E5E7EB" w:sz="1"/>
              <w:start w:val="single" w:color="E5E7EB" w:sz="1"/>
              <w:bottom w:val="single" w:color="E5E7EB" w:sz="1"/>
              <w:end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Full supply chain team</w:t>
            </w:r>
          </w:p>
        </w:tc>
      </w:tr>
    </w:tbl>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9.2 Bug Reporting</w:t>
      </w:r>
    </w:p>
    <w:p>
      <w:pPr>
        <w:spacing w:before="80" w:after="80"/>
      </w:pPr>
      <w:r>
        <w:rPr>
          <w:rFonts w:ascii="Arial" w:cs="Arial" w:eastAsia="Arial" w:hAnsi="Arial"/>
          <w:color w:val="111827"/>
          <w:sz w:val="22"/>
          <w:szCs w:val="22"/>
        </w:rPr>
        <w:t xml:space="preserve">During testing, issues are logged in a shared document with the following fields: date found, tester name, phase, description of the issue, steps to reproduce, severity (Critical / High / Medium / Low), and resolution status. This document will be maintained throughout the project lifecycle.</w:t>
      </w:r>
    </w:p>
    <w:p>
      <w:pPr>
        <w:spacing w:before="0" w:after="0"/>
      </w:pPr>
      <w:r>
        <w:br w:type="page"/>
      </w:r>
    </w:p>
    <w:p>
      <w:pPr>
        <w:pStyle w:val="Heading1"/>
        <w:spacing w:before="360" w:after="160"/>
      </w:pPr>
      <w:r>
        <w:rPr>
          <w:rFonts w:ascii="Arial" w:cs="Arial" w:eastAsia="Arial" w:hAnsi="Arial"/>
          <w:b/>
          <w:bCs/>
          <w:color w:val="1B3A5C"/>
          <w:sz w:val="36"/>
          <w:szCs w:val="36"/>
        </w:rPr>
        <w:t xml:space="preserve">10. Document Change Log</w:t>
      </w:r>
    </w:p>
    <w:p>
      <w:pPr>
        <w:spacing w:before="80" w:after="80"/>
      </w:pPr>
      <w:r>
        <w:rPr>
          <w:rFonts w:ascii="Arial" w:cs="Arial" w:eastAsia="Arial" w:hAnsi="Arial"/>
          <w:color w:val="111827"/>
          <w:sz w:val="22"/>
          <w:szCs w:val="22"/>
        </w:rPr>
        <w:t xml:space="preserve">This document is a living record. All significant updates to the specification, architecture, or scope are recorded here.</w:t>
      </w:r>
    </w:p>
    <w:p>
      <w:pPr>
        <w:spacing w:before="60" w:after="60"/>
      </w:pPr>
      <w:r>
        <w:t xml:space="preserve"/>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1440"/>
        <w:gridCol w:w="1440"/>
        <w:gridCol w:w="2400"/>
        <w:gridCol w:w="4440"/>
      </w:tblGrid>
      <w:tr>
        <w:tc>
          <w:tcPr>
            <w:tcW w:type="dxa" w:w="144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Version</w:t>
            </w:r>
          </w:p>
        </w:tc>
        <w:tc>
          <w:tcPr>
            <w:tcW w:type="dxa" w:w="144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Date</w:t>
            </w:r>
          </w:p>
        </w:tc>
        <w:tc>
          <w:tcPr>
            <w:tcW w:type="dxa" w:w="240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Author</w:t>
            </w:r>
          </w:p>
        </w:tc>
        <w:tc>
          <w:tcPr>
            <w:tcW w:type="dxa" w:w="4440"/>
            <w:tcBorders>
              <w:top w:val="single" w:color="1B3A5C" w:sz="1"/>
              <w:start w:val="single" w:color="1B3A5C" w:sz="1"/>
              <w:bottom w:val="single" w:color="1B3A5C" w:sz="1"/>
              <w:end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Summary of changes</w:t>
            </w:r>
          </w:p>
        </w:tc>
      </w:tr>
      <w:tr>
        <w:tc>
          <w:tcPr>
            <w:tcW w:type="dxa" w:w="144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1.0</w:t>
            </w:r>
          </w:p>
        </w:tc>
        <w:tc>
          <w:tcPr>
            <w:tcW w:type="dxa" w:w="144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2026</w:t>
            </w:r>
          </w:p>
        </w:tc>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Admin</w:t>
            </w:r>
          </w:p>
        </w:tc>
        <w:tc>
          <w:tcPr>
            <w:tcW w:type="dxa" w:w="444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Initial documentation — full project specification created</w:t>
            </w:r>
          </w:p>
        </w:tc>
      </w:tr>
      <w:tr>
        <w:tc>
          <w:tcPr>
            <w:tcW w:type="dxa" w:w="144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c>
          <w:tcPr>
            <w:tcW w:type="dxa" w:w="144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c>
          <w:tcPr>
            <w:tcW w:type="dxa" w:w="444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r>
      <w:tr>
        <w:tc>
          <w:tcPr>
            <w:tcW w:type="dxa" w:w="144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c>
          <w:tcPr>
            <w:tcW w:type="dxa" w:w="144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c>
          <w:tcPr>
            <w:tcW w:type="dxa" w:w="444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r>
      <w:tr>
        <w:tc>
          <w:tcPr>
            <w:tcW w:type="dxa" w:w="144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c>
          <w:tcPr>
            <w:tcW w:type="dxa" w:w="144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c>
          <w:tcPr>
            <w:tcW w:type="dxa" w:w="444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r>
      <w:tr>
        <w:tc>
          <w:tcPr>
            <w:tcW w:type="dxa" w:w="144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c>
          <w:tcPr>
            <w:tcW w:type="dxa" w:w="144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c>
          <w:tcPr>
            <w:tcW w:type="dxa" w:w="240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c>
          <w:tcPr>
            <w:tcW w:type="dxa" w:w="4440"/>
            <w:tcBorders>
              <w:top w:val="single" w:color="E5E7EB" w:sz="1"/>
              <w:start w:val="single" w:color="E5E7EB" w:sz="1"/>
              <w:bottom w:val="single" w:color="E5E7EB" w:sz="1"/>
              <w:end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r>
    </w:tbl>
    <w:p>
      <w:pPr>
        <w:spacing w:before="60" w:after="60"/>
      </w:pPr>
      <w:r>
        <w:t xml:space="preserve"/>
      </w:r>
    </w:p>
    <w:p>
      <w:pPr>
        <w:spacing w:before="60" w:after="60"/>
      </w:pPr>
      <w:r>
        <w:t xml:space="preserve"/>
      </w:r>
    </w:p>
    <w:p>
      <w:pPr>
        <w:spacing w:before="240" w:after="0"/>
        <w:jc w:val="center"/>
      </w:pPr>
      <w:r>
        <w:rPr>
          <w:rFonts w:ascii="Arial" w:cs="Arial" w:eastAsia="Arial" w:hAnsi="Arial"/>
          <w:i/>
          <w:iCs/>
          <w:color w:val="374151"/>
          <w:sz w:val="20"/>
          <w:szCs w:val="20"/>
        </w:rPr>
        <w:t xml:space="preserve">End of Document</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before="120" w:after="0"/>
    </w:pPr>
    <w:r>
      <w:rPr>
        <w:rFonts w:ascii="Arial" w:cs="Arial" w:eastAsia="Arial" w:hAnsi="Arial"/>
        <w:color w:val="374151"/>
        <w:sz w:val="18"/>
        <w:szCs w:val="18"/>
      </w:rPr>
      <w:t xml:space="preserve">Confidential — Internal Use Only    |    Page </w:t>
    </w:r>
    <w:r>
      <w:rPr>
        <w:rFonts w:ascii="Arial" w:cs="Arial" w:eastAsia="Arial" w:hAnsi="Arial"/>
        <w:color w:val="374151"/>
        <w:sz w:val="18"/>
        <w:szCs w:val="18"/>
      </w:rPr>
      <w:fldChar w:fldCharType="begin"/>
      <w:instrText xml:space="preserve">PAGE</w:instrText>
      <w:fldChar w:fldCharType="separate"/>
      <w:fldChar w:fldCharType="end"/>
    </w:r>
    <w:r>
      <w:rPr>
        <w:rFonts w:ascii="Arial" w:cs="Arial" w:eastAsia="Arial" w:hAnsi="Arial"/>
        <w:color w:val="374151"/>
        <w:sz w:val="18"/>
        <w:szCs w:val="18"/>
      </w:rPr>
      <w:t xml:space="preserve"> of </w:t>
    </w:r>
    <w:r>
      <w:rPr>
        <w:rFonts w:ascii="Arial" w:cs="Arial" w:eastAsia="Arial" w:hAnsi="Arial"/>
        <w:color w:val="37415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spacing w:before="0" w:after="120"/>
    </w:pPr>
    <w:r>
      <w:rPr>
        <w:rFonts w:ascii="Arial" w:cs="Arial" w:eastAsia="Arial" w:hAnsi="Arial"/>
        <w:color w:val="374151"/>
        <w:sz w:val="18"/>
        <w:szCs w:val="18"/>
      </w:rPr>
      <w:t xml:space="preserve">Container Planning &amp; Schedule Application</w:t>
    </w:r>
    <w:r>
      <w:rPr>
        <w:rFonts w:ascii="Arial" w:cs="Arial" w:eastAsia="Arial" w:hAnsi="Arial"/>
        <w:i/>
        <w:iCs/>
        <w:color w:val="374151"/>
        <w:sz w:val="18"/>
        <w:szCs w:val="18"/>
      </w:rPr>
      <w:t xml:space="preserve">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2026-03-23T16:14:11.269Z</dcterms:created>
  <dcterms:modified xsi:type="dcterms:W3CDTF">2026-03-23T16:14:11.270Z</dcterms:modified>
</cp:coreProperties>
</file>

<file path=docProps/custom.xml><?xml version="1.0" encoding="utf-8"?>
<Properties xmlns="http://schemas.openxmlformats.org/officeDocument/2006/custom-properties" xmlns:vt="http://schemas.openxmlformats.org/officeDocument/2006/docPropsVTypes"/>
</file>