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pPr>
      <w:r>
        <w:rPr>
          <w:rFonts w:ascii="Arial" w:cs="Arial" w:eastAsia="Arial" w:hAnsi="Arial"/>
          <w:b/>
          <w:bCs/>
          <w:color w:val="1B3A5C"/>
          <w:sz w:val="64"/>
          <w:szCs w:val="64"/>
        </w:rPr>
        <w:t xml:space="preserve">Container Planning &amp;</w:t>
      </w:r>
    </w:p>
    <w:p>
      <w:pPr>
        <w:spacing w:before="0" w:after="200"/>
      </w:pPr>
      <w:r>
        <w:rPr>
          <w:rFonts w:ascii="Arial" w:cs="Arial" w:eastAsia="Arial" w:hAnsi="Arial"/>
          <w:b/>
          <w:bCs/>
          <w:color w:val="2563EB"/>
          <w:sz w:val="64"/>
          <w:szCs w:val="64"/>
        </w:rPr>
        <w:t xml:space="preserve">Schedule Application</w:t>
      </w:r>
    </w:p>
    <w:p>
      <w:pPr>
        <w:pBdr>
          <w:top w:val="single" w:color="2563EB" w:sz="12" w:space="1"/>
        </w:pBdr>
        <w:spacing w:before="0" w:after="200"/>
      </w:pPr>
    </w:p>
    <w:p>
      <w:pPr>
        <w:spacing w:before="0" w:after="80"/>
      </w:pPr>
      <w:r>
        <w:rPr>
          <w:rFonts w:ascii="Arial" w:cs="Arial" w:eastAsia="Arial" w:hAnsi="Arial"/>
          <w:color w:val="374151"/>
          <w:sz w:val="28"/>
          <w:szCs w:val="28"/>
        </w:rPr>
        <w:t xml:space="preserve">Project Documentation — Full Lifecycle</w:t>
      </w:r>
    </w:p>
    <w:p>
      <w:pPr>
        <w:spacing w:before="0" w:after="480"/>
      </w:pPr>
      <w:r>
        <w:rPr>
          <w:rFonts w:ascii="Arial" w:cs="Arial" w:eastAsia="Arial" w:hAnsi="Arial"/>
          <w:i/>
          <w:iCs/>
          <w:color w:val="374151"/>
          <w:sz w:val="22"/>
          <w:szCs w:val="22"/>
        </w:rPr>
        <w:t xml:space="preserve">v1.2 — Updated 26 March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Project</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Container Planning &amp; Schedule Application</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Owner / Admin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Supply Chain Team — J&amp;J</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Version</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1.2</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Phase</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Phase 2 — PO &amp; SKU Management (Active)</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Platform</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macOS (dev) / Windows (user testing)</w:t>
            </w:r>
          </w:p>
        </w:tc>
      </w:tr>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Hosting</w:t>
            </w:r>
          </w:p>
        </w:tc>
        <w:tc>
          <w:tcPr>
            <w:tcW w:type="dxa" w:w="7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Locally hosted — no cloud dependency</w:t>
            </w:r>
          </w:p>
        </w:tc>
      </w:tr>
    </w:tbl>
    <w:p>
      <w:pPr>
        <w:spacing w:before="60" w:after="60"/>
      </w:pPr>
      <w:r>
        <w:t xml:space="preserve"/>
      </w:r>
    </w:p>
    <w:p>
      <w:pPr>
        <w:spacing w:before="60" w:after="60"/>
      </w:pPr>
      <w:r>
        <w:t xml:space="preserve"/>
      </w:r>
    </w:p>
    <w:p>
      <w:pPr>
        <w:spacing w:before="0" w:after="0"/>
      </w:pPr>
      <w:r>
        <w:rPr>
          <w:rFonts w:ascii="Arial" w:cs="Arial" w:eastAsia="Arial" w:hAnsi="Arial"/>
          <w:b/>
          <w:bCs/>
          <w:color w:val="991B1B"/>
          <w:sz w:val="18"/>
          <w:szCs w:val="18"/>
        </w:rPr>
        <w:t xml:space="preserve">CONFIDENTIAL — INTERNAL USE ONLY</w:t>
      </w:r>
    </w:p>
    <w:p>
      <w:pPr>
        <w:spacing w:before="0" w:after="0"/>
      </w:pPr>
      <w:r>
        <w:br w:type="page"/>
      </w:r>
    </w:p>
    <w:p>
      <w:pPr>
        <w:pStyle w:val="Heading1"/>
        <w:spacing w:before="360" w:after="160"/>
      </w:pPr>
      <w:r>
        <w:rPr>
          <w:rFonts w:ascii="Arial" w:cs="Arial" w:eastAsia="Arial" w:hAnsi="Arial"/>
          <w:b/>
          <w:bCs/>
          <w:color w:val="1B3A5C"/>
          <w:sz w:val="36"/>
          <w:szCs w:val="36"/>
        </w:rPr>
        <w:t xml:space="preserve">1. Project Overview</w:t>
      </w:r>
    </w:p>
    <w:p>
      <w:pPr>
        <w:pStyle w:val="Heading2"/>
        <w:pBdr>
          <w:bottom w:val="single" w:color="2563EB" w:sz="4" w:space="4"/>
        </w:pBdr>
        <w:spacing w:before="280" w:after="120"/>
      </w:pPr>
      <w:r>
        <w:rPr>
          <w:rFonts w:ascii="Arial" w:cs="Arial" w:eastAsia="Arial" w:hAnsi="Arial"/>
          <w:b/>
          <w:bCs/>
          <w:color w:val="1B3A5C"/>
          <w:sz w:val="28"/>
          <w:szCs w:val="28"/>
        </w:rPr>
        <w:t xml:space="preserve">1.1 Background &amp; Purpose</w:t>
      </w:r>
    </w:p>
    <w:p>
      <w:pPr>
        <w:spacing w:before="80" w:after="80"/>
      </w:pPr>
      <w:r>
        <w:rPr>
          <w:rFonts w:ascii="Arial" w:cs="Arial" w:eastAsia="Arial" w:hAnsi="Arial"/>
          <w:color w:val="111827"/>
          <w:sz w:val="22"/>
          <w:szCs w:val="22"/>
        </w:rPr>
        <w:t xml:space="preserve">The Container Planning &amp; Schedule Application replaces a manual Google Sheets process for tracking purchase orders, SKUs, container allocations, and vessel information. The application provides a single source of truth for the J&amp;J supply chain team, automating CBM calculations, SKU readiness tracking, and allocation management.</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1.2 Key Design Decisions</w:t>
      </w:r>
    </w:p>
    <w:p>
      <w:pPr>
        <w:pStyle w:val="ListParagraph"/>
        <w:numPr>
          <w:ilvl w:val="0"/>
          <w:numId w:val="2"/>
        </w:numPr>
        <w:spacing w:before="60" w:after="60"/>
      </w:pPr>
      <w:r>
        <w:rPr>
          <w:rFonts w:ascii="Arial" w:cs="Arial" w:eastAsia="Arial" w:hAnsi="Arial"/>
          <w:color w:val="111827"/>
          <w:sz w:val="22"/>
          <w:szCs w:val="22"/>
        </w:rPr>
        <w:t xml:space="preserve">SKU status is always computed by the application — never manually overridden via CSV import or direct override. This prevents data integrity errors.</w:t>
      </w:r>
    </w:p>
    <w:p>
      <w:pPr>
        <w:pStyle w:val="ListParagraph"/>
        <w:numPr>
          <w:ilvl w:val="0"/>
          <w:numId w:val="2"/>
        </w:numPr>
        <w:spacing w:before="60" w:after="60"/>
      </w:pPr>
      <w:r>
        <w:rPr>
          <w:rFonts w:ascii="Arial" w:cs="Arial" w:eastAsia="Arial" w:hAnsi="Arial"/>
          <w:color w:val="111827"/>
          <w:sz w:val="22"/>
          <w:szCs w:val="22"/>
        </w:rPr>
        <w:t xml:space="preserve">CI acknowledgement is a hard prerequisite for allocation — no SKU can be allocated to a container until its CI receipt has been acknowledged by a team member.</w:t>
      </w:r>
    </w:p>
    <w:p>
      <w:pPr>
        <w:pStyle w:val="ListParagraph"/>
        <w:numPr>
          <w:ilvl w:val="0"/>
          <w:numId w:val="2"/>
        </w:numPr>
        <w:spacing w:before="60" w:after="60"/>
      </w:pPr>
      <w:r>
        <w:rPr>
          <w:rFonts w:ascii="Arial" w:cs="Arial" w:eastAsia="Arial" w:hAnsi="Arial"/>
          <w:color w:val="111827"/>
          <w:sz w:val="22"/>
          <w:szCs w:val="22"/>
        </w:rPr>
        <w:t xml:space="preserve">Cargo Ready Date lives at SKU level — each SKU has its own CRD because production lead times vary per product within the same PO.</w:t>
      </w:r>
    </w:p>
    <w:p>
      <w:pPr>
        <w:pStyle w:val="ListParagraph"/>
        <w:numPr>
          <w:ilvl w:val="0"/>
          <w:numId w:val="2"/>
        </w:numPr>
        <w:spacing w:before="60" w:after="60"/>
      </w:pPr>
      <w:r>
        <w:rPr>
          <w:rFonts w:ascii="Arial" w:cs="Arial" w:eastAsia="Arial" w:hAnsi="Arial"/>
          <w:color w:val="111827"/>
          <w:sz w:val="22"/>
          <w:szCs w:val="22"/>
        </w:rPr>
        <w:t xml:space="preserve">Allocation is carton-first — users input number of cartons, and the system derives units and CBM automatically.</w:t>
      </w:r>
    </w:p>
    <w:p>
      <w:pPr>
        <w:pStyle w:val="ListParagraph"/>
        <w:numPr>
          <w:ilvl w:val="0"/>
          <w:numId w:val="2"/>
        </w:numPr>
        <w:spacing w:before="60" w:after="60"/>
      </w:pPr>
      <w:r>
        <w:rPr>
          <w:rFonts w:ascii="Arial" w:cs="Arial" w:eastAsia="Arial" w:hAnsi="Arial"/>
          <w:color w:val="111827"/>
          <w:sz w:val="22"/>
          <w:szCs w:val="22"/>
        </w:rPr>
        <w:t xml:space="preserve">All data changes are recorded in a full audit log — who changed what, when, and what it changed from/to.</w:t>
      </w:r>
    </w:p>
    <w:p>
      <w:pPr>
        <w:pStyle w:val="ListParagraph"/>
        <w:numPr>
          <w:ilvl w:val="0"/>
          <w:numId w:val="2"/>
        </w:numPr>
        <w:spacing w:before="60" w:after="60"/>
      </w:pPr>
      <w:r>
        <w:rPr>
          <w:rFonts w:ascii="Arial" w:cs="Arial" w:eastAsia="Arial" w:hAnsi="Arial"/>
          <w:color w:val="111827"/>
          <w:sz w:val="22"/>
          <w:szCs w:val="22"/>
        </w:rPr>
        <w:t xml:space="preserve">No data is ever permanently deleted silently — all deletions are logged before execution.</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1.3 Scope — MVP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 Scope — MVP</w:t>
            </w:r>
          </w:p>
        </w:tc>
        <w:tc>
          <w:tcPr>
            <w:tcW w:type="dxa" w:w="486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 of Scope — Post-MVP</w:t>
            </w:r>
          </w:p>
        </w:tc>
      </w:tr>
      <w:tr>
        <w:tc>
          <w:tcPr>
            <w:tcW w:type="dxa" w:w="48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40" w:after="40"/>
            </w:pPr>
            <w:r>
              <w:rPr>
                <w:rFonts w:ascii="Arial" w:cs="Arial" w:eastAsia="Arial" w:hAnsi="Arial"/>
                <w:sz w:val="20"/>
                <w:szCs w:val="20"/>
              </w:rPr>
              <w:t xml:space="preserve">• PO &amp; SKU management (Phase 2 — Active)</w:t>
            </w:r>
          </w:p>
          <w:p>
            <w:pPr>
              <w:spacing w:before="40" w:after="40"/>
            </w:pPr>
            <w:r>
              <w:rPr>
                <w:rFonts w:ascii="Arial" w:cs="Arial" w:eastAsia="Arial" w:hAnsi="Arial"/>
                <w:sz w:val="20"/>
                <w:szCs w:val="20"/>
              </w:rPr>
              <w:t xml:space="preserve">• CSV import with downloadable template</w:t>
            </w:r>
          </w:p>
          <w:p>
            <w:pPr>
              <w:spacing w:before="40" w:after="40"/>
            </w:pPr>
            <w:r>
              <w:rPr>
                <w:rFonts w:ascii="Arial" w:cs="Arial" w:eastAsia="Arial" w:hAnsi="Arial"/>
                <w:sz w:val="20"/>
                <w:szCs w:val="20"/>
              </w:rPr>
              <w:t xml:space="preserve">• CI receipt acknowledgement &amp; variance tracking</w:t>
            </w:r>
          </w:p>
          <w:p>
            <w:pPr>
              <w:spacing w:before="40" w:after="40"/>
            </w:pPr>
            <w:r>
              <w:rPr>
                <w:rFonts w:ascii="Arial" w:cs="Arial" w:eastAsia="Arial" w:hAnsi="Arial"/>
                <w:sz w:val="20"/>
                <w:szCs w:val="20"/>
              </w:rPr>
              <w:t xml:space="preserve">• Container creation &amp; CBM tracking (Phase 3)</w:t>
            </w:r>
          </w:p>
          <w:p>
            <w:pPr>
              <w:spacing w:before="40" w:after="40"/>
            </w:pPr>
            <w:r>
              <w:rPr>
                <w:rFonts w:ascii="Arial" w:cs="Arial" w:eastAsia="Arial" w:hAnsi="Arial"/>
                <w:sz w:val="20"/>
                <w:szCs w:val="20"/>
              </w:rPr>
              <w:t xml:space="preserve">• PO/SKU allocation by carton (Phase 3)</w:t>
            </w:r>
          </w:p>
          <w:p>
            <w:pPr>
              <w:spacing w:before="40" w:after="40"/>
            </w:pPr>
            <w:r>
              <w:rPr>
                <w:rFonts w:ascii="Arial" w:cs="Arial" w:eastAsia="Arial" w:hAnsi="Arial"/>
                <w:sz w:val="20"/>
                <w:szCs w:val="20"/>
              </w:rPr>
              <w:t xml:space="preserve">• Partial quantity allocation tracking (Phase 3)</w:t>
            </w:r>
          </w:p>
          <w:p>
            <w:pPr>
              <w:spacing w:before="40" w:after="40"/>
            </w:pPr>
            <w:r>
              <w:rPr>
                <w:rFonts w:ascii="Arial" w:cs="Arial" w:eastAsia="Arial" w:hAnsi="Arial"/>
                <w:sz w:val="20"/>
                <w:szCs w:val="20"/>
              </w:rPr>
              <w:t xml:space="preserve">• SKU readiness automation — CRD based (Active)</w:t>
            </w:r>
          </w:p>
          <w:p>
            <w:pPr>
              <w:spacing w:before="40" w:after="40"/>
            </w:pPr>
            <w:r>
              <w:rPr>
                <w:rFonts w:ascii="Arial" w:cs="Arial" w:eastAsia="Arial" w:hAnsi="Arial"/>
                <w:sz w:val="20"/>
                <w:szCs w:val="20"/>
              </w:rPr>
              <w:t xml:space="preserve">• Vessel tracker (Phase 4)</w:t>
            </w:r>
          </w:p>
          <w:p>
            <w:pPr>
              <w:spacing w:before="40" w:after="40"/>
            </w:pPr>
            <w:r>
              <w:rPr>
                <w:rFonts w:ascii="Arial" w:cs="Arial" w:eastAsia="Arial" w:hAnsi="Arial"/>
                <w:sz w:val="20"/>
                <w:szCs w:val="20"/>
              </w:rPr>
              <w:t xml:space="preserve">• PO Allocation Status report (Phase 4)</w:t>
            </w:r>
          </w:p>
          <w:p>
            <w:pPr>
              <w:spacing w:before="40" w:after="40"/>
            </w:pPr>
            <w:r>
              <w:rPr>
                <w:rFonts w:ascii="Arial" w:cs="Arial" w:eastAsia="Arial" w:hAnsi="Arial"/>
                <w:sz w:val="20"/>
                <w:szCs w:val="20"/>
              </w:rPr>
              <w:t xml:space="preserve">• Role-based auth + full audit log (Active)</w:t>
            </w:r>
          </w:p>
          <w:p>
            <w:pPr>
              <w:spacing w:before="40" w:after="40"/>
            </w:pPr>
            <w:r>
              <w:rPr>
                <w:rFonts w:ascii="Arial" w:cs="Arial" w:eastAsia="Arial" w:hAnsi="Arial"/>
                <w:sz w:val="20"/>
                <w:szCs w:val="20"/>
              </w:rPr>
              <w:t xml:space="preserve">• Google Drive backup (Phase 5)</w:t>
            </w:r>
          </w:p>
        </w:tc>
        <w:tc>
          <w:tcPr>
            <w:tcW w:type="dxa" w:w="48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40" w:after="40"/>
            </w:pPr>
            <w:r>
              <w:rPr>
                <w:rFonts w:ascii="Arial" w:cs="Arial" w:eastAsia="Arial" w:hAnsi="Arial"/>
                <w:sz w:val="20"/>
                <w:szCs w:val="20"/>
              </w:rPr>
              <w:t xml:space="preserve">• ERP system API / EDI integration</w:t>
            </w:r>
          </w:p>
          <w:p>
            <w:pPr>
              <w:spacing w:before="40" w:after="40"/>
            </w:pPr>
            <w:r>
              <w:rPr>
                <w:rFonts w:ascii="Arial" w:cs="Arial" w:eastAsia="Arial" w:hAnsi="Arial"/>
                <w:sz w:val="20"/>
                <w:szCs w:val="20"/>
              </w:rPr>
              <w:t xml:space="preserve">• Email notifications</w:t>
            </w:r>
          </w:p>
          <w:p>
            <w:pPr>
              <w:spacing w:before="40" w:after="40"/>
            </w:pPr>
            <w:r>
              <w:rPr>
                <w:rFonts w:ascii="Arial" w:cs="Arial" w:eastAsia="Arial" w:hAnsi="Arial"/>
                <w:sz w:val="20"/>
                <w:szCs w:val="20"/>
              </w:rPr>
              <w:t xml:space="preserve">• Import clearing instruction document generation</w:t>
            </w:r>
          </w:p>
          <w:p>
            <w:pPr>
              <w:spacing w:before="40" w:after="40"/>
            </w:pPr>
            <w:r>
              <w:rPr>
                <w:rFonts w:ascii="Arial" w:cs="Arial" w:eastAsia="Arial" w:hAnsi="Arial"/>
                <w:sz w:val="20"/>
                <w:szCs w:val="20"/>
              </w:rPr>
              <w:t xml:space="preserve">• Supply chain dashboard (goods in transit)</w:t>
            </w:r>
          </w:p>
          <w:p>
            <w:pPr>
              <w:spacing w:before="40" w:after="40"/>
            </w:pPr>
            <w:r>
              <w:rPr>
                <w:rFonts w:ascii="Arial" w:cs="Arial" w:eastAsia="Arial" w:hAnsi="Arial"/>
                <w:sz w:val="20"/>
                <w:szCs w:val="20"/>
              </w:rPr>
              <w:t xml:space="preserve">• Automated Google Drive sync</w:t>
            </w:r>
          </w:p>
          <w:p>
            <w:pPr>
              <w:spacing w:before="40" w:after="40"/>
            </w:pPr>
            <w:r>
              <w:rPr>
                <w:rFonts w:ascii="Arial" w:cs="Arial" w:eastAsia="Arial" w:hAnsi="Arial"/>
                <w:sz w:val="20"/>
                <w:szCs w:val="20"/>
              </w:rPr>
              <w:t xml:space="preserve">• Mobile application</w:t>
            </w:r>
          </w:p>
        </w:tc>
      </w:tr>
    </w:tbl>
    <w:p>
      <w:pPr>
        <w:spacing w:before="0" w:after="0"/>
      </w:pPr>
      <w:r>
        <w:br w:type="page"/>
      </w:r>
    </w:p>
    <w:p>
      <w:pPr>
        <w:pStyle w:val="Heading1"/>
        <w:spacing w:before="360" w:after="160"/>
      </w:pPr>
      <w:r>
        <w:rPr>
          <w:rFonts w:ascii="Arial" w:cs="Arial" w:eastAsia="Arial" w:hAnsi="Arial"/>
          <w:b/>
          <w:bCs/>
          <w:color w:val="1B3A5C"/>
          <w:sz w:val="36"/>
          <w:szCs w:val="36"/>
        </w:rPr>
        <w:t xml:space="preserve">2. Data Model</w:t>
      </w:r>
    </w:p>
    <w:p>
      <w:pPr>
        <w:pStyle w:val="Heading2"/>
        <w:pBdr>
          <w:bottom w:val="single" w:color="2563EB" w:sz="4" w:space="4"/>
        </w:pBdr>
        <w:spacing w:before="280" w:after="120"/>
      </w:pPr>
      <w:r>
        <w:rPr>
          <w:rFonts w:ascii="Arial" w:cs="Arial" w:eastAsia="Arial" w:hAnsi="Arial"/>
          <w:b/>
          <w:bCs/>
          <w:color w:val="1B3A5C"/>
          <w:sz w:val="28"/>
          <w:szCs w:val="28"/>
        </w:rPr>
        <w:t xml:space="preserve">2.1 Purchase Order</w:t>
      </w:r>
    </w:p>
    <w:p>
      <w:pPr>
        <w:spacing w:before="80" w:after="80"/>
      </w:pPr>
      <w:r>
        <w:rPr>
          <w:rFonts w:ascii="Arial" w:cs="Arial" w:eastAsia="Arial" w:hAnsi="Arial"/>
          <w:color w:val="111827"/>
          <w:sz w:val="22"/>
          <w:szCs w:val="22"/>
        </w:rPr>
        <w:t xml:space="preserve">One PO has one unique PI number. Each PI has one unique CI number. The CI is populated late in the process — when the container is being finalised and before customs clearing. The CI number is required for import clearing instruction generation (Post-MVP).</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5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po_number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 (PK)</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Unique PO identifier — confirmed the moment PO is raised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pi_number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Proforma Invoice number — one per PO</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ci_number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Commercial Invoice number — populated when CI received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supplier_name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Name of the supplier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currency</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USD, CNY, EUR, ZAR — shown on every price field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hs_code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Harmonised system tariff code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po_status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ENUM</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Active | On Hold | Cancelled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notes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Free-text 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created_by / at</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META</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Auto-populated on creation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updated_at</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META</w:t>
            </w:r>
          </w:p>
        </w:tc>
        <w:tc>
          <w:tcPr>
            <w:tcW w:type="dxa" w:w="53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Auto-updated on any change</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2.2 PO Status States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c>
          <w:tcPr>
            <w:tcW w:type="dxa" w:w="7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Meaning &amp; Effect</w:t>
            </w:r>
          </w:p>
        </w:tc>
      </w:tr>
      <w:tr>
        <w:tc>
          <w:tcPr>
            <w:tcW w:type="dxa" w:w="22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Active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raised and confirmed. SKUs can be allocated once CRD is reached and CI is acknowledged.</w:t>
            </w:r>
          </w:p>
        </w:tc>
      </w:tr>
      <w:tr>
        <w:tc>
          <w:tcPr>
            <w:tcW w:type="dxa" w:w="22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On Hold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is paused. Already-allocated SKUs remain allocated. Unallocated SKUs are blocked — cannot be allocated until PO returns to Active.</w:t>
            </w:r>
          </w:p>
        </w:tc>
      </w:tr>
      <w:tr>
        <w:tc>
          <w:tcPr>
            <w:tcW w:type="dxa" w:w="2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Cancelled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removed from planning. No allocations permitted. Remains visible in system for audit purposes.</w:t>
            </w:r>
          </w:p>
        </w:tc>
      </w:tr>
      <w:tr>
        <w:tc>
          <w:tcPr>
            <w:tcW w:type="dxa" w:w="22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before="0" w:after="0"/>
            </w:pPr>
            <w:r>
              <w:rPr>
                <w:rFonts w:ascii="Arial" w:cs="Arial" w:eastAsia="Arial" w:hAnsi="Arial"/>
                <w:b/>
                <w:bCs/>
                <w:color w:val="5B21B6"/>
                <w:sz w:val="20"/>
                <w:szCs w:val="20"/>
              </w:rPr>
              <w:t xml:space="preserve">Partially Shipped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Derived display status — some SKUs fully allocated, others still pending. PO status remains Active.</w:t>
            </w:r>
          </w:p>
        </w:tc>
      </w:tr>
      <w:tr>
        <w:tc>
          <w:tcPr>
            <w:tcW w:type="dxa" w:w="22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Fully Allocated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Derived display status — all SKU quantities allocated across containers. PO status remains Active.</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2.3 SKU</w:t>
      </w:r>
    </w:p>
    <w:p>
      <w:pPr>
        <w:spacing w:before="80" w:after="80"/>
      </w:pPr>
      <w:r>
        <w:rPr>
          <w:rFonts w:ascii="Arial" w:cs="Arial" w:eastAsia="Arial" w:hAnsi="Arial"/>
          <w:color w:val="111827"/>
          <w:sz w:val="22"/>
          <w:szCs w:val="22"/>
        </w:rPr>
        <w:t xml:space="preserve">Each SKU is a child of a Purchase Order. JJ SKU is always present and is the primary match key on CSV re-import. Supplier SKU is optional but used as additional validation when present.</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 (PK)</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Auto-increment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po_number (FK)</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Parent PO</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jj_sku</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Primary match key — always present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supplier_sku</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Optional — bonus validation on re-import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product_name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Product description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shipment_type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FCL | LCL | Air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buying_price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 price on the PI — what you ordered at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buying_qty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Quantity ordered on the PI</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ci_price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 price on the CI — populated when CI received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Quantity on the CI — populated when CI received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ci_variance_acknowledged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BOOLEAN</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Must be True before any allocation is permitted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total_order_qty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Working qty — starts as buying_qty. Auto-updates to ci_qty on CI acknowledgement. Always editable.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allocated_qty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Sum of all active allocation records for this SKU</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outer_carton_qty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Units per outer carton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no_of_ctns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ceil(buying_qty ÷ outer_carton_qty) — auto-calculated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total_units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no_of_ctns × outer_carton_qty — may exceed buying_qty when last carton is partial</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length / width / height cm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dimensions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weight_kg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DECIMAL</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weight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volumetric_cbm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 × W × H) ÷ 1,000,000 — CBM per single carton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total_cbm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volumetric_cbm × no_of_ctns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amount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buying_qty × buying_price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ci_total_amount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ci_qty × ci_price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cargo_ready_date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DATE</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Per SKU — drives SKU status. Fluctuates.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sku_status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COMPUTED</w:t>
            </w:r>
          </w:p>
        </w:tc>
        <w:tc>
          <w:tcPr>
            <w:tcW w:type="dxa" w:w="5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Always computed by app — never manually set. See Section 2.4.</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2.4 SKU Status States</w:t>
      </w:r>
    </w:p>
    <w:p>
      <w:pPr>
        <w:spacing w:before="80" w:after="80"/>
      </w:pPr>
      <w:r>
        <w:rPr>
          <w:rFonts w:ascii="Arial" w:cs="Arial" w:eastAsia="Arial" w:hAnsi="Arial"/>
          <w:color w:val="111827"/>
          <w:sz w:val="22"/>
          <w:szCs w:val="22"/>
        </w:rPr>
        <w:t xml:space="preserve">SKU status is always computed by the application. It cannot be set manually via CSV import or direct override. The only way to change SKU status is to change the inputs that drive it: PO status, Cargo Ready Date, or allocation progress.</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c>
          <w:tcPr>
            <w:tcW w:type="dxa" w:w="7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Condition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Pending Date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Active, no CRD set on this SKU</w:t>
            </w:r>
          </w:p>
        </w:tc>
      </w:tr>
      <w:tr>
        <w:tc>
          <w:tcPr>
            <w:tcW w:type="dxa" w:w="22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Awaiting Production</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Active, CRD is in the future</w:t>
            </w:r>
          </w:p>
        </w:tc>
      </w:tr>
      <w:tr>
        <w:tc>
          <w:tcPr>
            <w:tcW w:type="dxa" w:w="22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Ready for Allocation</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 Active, CRD is today or past, pending qty &gt; 0</w:t>
            </w:r>
          </w:p>
        </w:tc>
      </w:tr>
      <w:tr>
        <w:tc>
          <w:tcPr>
            <w:tcW w:type="dxa" w:w="22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before="0" w:after="0"/>
            </w:pPr>
            <w:r>
              <w:rPr>
                <w:rFonts w:ascii="Arial" w:cs="Arial" w:eastAsia="Arial" w:hAnsi="Arial"/>
                <w:b/>
                <w:bCs/>
                <w:color w:val="5B21B6"/>
                <w:sz w:val="20"/>
                <w:szCs w:val="20"/>
              </w:rPr>
              <w:t xml:space="preserve">Partially Allocated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Some qty allocated across containers, pending qty &gt; 0</w:t>
            </w:r>
          </w:p>
        </w:tc>
      </w:tr>
      <w:tr>
        <w:tc>
          <w:tcPr>
            <w:tcW w:type="dxa" w:w="22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Fully Allocated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 qty allocated — allocated_qty = total_order_qty</w:t>
            </w:r>
          </w:p>
        </w:tc>
      </w:tr>
      <w:tr>
        <w:tc>
          <w:tcPr>
            <w:tcW w:type="dxa" w:w="22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On Hold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Parent PO is On Hold — unallocated qty blocked</w:t>
            </w:r>
          </w:p>
        </w:tc>
      </w:tr>
      <w:tr>
        <w:tc>
          <w:tcPr>
            <w:tcW w:type="dxa" w:w="2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Cancelled</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Parent PO is Cancelled — no allocation permitted</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2.5 CI Variance &amp; Allocation Validation</w:t>
      </w:r>
    </w:p>
    <w:p>
      <w:pPr>
        <w:spacing w:before="80" w:after="80"/>
      </w:pPr>
      <w:r>
        <w:rPr>
          <w:rFonts w:ascii="Arial" w:cs="Arial" w:eastAsia="Arial" w:hAnsi="Arial"/>
          <w:color w:val="111827"/>
          <w:sz w:val="22"/>
          <w:szCs w:val="22"/>
        </w:rPr>
        <w:t xml:space="preserve">A CI variance is detected when ci_price ≠ buying_price OR ci_qty ≠ buying_qty. The following rules apply:</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CI variance is flagged visually on the SKU row and PO header with a warning badge</w:t>
      </w:r>
    </w:p>
    <w:p>
      <w:pPr>
        <w:pStyle w:val="ListParagraph"/>
        <w:numPr>
          <w:ilvl w:val="0"/>
          <w:numId w:val="2"/>
        </w:numPr>
        <w:spacing w:before="60" w:after="60"/>
      </w:pPr>
      <w:r>
        <w:rPr>
          <w:rFonts w:ascii="Arial" w:cs="Arial" w:eastAsia="Arial" w:hAnsi="Arial"/>
          <w:color w:val="111827"/>
          <w:sz w:val="22"/>
          <w:szCs w:val="22"/>
        </w:rPr>
        <w:t xml:space="preserve">A SKU with an unacknowledged CI variance CANNOT be allocated — neither partially nor fully</w:t>
      </w:r>
    </w:p>
    <w:p>
      <w:pPr>
        <w:pStyle w:val="ListParagraph"/>
        <w:numPr>
          <w:ilvl w:val="0"/>
          <w:numId w:val="2"/>
        </w:numPr>
        <w:spacing w:before="60" w:after="60"/>
      </w:pPr>
      <w:r>
        <w:rPr>
          <w:rFonts w:ascii="Arial" w:cs="Arial" w:eastAsia="Arial" w:hAnsi="Arial"/>
          <w:color w:val="111827"/>
          <w:sz w:val="22"/>
          <w:szCs w:val="22"/>
        </w:rPr>
        <w:t xml:space="preserve">The system blocks the allocation attempt with a clear message</w:t>
      </w:r>
    </w:p>
    <w:p>
      <w:pPr>
        <w:pStyle w:val="ListParagraph"/>
        <w:numPr>
          <w:ilvl w:val="0"/>
          <w:numId w:val="2"/>
        </w:numPr>
        <w:spacing w:before="60" w:after="60"/>
      </w:pPr>
      <w:r>
        <w:rPr>
          <w:rFonts w:ascii="Arial" w:cs="Arial" w:eastAsia="Arial" w:hAnsi="Arial"/>
          <w:color w:val="111827"/>
          <w:sz w:val="22"/>
          <w:szCs w:val="22"/>
        </w:rPr>
        <w:t xml:space="preserve">To unlock allocation, a team member must review the variance and click Acknowledge</w:t>
      </w:r>
    </w:p>
    <w:p>
      <w:pPr>
        <w:pStyle w:val="ListParagraph"/>
        <w:numPr>
          <w:ilvl w:val="0"/>
          <w:numId w:val="2"/>
        </w:numPr>
        <w:spacing w:before="60" w:after="60"/>
      </w:pPr>
      <w:r>
        <w:rPr>
          <w:rFonts w:ascii="Arial" w:cs="Arial" w:eastAsia="Arial" w:hAnsi="Arial"/>
          <w:color w:val="111827"/>
          <w:sz w:val="22"/>
          <w:szCs w:val="22"/>
        </w:rPr>
        <w:t xml:space="preserve">On acknowledgement, total_order_qty auto-updates to ci_qty. The field remains editable.</w:t>
      </w:r>
    </w:p>
    <w:p>
      <w:pPr>
        <w:pStyle w:val="ListParagraph"/>
        <w:numPr>
          <w:ilvl w:val="0"/>
          <w:numId w:val="2"/>
        </w:numPr>
        <w:spacing w:before="60" w:after="60"/>
      </w:pPr>
      <w:r>
        <w:rPr>
          <w:rFonts w:ascii="Arial" w:cs="Arial" w:eastAsia="Arial" w:hAnsi="Arial"/>
          <w:color w:val="111827"/>
          <w:sz w:val="22"/>
          <w:szCs w:val="22"/>
        </w:rPr>
        <w:t xml:space="preserve">Every acknowledgement is recorded in the audit log with the old and new values</w:t>
      </w:r>
    </w:p>
    <w:p>
      <w:pPr>
        <w:spacing w:before="60" w:after="60"/>
      </w:pPr>
      <w:r>
        <w:t xml:space="preserve"/>
      </w:r>
    </w:p>
    <w:p>
      <w:pPr>
        <w:spacing w:before="60" w:after="60"/>
      </w:pPr>
      <w:r>
        <w:rPr>
          <w:rFonts w:ascii="Arial" w:cs="Arial" w:eastAsia="Arial" w:hAnsi="Arial"/>
          <w:i/>
          <w:iCs/>
          <w:color w:val="374151"/>
          <w:sz w:val="20"/>
          <w:szCs w:val="20"/>
        </w:rPr>
        <w:t xml:space="preserve">This validation protects against clearing goods at incorrect quantities or prices, which affects import duties and downstream pricing.</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2.6 Allocation Validation Rules</w:t>
      </w:r>
    </w:p>
    <w:p>
      <w:pPr>
        <w:spacing w:before="80" w:after="80"/>
      </w:pPr>
      <w:r>
        <w:rPr>
          <w:rFonts w:ascii="Arial" w:cs="Arial" w:eastAsia="Arial" w:hAnsi="Arial"/>
          <w:color w:val="111827"/>
          <w:sz w:val="22"/>
          <w:szCs w:val="22"/>
        </w:rPr>
        <w:t xml:space="preserve">The following rules are enforced as hard blocks when allocating a SKU to a container (Phase 3):</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CI not acknowledged → allocation blocked</w:t>
      </w:r>
    </w:p>
    <w:p>
      <w:pPr>
        <w:pStyle w:val="ListParagraph"/>
        <w:numPr>
          <w:ilvl w:val="0"/>
          <w:numId w:val="2"/>
        </w:numPr>
        <w:spacing w:before="60" w:after="60"/>
      </w:pPr>
      <w:r>
        <w:rPr>
          <w:rFonts w:ascii="Arial" w:cs="Arial" w:eastAsia="Arial" w:hAnsi="Arial"/>
          <w:color w:val="111827"/>
          <w:sz w:val="22"/>
          <w:szCs w:val="22"/>
        </w:rPr>
        <w:t xml:space="preserve">SKU status is On Hold or Cancelled → allocation blocked</w:t>
      </w:r>
    </w:p>
    <w:p>
      <w:pPr>
        <w:pStyle w:val="ListParagraph"/>
        <w:numPr>
          <w:ilvl w:val="0"/>
          <w:numId w:val="2"/>
        </w:numPr>
        <w:spacing w:before="60" w:after="60"/>
      </w:pPr>
      <w:r>
        <w:rPr>
          <w:rFonts w:ascii="Arial" w:cs="Arial" w:eastAsia="Arial" w:hAnsi="Arial"/>
          <w:color w:val="111827"/>
          <w:sz w:val="22"/>
          <w:szCs w:val="22"/>
        </w:rPr>
        <w:t xml:space="preserve">PO status is On Hold or Cancelled → allocation blocked</w:t>
      </w:r>
    </w:p>
    <w:p>
      <w:pPr>
        <w:pStyle w:val="ListParagraph"/>
        <w:numPr>
          <w:ilvl w:val="0"/>
          <w:numId w:val="2"/>
        </w:numPr>
        <w:spacing w:before="60" w:after="60"/>
      </w:pPr>
      <w:r>
        <w:rPr>
          <w:rFonts w:ascii="Arial" w:cs="Arial" w:eastAsia="Arial" w:hAnsi="Arial"/>
          <w:color w:val="111827"/>
          <w:sz w:val="22"/>
          <w:szCs w:val="22"/>
        </w:rPr>
        <w:t xml:space="preserve">Allocation cartons &gt; available cartons → allocation blocked</w:t>
      </w:r>
    </w:p>
    <w:p>
      <w:pPr>
        <w:pStyle w:val="ListParagraph"/>
        <w:numPr>
          <w:ilvl w:val="0"/>
          <w:numId w:val="2"/>
        </w:numPr>
        <w:spacing w:before="60" w:after="60"/>
      </w:pPr>
      <w:r>
        <w:rPr>
          <w:rFonts w:ascii="Arial" w:cs="Arial" w:eastAsia="Arial" w:hAnsi="Arial"/>
          <w:color w:val="111827"/>
          <w:sz w:val="22"/>
          <w:szCs w:val="22"/>
        </w:rPr>
        <w:t xml:space="preserve">Container status is Shipped or Closed → allocation blocked</w:t>
      </w:r>
    </w:p>
    <w:p>
      <w:pPr>
        <w:pStyle w:val="ListParagraph"/>
        <w:numPr>
          <w:ilvl w:val="0"/>
          <w:numId w:val="2"/>
        </w:numPr>
        <w:spacing w:before="60" w:after="60"/>
      </w:pPr>
      <w:r>
        <w:rPr>
          <w:rFonts w:ascii="Arial" w:cs="Arial" w:eastAsia="Arial" w:hAnsi="Arial"/>
          <w:color w:val="111827"/>
          <w:sz w:val="22"/>
          <w:szCs w:val="22"/>
        </w:rPr>
        <w:t xml:space="preserve">All blocks show a clear error message explaining why the allocation failed</w:t>
      </w:r>
    </w:p>
    <w:p>
      <w:pPr>
        <w:spacing w:before="0" w:after="0"/>
      </w:pPr>
      <w:r>
        <w:br w:type="page"/>
      </w:r>
    </w:p>
    <w:p>
      <w:pPr>
        <w:pStyle w:val="Heading1"/>
        <w:spacing w:before="360" w:after="160"/>
      </w:pPr>
      <w:r>
        <w:rPr>
          <w:rFonts w:ascii="Arial" w:cs="Arial" w:eastAsia="Arial" w:hAnsi="Arial"/>
          <w:b/>
          <w:bCs/>
          <w:color w:val="1B3A5C"/>
          <w:sz w:val="36"/>
          <w:szCs w:val="36"/>
        </w:rPr>
        <w:t xml:space="preserve">3. Business Rules &amp; Calculations</w:t>
      </w:r>
    </w:p>
    <w:p>
      <w:pPr>
        <w:pStyle w:val="Heading2"/>
        <w:pBdr>
          <w:bottom w:val="single" w:color="2563EB" w:sz="4" w:space="4"/>
        </w:pBdr>
        <w:spacing w:before="280" w:after="120"/>
      </w:pPr>
      <w:r>
        <w:rPr>
          <w:rFonts w:ascii="Arial" w:cs="Arial" w:eastAsia="Arial" w:hAnsi="Arial"/>
          <w:b/>
          <w:bCs/>
          <w:color w:val="1B3A5C"/>
          <w:sz w:val="28"/>
          <w:szCs w:val="28"/>
        </w:rPr>
        <w:t xml:space="preserve">3.1 CBM Formula</w:t>
      </w:r>
    </w:p>
    <w:p>
      <w:pPr>
        <w:pBdr>
          <w:top w:val="single" w:color="2563EB" w:sz="1"/>
          <w:bottom w:val="single" w:color="2563EB" w:sz="1"/>
          <w:left w:val="single" w:color="2563EB" w:sz="1"/>
          <w:right w:val="single" w:color="2563EB" w:sz="1"/>
        </w:pBdr>
        <w:shd w:fill="DBEAFE" w:val="clear"/>
        <w:spacing w:before="160" w:after="80"/>
        <w:jc w:val="center"/>
      </w:pPr>
      <w:r>
        <w:rPr>
          <w:rFonts w:ascii="Arial" w:cs="Arial" w:eastAsia="Arial" w:hAnsi="Arial"/>
          <w:b/>
          <w:bCs/>
          <w:color w:val="1B3A5C"/>
          <w:sz w:val="22"/>
          <w:szCs w:val="22"/>
        </w:rPr>
        <w:t xml:space="preserve">Volumetric CBM = (Length cm × Width cm × Height cm) ÷ 1,000,000</w:t>
      </w:r>
    </w:p>
    <w:p>
      <w:pPr>
        <w:pBdr>
          <w:top w:val="single" w:color="2563EB" w:sz="1"/>
          <w:bottom w:val="single" w:color="2563EB" w:sz="1"/>
          <w:left w:val="single" w:color="2563EB" w:sz="1"/>
          <w:right w:val="single" w:color="2563EB" w:sz="1"/>
        </w:pBdr>
        <w:shd w:fill="DBEAFE" w:val="clear"/>
        <w:spacing w:before="80" w:after="160"/>
        <w:jc w:val="center"/>
      </w:pPr>
      <w:r>
        <w:rPr>
          <w:rFonts w:ascii="Arial" w:cs="Arial" w:eastAsia="Arial" w:hAnsi="Arial"/>
          <w:b/>
          <w:bCs/>
          <w:color w:val="1B3A5C"/>
          <w:sz w:val="22"/>
          <w:szCs w:val="22"/>
        </w:rPr>
        <w:t xml:space="preserve">Total CBM = Volumetric CBM × No. of Cartons</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3.2 Carton &amp; Unit Calculations</w:t>
      </w:r>
    </w:p>
    <w:p>
      <w:pPr>
        <w:spacing w:before="80" w:after="80"/>
      </w:pPr>
      <w:r>
        <w:rPr>
          <w:rFonts w:ascii="Arial" w:cs="Arial" w:eastAsia="Arial" w:hAnsi="Arial"/>
          <w:color w:val="111827"/>
          <w:sz w:val="22"/>
          <w:szCs w:val="22"/>
        </w:rPr>
        <w:t xml:space="preserve">These fields are always computed — never manually entered or imported:</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96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3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Formula</w:t>
            </w:r>
          </w:p>
        </w:tc>
        <w:tc>
          <w:tcPr>
            <w:tcW w:type="dxa" w:w="3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Example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No. of Ctns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ceil(buying_qty ÷ outer_carton_qty)</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ceil(100 ÷ 12) = 9 cartons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Total Units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no_of_ctns × outer_carton_qty</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9 × 12 = 108 units (≠ 100 ordered)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Volumetric CBM</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(L × W × H) ÷ 1,000,000</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(60 × 40 × 40) ÷ 1,000,000 = 0.096 CBM</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Total CBM</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Volumetric CBM × no_of_ctns</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0.096 × 9 = 0.864 CBM</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Amount</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buying_qty × buying_price</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100 × 45.50 = USD 4,550.00</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CI Amount</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ci_qty × ci_price</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95 × 44.00 = USD 4,180.00</w:t>
            </w:r>
          </w:p>
        </w:tc>
      </w:tr>
    </w:tbl>
    <w:p>
      <w:pPr>
        <w:spacing w:before="60" w:after="60"/>
      </w:pPr>
      <w:r>
        <w:t xml:space="preserve"/>
      </w:r>
    </w:p>
    <w:p>
      <w:pPr>
        <w:spacing w:before="60" w:after="60"/>
      </w:pPr>
      <w:r>
        <w:rPr>
          <w:rFonts w:ascii="Arial" w:cs="Arial" w:eastAsia="Arial" w:hAnsi="Arial"/>
          <w:i/>
          <w:iCs/>
          <w:color w:val="374151"/>
          <w:sz w:val="20"/>
          <w:szCs w:val="20"/>
        </w:rPr>
        <w:t xml:space="preserve">Total Units may exceed Buying QTY when the last carton is not full. This reflects the physical reality of what gets packed and shipped. Both figures are shown on all reports.</w:t>
      </w:r>
    </w:p>
    <w:p>
      <w:pPr>
        <w:spacing w:before="0" w:after="0"/>
      </w:pPr>
      <w:r>
        <w:br w:type="page"/>
      </w:r>
    </w:p>
    <w:p>
      <w:pPr>
        <w:pStyle w:val="Heading1"/>
        <w:spacing w:before="360" w:after="160"/>
      </w:pPr>
      <w:r>
        <w:rPr>
          <w:rFonts w:ascii="Arial" w:cs="Arial" w:eastAsia="Arial" w:hAnsi="Arial"/>
          <w:b/>
          <w:bCs/>
          <w:color w:val="1B3A5C"/>
          <w:sz w:val="36"/>
          <w:szCs w:val="36"/>
        </w:rPr>
        <w:t xml:space="preserve">4. CSV Import</w:t>
      </w:r>
    </w:p>
    <w:p>
      <w:pPr>
        <w:pStyle w:val="Heading2"/>
        <w:pBdr>
          <w:bottom w:val="single" w:color="2563EB" w:sz="4" w:space="4"/>
        </w:pBdr>
        <w:spacing w:before="280" w:after="120"/>
      </w:pPr>
      <w:r>
        <w:rPr>
          <w:rFonts w:ascii="Arial" w:cs="Arial" w:eastAsia="Arial" w:hAnsi="Arial"/>
          <w:b/>
          <w:bCs/>
          <w:color w:val="1B3A5C"/>
          <w:sz w:val="28"/>
          <w:szCs w:val="28"/>
        </w:rPr>
        <w:t xml:space="preserve">4.1 How Import Works</w:t>
      </w:r>
    </w:p>
    <w:p>
      <w:pPr>
        <w:pStyle w:val="ListParagraph"/>
        <w:numPr>
          <w:ilvl w:val="0"/>
          <w:numId w:val="2"/>
        </w:numPr>
        <w:spacing w:before="60" w:after="60"/>
      </w:pPr>
      <w:r>
        <w:rPr>
          <w:rFonts w:ascii="Arial" w:cs="Arial" w:eastAsia="Arial" w:hAnsi="Arial"/>
          <w:color w:val="111827"/>
          <w:sz w:val="22"/>
          <w:szCs w:val="22"/>
        </w:rPr>
        <w:t xml:space="preserve">One row per SKU — PO-level fields (supplier, currency, etc.) repeat on each row for that PO</w:t>
      </w:r>
    </w:p>
    <w:p>
      <w:pPr>
        <w:pStyle w:val="ListParagraph"/>
        <w:numPr>
          <w:ilvl w:val="0"/>
          <w:numId w:val="2"/>
        </w:numPr>
        <w:spacing w:before="60" w:after="60"/>
      </w:pPr>
      <w:r>
        <w:rPr>
          <w:rFonts w:ascii="Arial" w:cs="Arial" w:eastAsia="Arial" w:hAnsi="Arial"/>
          <w:color w:val="111827"/>
          <w:sz w:val="22"/>
          <w:szCs w:val="22"/>
        </w:rPr>
        <w:t xml:space="preserve">Matching on re-import: PO number first → JJ SKU within that PO</w:t>
      </w:r>
    </w:p>
    <w:p>
      <w:pPr>
        <w:pStyle w:val="ListParagraph"/>
        <w:numPr>
          <w:ilvl w:val="0"/>
          <w:numId w:val="2"/>
        </w:numPr>
        <w:spacing w:before="60" w:after="60"/>
      </w:pPr>
      <w:r>
        <w:rPr>
          <w:rFonts w:ascii="Arial" w:cs="Arial" w:eastAsia="Arial" w:hAnsi="Arial"/>
          <w:color w:val="111827"/>
          <w:sz w:val="22"/>
          <w:szCs w:val="22"/>
        </w:rPr>
        <w:t xml:space="preserve">Supplier SKU used as additional validation — mismatch generates a warning but does not block import</w:t>
      </w:r>
    </w:p>
    <w:p>
      <w:pPr>
        <w:pStyle w:val="ListParagraph"/>
        <w:numPr>
          <w:ilvl w:val="0"/>
          <w:numId w:val="2"/>
        </w:numPr>
        <w:spacing w:before="60" w:after="60"/>
      </w:pPr>
      <w:r>
        <w:rPr>
          <w:rFonts w:ascii="Arial" w:cs="Arial" w:eastAsia="Arial" w:hAnsi="Arial"/>
          <w:color w:val="111827"/>
          <w:sz w:val="22"/>
          <w:szCs w:val="22"/>
        </w:rPr>
        <w:t xml:space="preserve">Existing records are updated. New records are created. Nothing is deleted by import.</w:t>
      </w:r>
    </w:p>
    <w:p>
      <w:pPr>
        <w:pStyle w:val="ListParagraph"/>
        <w:numPr>
          <w:ilvl w:val="0"/>
          <w:numId w:val="2"/>
        </w:numPr>
        <w:spacing w:before="60" w:after="60"/>
      </w:pPr>
      <w:r>
        <w:rPr>
          <w:rFonts w:ascii="Arial" w:cs="Arial" w:eastAsia="Arial" w:hAnsi="Arial"/>
          <w:color w:val="111827"/>
          <w:sz w:val="22"/>
          <w:szCs w:val="22"/>
        </w:rPr>
        <w:t xml:space="preserve">SKU status is never set by CSV import — always computed by the application after import</w:t>
      </w:r>
    </w:p>
    <w:p>
      <w:pPr>
        <w:pStyle w:val="ListParagraph"/>
        <w:numPr>
          <w:ilvl w:val="0"/>
          <w:numId w:val="2"/>
        </w:numPr>
        <w:spacing w:before="60" w:after="60"/>
      </w:pPr>
      <w:r>
        <w:rPr>
          <w:rFonts w:ascii="Arial" w:cs="Arial" w:eastAsia="Arial" w:hAnsi="Arial"/>
          <w:color w:val="111827"/>
          <w:sz w:val="22"/>
          <w:szCs w:val="22"/>
        </w:rPr>
        <w:t xml:space="preserve">CI fields (ci_price, ci_qty) can be included in CSV but require acknowledgement in-app before allocation</w:t>
      </w:r>
    </w:p>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4.2 CSV Column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5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Format</w:t>
            </w:r>
          </w:p>
        </w:tc>
        <w:tc>
          <w:tcPr>
            <w:tcW w:type="dxa" w:w="4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po_number</w:t>
            </w:r>
          </w:p>
        </w:tc>
        <w:tc>
          <w:tcPr>
            <w:tcW w:type="dxa" w:w="1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Required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Links SKU rows to the same PO</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pi_number</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One per PO</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ci_number</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Populated late — when CI received</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supplier_name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PO only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Only needed on first row per PO</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currency</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USD/CNY/EUR etc</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Defaults to USD</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hs_code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9403.20</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po_status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Active/On Hold/Cancelled</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Defaults to Active</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jj_sku</w:t>
            </w:r>
          </w:p>
        </w:tc>
        <w:tc>
          <w:tcPr>
            <w:tcW w:type="dxa" w:w="1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Required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Primary match key — always present</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supplier_sku</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Bonus validation on re-import</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product_name</w:t>
            </w:r>
          </w:p>
        </w:tc>
        <w:tc>
          <w:tcPr>
            <w:tcW w:type="dxa" w:w="1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Required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Text</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Product description</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shipment_type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FCL/LCL/Air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buying_price</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Number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 currency symbol. e.g. 45.50</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buying_qty</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Units ordered on PI</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outer_carton_qty</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Units per carton — drives CBM calc</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length_cm</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Number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length</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width_cm</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Number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width</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height_cm</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Number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height</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weight_kg</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Number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Outer carton weight</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cargo_ready_date</w:t>
            </w:r>
          </w:p>
        </w:tc>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Recommended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YYYY-MM-DD</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e.g. 2026-04-15. Drives SKU status.</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ci_price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Number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 unit price — leave blank until CI received</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ci_qty</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Optional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color w:val="111827"/>
                <w:sz w:val="20"/>
                <w:szCs w:val="20"/>
              </w:rPr>
              <w:t xml:space="preserve">Integer</w:t>
            </w:r>
          </w:p>
        </w:tc>
        <w:tc>
          <w:tcPr>
            <w:tcW w:type="dxa" w:w="4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 quantity — leave blank until CI received</w:t>
            </w:r>
          </w:p>
        </w:tc>
      </w:tr>
    </w:tbl>
    <w:p>
      <w:pPr>
        <w:spacing w:before="60" w:after="60"/>
      </w:pPr>
      <w:r>
        <w:t xml:space="preserve"/>
      </w:r>
    </w:p>
    <w:p>
      <w:pPr>
        <w:pStyle w:val="Heading2"/>
        <w:pBdr>
          <w:bottom w:val="single" w:color="2563EB" w:sz="4" w:space="4"/>
        </w:pBdr>
        <w:spacing w:before="280" w:after="120"/>
      </w:pPr>
      <w:r>
        <w:rPr>
          <w:rFonts w:ascii="Arial" w:cs="Arial" w:eastAsia="Arial" w:hAnsi="Arial"/>
          <w:b/>
          <w:bCs/>
          <w:color w:val="1B3A5C"/>
          <w:sz w:val="28"/>
          <w:szCs w:val="28"/>
        </w:rPr>
        <w:t xml:space="preserve">4.3 Downloadable Template</w:t>
      </w:r>
    </w:p>
    <w:p>
      <w:pPr>
        <w:spacing w:before="80" w:after="80"/>
      </w:pPr>
      <w:r>
        <w:rPr>
          <w:rFonts w:ascii="Arial" w:cs="Arial" w:eastAsia="Arial" w:hAnsi="Arial"/>
          <w:color w:val="111827"/>
          <w:sz w:val="22"/>
          <w:szCs w:val="22"/>
        </w:rPr>
        <w:t xml:space="preserve">A pre-formatted CSV template is available for download directly from the application at /purchase-orders/import. The template includes example rows showing the correct format for all fields. Teams should use this template to avoid formatting errors.</w:t>
      </w:r>
    </w:p>
    <w:p>
      <w:pPr>
        <w:spacing w:before="0" w:after="0"/>
      </w:pPr>
      <w:r>
        <w:br w:type="page"/>
      </w:r>
    </w:p>
    <w:p>
      <w:pPr>
        <w:pStyle w:val="Heading1"/>
        <w:spacing w:before="360" w:after="160"/>
      </w:pPr>
      <w:r>
        <w:rPr>
          <w:rFonts w:ascii="Arial" w:cs="Arial" w:eastAsia="Arial" w:hAnsi="Arial"/>
          <w:b/>
          <w:bCs/>
          <w:color w:val="1B3A5C"/>
          <w:sz w:val="36"/>
          <w:szCs w:val="36"/>
        </w:rPr>
        <w:t xml:space="preserve">5. User Roles &amp;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Permission</w:t>
            </w:r>
          </w:p>
        </w:tc>
        <w:tc>
          <w:tcPr>
            <w:tcW w:type="dxa" w:w="30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Admin</w:t>
            </w:r>
          </w:p>
        </w:tc>
        <w:tc>
          <w:tcPr>
            <w:tcW w:type="dxa" w:w="30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Supply Chain User</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View POs and SKUs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POs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SKUs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Import CSV</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Download CSV template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Acknowledge CI variance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Allocate / deallocate SKUs to containers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containers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edit vessel records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View all reports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Export reports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Delete POs and SKUs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Create / manage user accounts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Reset passwords</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View audit log</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r>
        <w:tc>
          <w:tcPr>
            <w:tcW w:type="dxa" w:w="36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Initiate database backup</w:t>
            </w:r>
          </w:p>
        </w:tc>
        <w:tc>
          <w:tcPr>
            <w:tcW w:type="dxa" w:w="30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w:t>
            </w:r>
          </w:p>
        </w:tc>
        <w:tc>
          <w:tcPr>
            <w:tcW w:type="dxa" w:w="30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before="0" w:after="0"/>
            </w:pPr>
            <w:r>
              <w:rPr>
                <w:rFonts w:ascii="Arial" w:cs="Arial" w:eastAsia="Arial" w:hAnsi="Arial"/>
                <w:b/>
                <w:bCs/>
                <w:color w:val="991B1B"/>
                <w:sz w:val="20"/>
                <w:szCs w:val="20"/>
              </w:rPr>
              <w:t xml:space="preserve">✗</w:t>
            </w:r>
          </w:p>
        </w:tc>
      </w:tr>
    </w:tbl>
    <w:p>
      <w:pPr>
        <w:spacing w:before="0" w:after="0"/>
      </w:pPr>
      <w:r>
        <w:br w:type="page"/>
      </w:r>
    </w:p>
    <w:p>
      <w:pPr>
        <w:pStyle w:val="Heading1"/>
        <w:spacing w:before="360" w:after="160"/>
      </w:pPr>
      <w:r>
        <w:rPr>
          <w:rFonts w:ascii="Arial" w:cs="Arial" w:eastAsia="Arial" w:hAnsi="Arial"/>
          <w:b/>
          <w:bCs/>
          <w:color w:val="1B3A5C"/>
          <w:sz w:val="36"/>
          <w:szCs w:val="36"/>
        </w:rPr>
        <w:t xml:space="preserve">6. Build Phases &amp;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120"/>
        <w:gridCol w:w="2000"/>
      </w:tblGrid>
      <w:tr>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Phase</w:t>
            </w:r>
          </w:p>
        </w:tc>
        <w:tc>
          <w:tcPr>
            <w:tcW w:type="dxa" w:w="5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Deliverables</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1</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Foundation</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Database schema, user auth, RBAC, Flask server, audit log</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pPr>
              <w:spacing w:before="0" w:after="0"/>
            </w:pPr>
            <w:r>
              <w:rPr>
                <w:rFonts w:ascii="Arial" w:cs="Arial" w:eastAsia="Arial" w:hAnsi="Arial"/>
                <w:b/>
                <w:bCs/>
                <w:color w:val="0F6E56"/>
                <w:sz w:val="20"/>
                <w:szCs w:val="20"/>
              </w:rPr>
              <w:t xml:space="preserve">Complete</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2</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PO &amp; SKU management</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PO/SKU CRUD, CSV import with template download, CBM auto-calc, SKU status engine, CI variance tracking &amp; acknowledgement, SKU history</w:t>
            </w:r>
          </w:p>
        </w:tc>
        <w:tc>
          <w:tcPr>
            <w:tcW w:type="dxa" w:w="20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before="0" w:after="0"/>
            </w:pPr>
            <w:r>
              <w:rPr>
                <w:rFonts w:ascii="Arial" w:cs="Arial" w:eastAsia="Arial" w:hAnsi="Arial"/>
                <w:b/>
                <w:bCs/>
                <w:color w:val="B45309"/>
                <w:sz w:val="20"/>
                <w:szCs w:val="20"/>
              </w:rPr>
              <w:t xml:space="preserve">In Progress</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3</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Container planning</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Container creation, SKU allocation by carton, deallocation, real-time CBM tracking, allocation validation rules</w:t>
            </w:r>
          </w:p>
        </w:tc>
        <w:tc>
          <w:tcPr>
            <w:tcW w:type="dxa" w:w="2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4</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Vessel tracker &amp; reporting</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Vessel records linked to containers, PO Allocation Status report, CBM utilisation report, SKU readiness report, unallocated SKUs report</w:t>
            </w:r>
          </w:p>
        </w:tc>
        <w:tc>
          <w:tcPr>
            <w:tcW w:type="dxa" w:w="2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5</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Testing &amp; documentation</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Staged testing, Windows compatibility, bug fixes, full user guide, admin guide, backup setup</w:t>
            </w:r>
          </w:p>
        </w:tc>
        <w:tc>
          <w:tcPr>
            <w:tcW w:type="dxa" w:w="2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spacing w:before="0" w:after="0"/>
            </w:pPr>
            <w:r>
              <w:rPr>
                <w:rFonts w:ascii="Arial" w:cs="Arial" w:eastAsia="Arial" w:hAnsi="Arial"/>
                <w:b/>
                <w:bCs/>
                <w:color w:val="2563EB"/>
                <w:sz w:val="20"/>
                <w:szCs w:val="20"/>
              </w:rPr>
              <w:t xml:space="preserve">Planned</w:t>
            </w:r>
          </w:p>
        </w:tc>
      </w:tr>
      <w:tr>
        <w:tc>
          <w:tcPr>
            <w:tcW w:type="dxa" w:w="6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6</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Post-MVP</w:t>
            </w:r>
          </w:p>
        </w:tc>
        <w:tc>
          <w:tcPr>
            <w:tcW w:type="dxa" w:w="51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ERP API, email notifications, import clearing instructions, supply chain dashboard, automated backup</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pPr>
            <w:r>
              <w:rPr>
                <w:rFonts w:ascii="Arial" w:cs="Arial" w:eastAsia="Arial" w:hAnsi="Arial"/>
                <w:b/>
                <w:bCs/>
                <w:color w:val="374151"/>
                <w:sz w:val="20"/>
                <w:szCs w:val="20"/>
              </w:rPr>
              <w:t xml:space="preserve">Future</w:t>
            </w:r>
          </w:p>
        </w:tc>
      </w:tr>
    </w:tbl>
    <w:p>
      <w:pPr>
        <w:spacing w:before="0" w:after="0"/>
      </w:pPr>
      <w:r>
        <w:br w:type="page"/>
      </w:r>
    </w:p>
    <w:p>
      <w:pPr>
        <w:pStyle w:val="Heading1"/>
        <w:spacing w:before="360" w:after="160"/>
      </w:pPr>
      <w:r>
        <w:rPr>
          <w:rFonts w:ascii="Arial" w:cs="Arial" w:eastAsia="Arial" w:hAnsi="Arial"/>
          <w:b/>
          <w:bCs/>
          <w:color w:val="1B3A5C"/>
          <w:sz w:val="36"/>
          <w:szCs w:val="36"/>
        </w:rPr>
        <w:t xml:space="preserve">7. Key Decisions Log</w:t>
      </w:r>
    </w:p>
    <w:p>
      <w:pPr>
        <w:spacing w:before="80" w:after="80"/>
      </w:pPr>
      <w:r>
        <w:rPr>
          <w:rFonts w:ascii="Arial" w:cs="Arial" w:eastAsia="Arial" w:hAnsi="Arial"/>
          <w:color w:val="111827"/>
          <w:sz w:val="22"/>
          <w:szCs w:val="22"/>
        </w:rPr>
        <w:t xml:space="preserve">This section records significant design decisions made during the project, the reasoning behind them, and what changed from the original specification.</w:t>
      </w:r>
    </w:p>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5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Decision</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Original</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Final</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Reason</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PI Number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PI Number</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PI Number + CI Number separate</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 arrives much later in the process and is needed for clearing</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Cargo Ready Date location</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PO level (shared by all SKUs)</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SKU level (each SKU has own CRD)</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Production lead times vary per SKU — some ship before others</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Buying Price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buying_price / pi_unit_price</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buying_price (PI price) + ci_price separate</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Need both to detect and flag CI variances for customs accuracy</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PI Qty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pi_qty</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buying_qty</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'Buying Qty' is the team's natural language for what was ordered</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cbm_packing_list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Included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Removed</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Redundant — dims always available, calculated CBM is preferred</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incoterms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Included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Removed</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Not operationally required at this stage</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shipping_compliance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Included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Removed</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Not operationally required at this stage</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SKU status override</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Manual override via form and CSV</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Computed only — no manual override</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Prevents data integrity errors. Status always reflects reality.</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Allocation input method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Units</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Cartons (primary) — units derived</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Physical packing decisions are made at carton level</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CI acknowledgement</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Optional</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Hard prerequisite for allocation</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Protects against clearing wrong quantities/prices at customs</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no_of_ctns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Stored in DB</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Computed property</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Always derived from buying_qty ÷ outer_carton_qty — storing is redundant</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b/>
                <w:bCs/>
                <w:color w:val="111827"/>
                <w:sz w:val="20"/>
                <w:szCs w:val="20"/>
              </w:rPr>
              <w:t xml:space="preserve">total_units field</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991B1B"/>
                <w:sz w:val="20"/>
                <w:szCs w:val="20"/>
              </w:rPr>
              <w:t xml:space="preserve">Not in original spec</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0F6E56"/>
                <w:sz w:val="20"/>
                <w:szCs w:val="20"/>
              </w:rPr>
              <w:t xml:space="preserve">Computed property</w:t>
            </w:r>
          </w:p>
        </w:tc>
        <w:tc>
          <w:tcPr>
            <w:tcW w:type="dxa" w:w="352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Reveals partial carton situations — physical reality may differ from buying qty</w:t>
            </w:r>
          </w:p>
        </w:tc>
      </w:tr>
    </w:tbl>
    <w:p>
      <w:pPr>
        <w:spacing w:before="0" w:after="0"/>
      </w:pPr>
      <w:r>
        <w:br w:type="page"/>
      </w:r>
    </w:p>
    <w:p>
      <w:pPr>
        <w:pStyle w:val="Heading1"/>
        <w:spacing w:before="360" w:after="160"/>
      </w:pPr>
      <w:r>
        <w:rPr>
          <w:rFonts w:ascii="Arial" w:cs="Arial" w:eastAsia="Arial" w:hAnsi="Arial"/>
          <w:b/>
          <w:bCs/>
          <w:color w:val="1B3A5C"/>
          <w:sz w:val="36"/>
          <w:szCs w:val="36"/>
        </w:rPr>
        <w:t xml:space="preserve">8. Document Change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2400"/>
        <w:gridCol w:w="468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Version</w:t>
            </w:r>
          </w:p>
        </w:tc>
        <w:tc>
          <w:tcPr>
            <w:tcW w:type="dxa" w:w="14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Author</w:t>
            </w:r>
          </w:p>
        </w:tc>
        <w:tc>
          <w:tcPr>
            <w:tcW w:type="dxa" w:w="4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Summary</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1.0</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23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Initial specification — full project scope defined</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1.1</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23 Mar 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Data model refined: CRD moved to SKU level, buying_qty/ci fields added, status states defined</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1.2</w:t>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26/03/2026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Admin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CI validation rules added, manual status override removed, allocation validation rules documented, decisions log added, CSV template download added</w:t>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r>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144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pPr>
            <w:r>
              <w:rPr>
                <w:rFonts w:ascii="Arial" w:cs="Arial" w:eastAsia="Arial" w:hAnsi="Arial"/>
                <w:color w:val="111827"/>
                <w:sz w:val="20"/>
                <w:szCs w:val="20"/>
              </w:rPr>
              <w:t xml:space="preserve"/>
            </w:r>
          </w:p>
        </w:tc>
      </w:tr>
    </w:tbl>
    <w:p>
      <w:pPr>
        <w:spacing w:before="60" w:after="60"/>
      </w:pPr>
      <w:r>
        <w:t xml:space="preserve"/>
      </w:r>
    </w:p>
    <w:p>
      <w:pPr>
        <w:spacing w:before="60" w:after="60"/>
      </w:pPr>
      <w:r>
        <w:t xml:space="preserve"/>
      </w:r>
    </w:p>
    <w:p>
      <w:pPr>
        <w:spacing w:before="240" w:after="0"/>
        <w:jc w:val="center"/>
      </w:pPr>
      <w:r>
        <w:rPr>
          <w:rFonts w:ascii="Arial" w:cs="Arial" w:eastAsia="Arial" w:hAnsi="Arial"/>
          <w:i/>
          <w:iCs/>
          <w:color w:val="374151"/>
          <w:sz w:val="20"/>
          <w:szCs w:val="20"/>
        </w:rPr>
        <w:t xml:space="preserve">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after="0"/>
    </w:pPr>
    <w:r>
      <w:rPr>
        <w:rFonts w:ascii="Arial" w:cs="Arial" w:eastAsia="Arial" w:hAnsi="Arial"/>
        <w:color w:val="374151"/>
        <w:sz w:val="18"/>
        <w:szCs w:val="18"/>
      </w:rPr>
      <w:t xml:space="preserve">Confidential — Internal Use Only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before="0" w:after="120"/>
    </w:pPr>
    <w:r>
      <w:rPr>
        <w:rFonts w:ascii="Arial" w:cs="Arial" w:eastAsia="Arial" w:hAnsi="Arial"/>
        <w:color w:val="374151"/>
        <w:sz w:val="18"/>
        <w:szCs w:val="18"/>
      </w:rPr>
      <w:t xml:space="preserve">Container Planning &amp; Schedule Application</w:t>
    </w:r>
    <w:r>
      <w:rPr>
        <w:rFonts w:ascii="Arial" w:cs="Arial" w:eastAsia="Arial" w:hAnsi="Arial"/>
        <w:i/>
        <w:iCs/>
        <w:color w:val="374151"/>
        <w:sz w:val="18"/>
        <w:szCs w:val="18"/>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2026-03-26T16:19:43.514Z</dcterms:created>
  <dcterms:modified xsi:type="dcterms:W3CDTF">2026-03-26T16:19:43.514Z</dcterms:modified>
</cp:coreProperties>
</file>

<file path=docProps/custom.xml><?xml version="1.0" encoding="utf-8"?>
<Properties xmlns="http://schemas.openxmlformats.org/officeDocument/2006/custom-properties" xmlns:vt="http://schemas.openxmlformats.org/officeDocument/2006/docPropsVTypes"/>
</file>