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ＭＰＡ受診については同テストの利用規約・プライバシーポリシー・免責事項が適用になります。</w:t>
      </w:r>
      <w:r>
        <w:rPr>
          <w:rFonts w:hint="eastAsia"/>
        </w:rPr>
        <w:t xml:space="preserve"> </w:t>
      </w:r>
      <w:hyperlink r:id="rId5" w:history="1">
        <w:r>
          <w:rPr>
            <w:rStyle w:val="Hyperlink"/>
            <w:rFonts w:hint="eastAsia"/>
          </w:rPr>
          <w:t>https://www.jpc-sed.com/mpa</w:t>
        </w:r>
      </w:hyperlink>
      <w:r>
        <w:rPr>
          <w:rFonts w:hint="eastAsia"/>
        </w:rPr>
        <w:t xml:space="preserve">
                    をご参照ください。参加されるご本人、お申し込み責任者の皆様におかれましては、内容をご確認、ご理解の上、ご参加いただきますようお願いいたします。
                </w:t>
      </w:r>
    </w:p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Century" w:hAnsi="Century" w:cs="Times New Roman" w:eastAsia="ＭＳ 明朝"/>
      </w:rPr>
    </w:r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</dc:title>
  <dc:subject/>
  <dc:creator>W3_14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