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eadinghay 1</w:t>
      </w:r>
    </w:p>
    <w:p>
      <w:pPr>
        <w:pStyle w:val="Heading2"/>
      </w:pPr>
      <w:r>
        <w:t xml:space="preserve">eadinghay 2</w:t>
      </w:r>
    </w:p>
    <w:p>
      <w:pPr>
        <w:pStyle w:val="Title"/>
      </w:pPr>
      <w:r>
        <w:t>itletay</w:t>
      </w:r>
    </w:p>
    <w:p>
      <w:pPr>
        <w:pStyle w:val="Subtitle"/>
      </w:pPr>
      <w:r>
        <w:t>ubtitlesay</w:t>
      </w:r>
    </w:p>
    <w:p>
      <w:r>
        <w:rPr>
          <w:rStyle w:val="Emphasis"/>
        </w:rPr>
        <w:t>Emphasishay</w:t>
      </w:r>
    </w:p>
    <w:p>
      <w:r>
        <w:rPr>
          <w:rStyle w:val="Strong"/>
        </w:rPr>
        <w:t>ongstray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ajorBidi" w:eastAsiaTheme="majorEastAsia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cstheme="majorBidi" w:eastAsiaTheme="majorEastAsia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ajorBidi" w:eastAsiaTheme="majorEastAsia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